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23A5" w14:textId="7D62231A" w:rsidR="00E32FE0" w:rsidRPr="005B5EC1" w:rsidRDefault="00901425">
      <w:pPr>
        <w:spacing w:before="2400" w:after="0" w:line="773" w:lineRule="exact"/>
        <w:jc w:val="center"/>
        <w:rPr>
          <w:rFonts w:ascii="Times New Roman" w:eastAsia="宋体" w:hAnsi="Times New Roman" w:cs="Times New Roman"/>
          <w:b/>
          <w:bCs/>
          <w:sz w:val="36"/>
          <w:szCs w:val="36"/>
        </w:rPr>
      </w:pPr>
      <w:r>
        <w:rPr>
          <w:rFonts w:ascii="Times New Roman" w:eastAsia="宋体" w:hAnsi="Times New Roman" w:cs="Times New Roman"/>
          <w:b/>
          <w:bCs/>
          <w:noProof/>
          <w:sz w:val="21"/>
          <w:szCs w:val="21"/>
        </w:rPr>
        <w:drawing>
          <wp:anchor distT="0" distB="0" distL="114300" distR="114300" simplePos="0" relativeHeight="251658240" behindDoc="0" locked="0" layoutInCell="1" allowOverlap="1" wp14:anchorId="35972E7E" wp14:editId="3726F12A">
            <wp:simplePos x="0" y="0"/>
            <wp:positionH relativeFrom="column">
              <wp:posOffset>2578506</wp:posOffset>
            </wp:positionH>
            <wp:positionV relativeFrom="paragraph">
              <wp:posOffset>767918</wp:posOffset>
            </wp:positionV>
            <wp:extent cx="951230" cy="524510"/>
            <wp:effectExtent l="0" t="0" r="1270" b="8890"/>
            <wp:wrapNone/>
            <wp:docPr id="17831680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524510"/>
                    </a:xfrm>
                    <a:prstGeom prst="rect">
                      <a:avLst/>
                    </a:prstGeom>
                    <a:noFill/>
                  </pic:spPr>
                </pic:pic>
              </a:graphicData>
            </a:graphic>
            <wp14:sizeRelH relativeFrom="page">
              <wp14:pctWidth>0</wp14:pctWidth>
            </wp14:sizeRelH>
            <wp14:sizeRelV relativeFrom="page">
              <wp14:pctHeight>0</wp14:pctHeight>
            </wp14:sizeRelV>
          </wp:anchor>
        </w:drawing>
      </w:r>
      <w:r w:rsidRPr="005B5EC1">
        <w:rPr>
          <w:rFonts w:ascii="Times New Roman" w:eastAsia="宋体" w:hAnsi="Times New Roman" w:cs="Times New Roman"/>
          <w:b/>
          <w:bCs/>
          <w:sz w:val="36"/>
          <w:szCs w:val="36"/>
        </w:rPr>
        <w:t>山东龙大美食股份有限公司</w:t>
      </w:r>
    </w:p>
    <w:p w14:paraId="62C2398C" w14:textId="77777777" w:rsidR="00E32FE0" w:rsidRPr="005B5EC1" w:rsidRDefault="00000000">
      <w:pPr>
        <w:spacing w:before="1000" w:after="0" w:line="240" w:lineRule="exact"/>
        <w:jc w:val="center"/>
        <w:rPr>
          <w:rFonts w:ascii="Times New Roman" w:eastAsia="宋体" w:hAnsi="Times New Roman" w:cs="Times New Roman"/>
          <w:b/>
          <w:bCs/>
          <w:sz w:val="32"/>
          <w:szCs w:val="32"/>
        </w:rPr>
      </w:pPr>
      <w:r w:rsidRPr="005B5EC1">
        <w:rPr>
          <w:rFonts w:ascii="Times New Roman" w:eastAsia="宋体" w:hAnsi="Times New Roman" w:cs="Times New Roman"/>
          <w:b/>
          <w:bCs/>
          <w:sz w:val="32"/>
          <w:szCs w:val="32"/>
        </w:rPr>
        <w:t>2024</w:t>
      </w:r>
      <w:r w:rsidRPr="005B5EC1">
        <w:rPr>
          <w:rFonts w:ascii="Times New Roman" w:eastAsia="宋体" w:hAnsi="Times New Roman" w:cs="Times New Roman"/>
          <w:b/>
          <w:bCs/>
          <w:sz w:val="32"/>
          <w:szCs w:val="32"/>
        </w:rPr>
        <w:t>年年度报告</w:t>
      </w:r>
    </w:p>
    <w:p w14:paraId="50268A13" w14:textId="2029C473" w:rsidR="00E32FE0" w:rsidRPr="005B5EC1" w:rsidRDefault="00E32FE0">
      <w:pPr>
        <w:spacing w:before="1000" w:after="0" w:line="240" w:lineRule="exact"/>
        <w:jc w:val="center"/>
        <w:rPr>
          <w:rFonts w:ascii="Times New Roman" w:eastAsia="宋体" w:hAnsi="Times New Roman" w:cs="Times New Roman"/>
          <w:b/>
          <w:bCs/>
          <w:sz w:val="21"/>
          <w:szCs w:val="21"/>
        </w:rPr>
      </w:pPr>
    </w:p>
    <w:p w14:paraId="718BC90D" w14:textId="77777777" w:rsidR="00E32FE0" w:rsidRPr="005B5EC1" w:rsidRDefault="00E32FE0">
      <w:pPr>
        <w:spacing w:before="1000" w:after="1000" w:line="0" w:lineRule="atLeast"/>
        <w:jc w:val="center"/>
        <w:rPr>
          <w:rFonts w:ascii="Times New Roman" w:eastAsia="宋体" w:hAnsi="Times New Roman" w:cs="Times New Roman"/>
        </w:rPr>
      </w:pPr>
    </w:p>
    <w:p w14:paraId="1AACE2DF" w14:textId="081208FE" w:rsidR="00E32FE0" w:rsidRPr="005B5EC1" w:rsidRDefault="00901425">
      <w:pPr>
        <w:spacing w:before="400" w:after="0" w:line="320" w:lineRule="exact"/>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2024</w:t>
      </w:r>
      <w:r>
        <w:rPr>
          <w:rFonts w:ascii="Times New Roman" w:eastAsia="宋体" w:hAnsi="Times New Roman" w:cs="Times New Roman" w:hint="eastAsia"/>
          <w:b/>
          <w:bCs/>
          <w:sz w:val="32"/>
          <w:szCs w:val="32"/>
        </w:rPr>
        <w:t>年</w:t>
      </w:r>
      <w:r>
        <w:rPr>
          <w:rFonts w:ascii="Times New Roman" w:eastAsia="宋体" w:hAnsi="Times New Roman" w:cs="Times New Roman" w:hint="eastAsia"/>
          <w:b/>
          <w:bCs/>
          <w:sz w:val="32"/>
          <w:szCs w:val="32"/>
        </w:rPr>
        <w:t>4</w:t>
      </w:r>
      <w:r>
        <w:rPr>
          <w:rFonts w:ascii="Times New Roman" w:eastAsia="宋体" w:hAnsi="Times New Roman" w:cs="Times New Roman" w:hint="eastAsia"/>
          <w:b/>
          <w:bCs/>
          <w:sz w:val="32"/>
          <w:szCs w:val="32"/>
        </w:rPr>
        <w:t>月</w:t>
      </w:r>
      <w:r>
        <w:rPr>
          <w:rFonts w:ascii="Times New Roman" w:eastAsia="宋体" w:hAnsi="Times New Roman" w:cs="Times New Roman" w:hint="eastAsia"/>
          <w:b/>
          <w:bCs/>
          <w:sz w:val="32"/>
          <w:szCs w:val="32"/>
        </w:rPr>
        <w:t>26</w:t>
      </w:r>
      <w:r>
        <w:rPr>
          <w:rFonts w:ascii="Times New Roman" w:eastAsia="宋体" w:hAnsi="Times New Roman" w:cs="Times New Roman" w:hint="eastAsia"/>
          <w:b/>
          <w:bCs/>
          <w:sz w:val="32"/>
          <w:szCs w:val="32"/>
        </w:rPr>
        <w:t>日</w:t>
      </w:r>
    </w:p>
    <w:p w14:paraId="75885542"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0A3BB36D" w14:textId="77777777" w:rsidR="00E32FE0" w:rsidRPr="005B5EC1" w:rsidRDefault="00000000">
      <w:pPr>
        <w:spacing w:before="1000" w:after="40" w:line="440" w:lineRule="exact"/>
        <w:jc w:val="center"/>
        <w:rPr>
          <w:rFonts w:ascii="Times New Roman" w:eastAsia="宋体" w:hAnsi="Times New Roman" w:cs="Times New Roman"/>
          <w:b/>
          <w:bCs/>
          <w:sz w:val="44"/>
          <w:szCs w:val="44"/>
        </w:rPr>
      </w:pPr>
      <w:r w:rsidRPr="005B5EC1">
        <w:rPr>
          <w:rFonts w:ascii="Times New Roman" w:eastAsia="宋体" w:hAnsi="Times New Roman" w:cs="Times New Roman"/>
          <w:b/>
          <w:bCs/>
          <w:sz w:val="44"/>
          <w:szCs w:val="44"/>
        </w:rPr>
        <w:lastRenderedPageBreak/>
        <w:t>2024</w:t>
      </w:r>
      <w:r w:rsidRPr="005B5EC1">
        <w:rPr>
          <w:rFonts w:ascii="Times New Roman" w:eastAsia="宋体" w:hAnsi="Times New Roman" w:cs="Times New Roman"/>
          <w:b/>
          <w:bCs/>
          <w:sz w:val="44"/>
          <w:szCs w:val="44"/>
        </w:rPr>
        <w:t>年年度报告</w:t>
      </w:r>
    </w:p>
    <w:p w14:paraId="2F5F062F"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0" w:name="_Toc988889"/>
      <w:r w:rsidRPr="005B5EC1">
        <w:rPr>
          <w:rFonts w:ascii="Times New Roman" w:eastAsia="宋体" w:hAnsi="Times New Roman" w:cs="Times New Roman"/>
          <w:b/>
          <w:bCs/>
          <w:sz w:val="32"/>
          <w:szCs w:val="32"/>
        </w:rPr>
        <w:t>第一节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重要提示、目录和释义</w:t>
      </w:r>
      <w:bookmarkEnd w:id="0"/>
    </w:p>
    <w:p w14:paraId="6B7D0BA5" w14:textId="77777777" w:rsidR="00E32FE0" w:rsidRPr="005B5EC1" w:rsidRDefault="00000000">
      <w:pPr>
        <w:spacing w:before="40" w:after="40" w:line="560" w:lineRule="exact"/>
        <w:ind w:firstLineChars="200" w:firstLine="562"/>
        <w:rPr>
          <w:rFonts w:ascii="Times New Roman" w:eastAsia="宋体" w:hAnsi="Times New Roman" w:cs="Times New Roman"/>
          <w:b/>
          <w:bCs/>
          <w:sz w:val="28"/>
          <w:szCs w:val="28"/>
        </w:rPr>
      </w:pPr>
      <w:r w:rsidRPr="005B5EC1">
        <w:rPr>
          <w:rFonts w:ascii="Times New Roman" w:eastAsia="宋体" w:hAnsi="Times New Roman" w:cs="Times New Roman"/>
          <w:b/>
          <w:bCs/>
          <w:sz w:val="28"/>
          <w:szCs w:val="28"/>
        </w:rPr>
        <w:t>公司董事会、监事会及董事、监事、高级管理人员保证年度报告内容的真实、准确、完整，不存在虚假记载、误导性陈述或重大遗漏，并承担个别和连带的法律责任。</w:t>
      </w:r>
    </w:p>
    <w:p w14:paraId="3734993A" w14:textId="77777777" w:rsidR="00E32FE0" w:rsidRPr="005B5EC1" w:rsidRDefault="00000000">
      <w:pPr>
        <w:spacing w:after="0" w:line="560" w:lineRule="exact"/>
        <w:ind w:firstLineChars="200" w:firstLine="562"/>
        <w:rPr>
          <w:rFonts w:ascii="Times New Roman" w:eastAsia="宋体" w:hAnsi="Times New Roman" w:cs="Times New Roman"/>
          <w:b/>
          <w:bCs/>
          <w:sz w:val="28"/>
          <w:szCs w:val="28"/>
        </w:rPr>
      </w:pPr>
      <w:r w:rsidRPr="005B5EC1">
        <w:rPr>
          <w:rFonts w:ascii="Times New Roman" w:eastAsia="宋体" w:hAnsi="Times New Roman" w:cs="Times New Roman"/>
          <w:b/>
          <w:bCs/>
          <w:sz w:val="28"/>
          <w:szCs w:val="28"/>
        </w:rPr>
        <w:t>公司负责人杨晓初、主管会计工作负责人张凌及会计机构负责人（会计主管人员）郭锐声明：保证本年度报告中财务报告的真实、准确、完整。</w:t>
      </w:r>
    </w:p>
    <w:p w14:paraId="77E70947" w14:textId="77777777" w:rsidR="00E32FE0" w:rsidRPr="005B5EC1" w:rsidRDefault="00000000">
      <w:pPr>
        <w:spacing w:after="0" w:line="560" w:lineRule="exact"/>
        <w:rPr>
          <w:rFonts w:ascii="Times New Roman" w:eastAsia="宋体" w:hAnsi="Times New Roman" w:cs="Times New Roman"/>
          <w:b/>
          <w:bCs/>
          <w:sz w:val="28"/>
          <w:szCs w:val="28"/>
        </w:rPr>
      </w:pPr>
      <w:r w:rsidRPr="005B5EC1">
        <w:rPr>
          <w:rFonts w:ascii="Times New Roman" w:eastAsia="宋体" w:hAnsi="Times New Roman" w:cs="Times New Roman"/>
          <w:b/>
          <w:bCs/>
          <w:sz w:val="28"/>
          <w:szCs w:val="28"/>
        </w:rPr>
        <w:t>所有董事均</w:t>
      </w:r>
      <w:proofErr w:type="gramStart"/>
      <w:r w:rsidRPr="005B5EC1">
        <w:rPr>
          <w:rFonts w:ascii="Times New Roman" w:eastAsia="宋体" w:hAnsi="Times New Roman" w:cs="Times New Roman"/>
          <w:b/>
          <w:bCs/>
          <w:sz w:val="28"/>
          <w:szCs w:val="28"/>
        </w:rPr>
        <w:t>已出席</w:t>
      </w:r>
      <w:proofErr w:type="gramEnd"/>
      <w:r w:rsidRPr="005B5EC1">
        <w:rPr>
          <w:rFonts w:ascii="Times New Roman" w:eastAsia="宋体" w:hAnsi="Times New Roman" w:cs="Times New Roman"/>
          <w:b/>
          <w:bCs/>
          <w:sz w:val="28"/>
          <w:szCs w:val="28"/>
        </w:rPr>
        <w:t>了审议本报告的董事会会议。</w:t>
      </w:r>
    </w:p>
    <w:p w14:paraId="755BE65F" w14:textId="77777777" w:rsidR="00E32FE0" w:rsidRPr="005B5EC1" w:rsidRDefault="00000000">
      <w:pPr>
        <w:spacing w:after="0" w:line="560" w:lineRule="exact"/>
        <w:ind w:firstLineChars="200" w:firstLine="562"/>
        <w:rPr>
          <w:rFonts w:ascii="Times New Roman" w:eastAsia="宋体" w:hAnsi="Times New Roman" w:cs="Times New Roman"/>
          <w:b/>
          <w:bCs/>
          <w:sz w:val="28"/>
          <w:szCs w:val="28"/>
        </w:rPr>
      </w:pPr>
      <w:r w:rsidRPr="005B5EC1">
        <w:rPr>
          <w:rFonts w:ascii="Times New Roman" w:eastAsia="宋体" w:hAnsi="Times New Roman" w:cs="Times New Roman"/>
          <w:b/>
          <w:bCs/>
          <w:sz w:val="28"/>
          <w:szCs w:val="28"/>
        </w:rPr>
        <w:t>公司计划</w:t>
      </w:r>
      <w:proofErr w:type="gramStart"/>
      <w:r w:rsidRPr="005B5EC1">
        <w:rPr>
          <w:rFonts w:ascii="Times New Roman" w:eastAsia="宋体" w:hAnsi="Times New Roman" w:cs="Times New Roman"/>
          <w:b/>
          <w:bCs/>
          <w:sz w:val="28"/>
          <w:szCs w:val="28"/>
        </w:rPr>
        <w:t>不</w:t>
      </w:r>
      <w:proofErr w:type="gramEnd"/>
      <w:r w:rsidRPr="005B5EC1">
        <w:rPr>
          <w:rFonts w:ascii="Times New Roman" w:eastAsia="宋体" w:hAnsi="Times New Roman" w:cs="Times New Roman"/>
          <w:b/>
          <w:bCs/>
          <w:sz w:val="28"/>
          <w:szCs w:val="28"/>
        </w:rPr>
        <w:t>派发现金红利，不送红股，不以公积金转增股本。</w:t>
      </w:r>
    </w:p>
    <w:p w14:paraId="61A1B4D5"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13A345FE" w14:textId="77777777" w:rsidR="00E32FE0" w:rsidRPr="005B5EC1" w:rsidRDefault="00000000">
      <w:pPr>
        <w:spacing w:after="0" w:line="720" w:lineRule="exact"/>
        <w:jc w:val="center"/>
        <w:rPr>
          <w:rFonts w:ascii="Times New Roman" w:eastAsia="宋体" w:hAnsi="Times New Roman" w:cs="Times New Roman"/>
          <w:b/>
          <w:bCs/>
          <w:sz w:val="36"/>
          <w:szCs w:val="36"/>
        </w:rPr>
      </w:pPr>
      <w:r w:rsidRPr="005B5EC1">
        <w:rPr>
          <w:rFonts w:ascii="Times New Roman" w:eastAsia="宋体" w:hAnsi="Times New Roman" w:cs="Times New Roman"/>
          <w:b/>
          <w:bCs/>
          <w:sz w:val="36"/>
          <w:szCs w:val="36"/>
        </w:rPr>
        <w:lastRenderedPageBreak/>
        <w:t>目录</w:t>
      </w:r>
    </w:p>
    <w:p w14:paraId="79C0E95A" w14:textId="00B41BEC" w:rsidR="00E32FE0" w:rsidRPr="005B5EC1" w:rsidRDefault="00E32FE0">
      <w:pPr>
        <w:pStyle w:val="TOC1"/>
        <w:tabs>
          <w:tab w:val="left" w:leader="dot" w:pos="9469"/>
        </w:tabs>
        <w:rPr>
          <w:rFonts w:ascii="Times New Roman" w:hAnsi="Times New Roman" w:cs="Times New Roman"/>
          <w:noProof/>
        </w:rPr>
      </w:pPr>
      <w:r w:rsidRPr="005B5EC1">
        <w:rPr>
          <w:rFonts w:ascii="Times New Roman" w:hAnsi="Times New Roman" w:cs="Times New Roman"/>
        </w:rPr>
        <w:fldChar w:fldCharType="begin"/>
      </w:r>
      <w:r w:rsidRPr="005B5EC1">
        <w:rPr>
          <w:rFonts w:ascii="Times New Roman" w:hAnsi="Times New Roman" w:cs="Times New Roman"/>
        </w:rPr>
        <w:instrText xml:space="preserve"> </w:instrText>
      </w:r>
      <w:r w:rsidRPr="005B5EC1">
        <w:rPr>
          <w:rFonts w:ascii="Times New Roman" w:eastAsia="宋体" w:hAnsi="Times New Roman" w:cs="Times New Roman"/>
        </w:rPr>
        <w:instrText>TOC \o "1-2" \h \z \u</w:instrText>
      </w:r>
      <w:r w:rsidRPr="005B5EC1">
        <w:rPr>
          <w:rFonts w:ascii="Times New Roman" w:hAnsi="Times New Roman" w:cs="Times New Roman"/>
        </w:rPr>
        <w:instrText xml:space="preserve"> </w:instrText>
      </w:r>
      <w:r w:rsidRPr="005B5EC1">
        <w:rPr>
          <w:rFonts w:ascii="Times New Roman" w:hAnsi="Times New Roman" w:cs="Times New Roman"/>
        </w:rPr>
        <w:fldChar w:fldCharType="separate"/>
      </w:r>
      <w:hyperlink w:anchor="_Toc988889" w:history="1">
        <w:r w:rsidRPr="005B5EC1">
          <w:rPr>
            <w:rFonts w:ascii="Times New Roman" w:eastAsia="宋体" w:hAnsi="Times New Roman" w:cs="Times New Roman"/>
            <w:b/>
            <w:bCs/>
            <w:noProof/>
            <w:sz w:val="24"/>
          </w:rPr>
          <w:t>第一节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重要提示、目录和释义</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_Toc988889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2</w:t>
        </w:r>
        <w:r w:rsidRPr="005B5EC1">
          <w:rPr>
            <w:rFonts w:ascii="Times New Roman" w:hAnsi="Times New Roman" w:cs="Times New Roman"/>
            <w:noProof/>
            <w:webHidden/>
          </w:rPr>
          <w:fldChar w:fldCharType="end"/>
        </w:r>
      </w:hyperlink>
    </w:p>
    <w:p w14:paraId="78C517DB" w14:textId="1D4EF222" w:rsidR="00E32FE0" w:rsidRPr="005B5EC1" w:rsidRDefault="00E32FE0">
      <w:pPr>
        <w:pStyle w:val="TOC1"/>
        <w:tabs>
          <w:tab w:val="left" w:leader="dot" w:pos="9469"/>
        </w:tabs>
        <w:rPr>
          <w:rFonts w:ascii="Times New Roman" w:hAnsi="Times New Roman" w:cs="Times New Roman"/>
          <w:noProof/>
        </w:rPr>
      </w:pPr>
      <w:hyperlink w:anchor="_Toc988890" w:history="1">
        <w:r w:rsidRPr="005B5EC1">
          <w:rPr>
            <w:rFonts w:ascii="Times New Roman" w:eastAsia="宋体" w:hAnsi="Times New Roman" w:cs="Times New Roman"/>
            <w:b/>
            <w:bCs/>
            <w:noProof/>
            <w:sz w:val="24"/>
          </w:rPr>
          <w:t>第二节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公司简介和主要财务指标</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_Toc988890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6</w:t>
        </w:r>
        <w:r w:rsidRPr="005B5EC1">
          <w:rPr>
            <w:rFonts w:ascii="Times New Roman" w:hAnsi="Times New Roman" w:cs="Times New Roman"/>
            <w:noProof/>
            <w:webHidden/>
          </w:rPr>
          <w:fldChar w:fldCharType="end"/>
        </w:r>
      </w:hyperlink>
    </w:p>
    <w:p w14:paraId="3C3117A2" w14:textId="0C09DE17" w:rsidR="00E32FE0" w:rsidRPr="005B5EC1" w:rsidRDefault="00E32FE0">
      <w:pPr>
        <w:pStyle w:val="TOC1"/>
        <w:tabs>
          <w:tab w:val="left" w:leader="dot" w:pos="9469"/>
        </w:tabs>
        <w:rPr>
          <w:rFonts w:ascii="Times New Roman" w:hAnsi="Times New Roman" w:cs="Times New Roman"/>
          <w:noProof/>
        </w:rPr>
      </w:pPr>
      <w:hyperlink w:anchor="_Toc988902" w:history="1">
        <w:r w:rsidRPr="005B5EC1">
          <w:rPr>
            <w:rFonts w:ascii="Times New Roman" w:eastAsia="宋体" w:hAnsi="Times New Roman" w:cs="Times New Roman"/>
            <w:b/>
            <w:bCs/>
            <w:noProof/>
            <w:sz w:val="24"/>
          </w:rPr>
          <w:t>第三节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管理层讨论与分析</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_Toc988902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10</w:t>
        </w:r>
        <w:r w:rsidRPr="005B5EC1">
          <w:rPr>
            <w:rFonts w:ascii="Times New Roman" w:hAnsi="Times New Roman" w:cs="Times New Roman"/>
            <w:noProof/>
            <w:webHidden/>
          </w:rPr>
          <w:fldChar w:fldCharType="end"/>
        </w:r>
      </w:hyperlink>
    </w:p>
    <w:p w14:paraId="42646B0F" w14:textId="1ABD148D" w:rsidR="00E32FE0" w:rsidRPr="005B5EC1" w:rsidRDefault="00E32FE0">
      <w:pPr>
        <w:pStyle w:val="TOC1"/>
        <w:tabs>
          <w:tab w:val="left" w:leader="dot" w:pos="9469"/>
        </w:tabs>
        <w:rPr>
          <w:rFonts w:ascii="Times New Roman" w:hAnsi="Times New Roman" w:cs="Times New Roman"/>
          <w:noProof/>
        </w:rPr>
      </w:pPr>
      <w:hyperlink w:anchor="_Toc988945" w:history="1">
        <w:r w:rsidRPr="005B5EC1">
          <w:rPr>
            <w:rFonts w:ascii="Times New Roman" w:eastAsia="宋体" w:hAnsi="Times New Roman" w:cs="Times New Roman"/>
            <w:b/>
            <w:bCs/>
            <w:noProof/>
            <w:sz w:val="24"/>
          </w:rPr>
          <w:t>第四节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公司治理</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_Toc988945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30</w:t>
        </w:r>
        <w:r w:rsidRPr="005B5EC1">
          <w:rPr>
            <w:rFonts w:ascii="Times New Roman" w:hAnsi="Times New Roman" w:cs="Times New Roman"/>
            <w:noProof/>
            <w:webHidden/>
          </w:rPr>
          <w:fldChar w:fldCharType="end"/>
        </w:r>
      </w:hyperlink>
    </w:p>
    <w:p w14:paraId="216BE3AF" w14:textId="45CE3468" w:rsidR="00E32FE0" w:rsidRPr="005B5EC1" w:rsidRDefault="00E32FE0">
      <w:pPr>
        <w:pStyle w:val="TOC1"/>
        <w:tabs>
          <w:tab w:val="left" w:leader="dot" w:pos="9469"/>
        </w:tabs>
        <w:rPr>
          <w:rFonts w:ascii="Times New Roman" w:hAnsi="Times New Roman" w:cs="Times New Roman"/>
          <w:noProof/>
        </w:rPr>
      </w:pPr>
      <w:hyperlink w:anchor="_Toc988978" w:history="1">
        <w:r w:rsidRPr="005B5EC1">
          <w:rPr>
            <w:rFonts w:ascii="Times New Roman" w:eastAsia="宋体" w:hAnsi="Times New Roman" w:cs="Times New Roman"/>
            <w:b/>
            <w:bCs/>
            <w:noProof/>
            <w:sz w:val="24"/>
          </w:rPr>
          <w:t>第五节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环境和社会责任</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_Toc988978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43</w:t>
        </w:r>
        <w:r w:rsidRPr="005B5EC1">
          <w:rPr>
            <w:rFonts w:ascii="Times New Roman" w:hAnsi="Times New Roman" w:cs="Times New Roman"/>
            <w:noProof/>
            <w:webHidden/>
          </w:rPr>
          <w:fldChar w:fldCharType="end"/>
        </w:r>
      </w:hyperlink>
    </w:p>
    <w:p w14:paraId="430A841F" w14:textId="4323E1DF" w:rsidR="00E32FE0" w:rsidRPr="005B5EC1" w:rsidRDefault="00E32FE0">
      <w:pPr>
        <w:pStyle w:val="TOC1"/>
        <w:tabs>
          <w:tab w:val="left" w:leader="dot" w:pos="9469"/>
        </w:tabs>
        <w:rPr>
          <w:rFonts w:ascii="Times New Roman" w:hAnsi="Times New Roman" w:cs="Times New Roman"/>
          <w:noProof/>
        </w:rPr>
      </w:pPr>
      <w:hyperlink w:anchor="_Toc988982" w:history="1">
        <w:r w:rsidRPr="005B5EC1">
          <w:rPr>
            <w:rFonts w:ascii="Times New Roman" w:eastAsia="宋体" w:hAnsi="Times New Roman" w:cs="Times New Roman"/>
            <w:b/>
            <w:bCs/>
            <w:noProof/>
            <w:sz w:val="24"/>
          </w:rPr>
          <w:t>第六节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重要事项</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_Toc988982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49</w:t>
        </w:r>
        <w:r w:rsidRPr="005B5EC1">
          <w:rPr>
            <w:rFonts w:ascii="Times New Roman" w:hAnsi="Times New Roman" w:cs="Times New Roman"/>
            <w:noProof/>
            <w:webHidden/>
          </w:rPr>
          <w:fldChar w:fldCharType="end"/>
        </w:r>
      </w:hyperlink>
    </w:p>
    <w:p w14:paraId="057B610C" w14:textId="2E72A1E9" w:rsidR="00E32FE0" w:rsidRPr="005B5EC1" w:rsidRDefault="00E32FE0">
      <w:pPr>
        <w:pStyle w:val="TOC1"/>
        <w:tabs>
          <w:tab w:val="left" w:leader="dot" w:pos="9469"/>
        </w:tabs>
        <w:rPr>
          <w:rFonts w:ascii="Times New Roman" w:hAnsi="Times New Roman" w:cs="Times New Roman"/>
          <w:noProof/>
        </w:rPr>
      </w:pPr>
      <w:hyperlink w:anchor="_Toc989018" w:history="1">
        <w:r w:rsidRPr="005B5EC1">
          <w:rPr>
            <w:rFonts w:ascii="Times New Roman" w:eastAsia="宋体" w:hAnsi="Times New Roman" w:cs="Times New Roman"/>
            <w:b/>
            <w:bCs/>
            <w:noProof/>
            <w:sz w:val="24"/>
          </w:rPr>
          <w:t>第七节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股份变动及股东情况</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_Toc989018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64</w:t>
        </w:r>
        <w:r w:rsidRPr="005B5EC1">
          <w:rPr>
            <w:rFonts w:ascii="Times New Roman" w:hAnsi="Times New Roman" w:cs="Times New Roman"/>
            <w:noProof/>
            <w:webHidden/>
          </w:rPr>
          <w:fldChar w:fldCharType="end"/>
        </w:r>
      </w:hyperlink>
    </w:p>
    <w:p w14:paraId="6946BD48" w14:textId="35F28C9C" w:rsidR="00E32FE0" w:rsidRPr="005B5EC1" w:rsidRDefault="00E32FE0">
      <w:pPr>
        <w:pStyle w:val="TOC1"/>
        <w:tabs>
          <w:tab w:val="left" w:leader="dot" w:pos="9469"/>
        </w:tabs>
        <w:rPr>
          <w:rFonts w:ascii="Times New Roman" w:hAnsi="Times New Roman" w:cs="Times New Roman"/>
          <w:noProof/>
        </w:rPr>
      </w:pPr>
      <w:hyperlink w:anchor="_Toc989034" w:history="1">
        <w:r w:rsidRPr="005B5EC1">
          <w:rPr>
            <w:rFonts w:ascii="Times New Roman" w:eastAsia="宋体" w:hAnsi="Times New Roman" w:cs="Times New Roman"/>
            <w:b/>
            <w:bCs/>
            <w:noProof/>
            <w:sz w:val="24"/>
          </w:rPr>
          <w:t>第八节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优先股相关情况</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_Toc989034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70</w:t>
        </w:r>
        <w:r w:rsidRPr="005B5EC1">
          <w:rPr>
            <w:rFonts w:ascii="Times New Roman" w:hAnsi="Times New Roman" w:cs="Times New Roman"/>
            <w:noProof/>
            <w:webHidden/>
          </w:rPr>
          <w:fldChar w:fldCharType="end"/>
        </w:r>
      </w:hyperlink>
    </w:p>
    <w:p w14:paraId="59D86EA3" w14:textId="04ED22DF" w:rsidR="00E32FE0" w:rsidRPr="005B5EC1" w:rsidRDefault="00E32FE0">
      <w:pPr>
        <w:pStyle w:val="TOC1"/>
        <w:tabs>
          <w:tab w:val="left" w:leader="dot" w:pos="9469"/>
        </w:tabs>
        <w:rPr>
          <w:rFonts w:ascii="Times New Roman" w:hAnsi="Times New Roman" w:cs="Times New Roman"/>
          <w:noProof/>
        </w:rPr>
      </w:pPr>
      <w:hyperlink w:anchor="_Toc989035" w:history="1">
        <w:r w:rsidRPr="005B5EC1">
          <w:rPr>
            <w:rFonts w:ascii="Times New Roman" w:eastAsia="宋体" w:hAnsi="Times New Roman" w:cs="Times New Roman"/>
            <w:b/>
            <w:bCs/>
            <w:noProof/>
            <w:sz w:val="24"/>
          </w:rPr>
          <w:t>第九节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债券相关情况</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_Toc989035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70</w:t>
        </w:r>
        <w:r w:rsidRPr="005B5EC1">
          <w:rPr>
            <w:rFonts w:ascii="Times New Roman" w:hAnsi="Times New Roman" w:cs="Times New Roman"/>
            <w:noProof/>
            <w:webHidden/>
          </w:rPr>
          <w:fldChar w:fldCharType="end"/>
        </w:r>
      </w:hyperlink>
    </w:p>
    <w:p w14:paraId="5F194A3D" w14:textId="5469F1E9" w:rsidR="00E32FE0" w:rsidRPr="005B5EC1" w:rsidRDefault="00E32FE0">
      <w:pPr>
        <w:pStyle w:val="TOC1"/>
        <w:tabs>
          <w:tab w:val="left" w:leader="dot" w:pos="9469"/>
        </w:tabs>
        <w:rPr>
          <w:rFonts w:ascii="Times New Roman" w:hAnsi="Times New Roman" w:cs="Times New Roman"/>
          <w:noProof/>
        </w:rPr>
      </w:pPr>
      <w:hyperlink w:anchor="_Toc989049" w:history="1">
        <w:r w:rsidRPr="005B5EC1">
          <w:rPr>
            <w:rFonts w:ascii="Times New Roman" w:eastAsia="宋体" w:hAnsi="Times New Roman" w:cs="Times New Roman"/>
            <w:b/>
            <w:bCs/>
            <w:noProof/>
            <w:sz w:val="24"/>
          </w:rPr>
          <w:t>第十节</w:t>
        </w:r>
        <w:r w:rsidRPr="005B5EC1">
          <w:rPr>
            <w:rFonts w:ascii="Times New Roman" w:eastAsia="宋体" w:hAnsi="Times New Roman" w:cs="Times New Roman"/>
            <w:b/>
            <w:bCs/>
            <w:noProof/>
            <w:sz w:val="24"/>
          </w:rPr>
          <w:t xml:space="preserve"> </w:t>
        </w:r>
        <w:r w:rsidRPr="005B5EC1">
          <w:rPr>
            <w:rFonts w:ascii="Times New Roman" w:eastAsia="宋体" w:hAnsi="Times New Roman" w:cs="Times New Roman"/>
            <w:b/>
            <w:bCs/>
            <w:noProof/>
            <w:sz w:val="24"/>
          </w:rPr>
          <w:t>财务报告</w:t>
        </w:r>
        <w:r w:rsidRPr="005B5EC1">
          <w:rPr>
            <w:rFonts w:ascii="Times New Roman" w:hAnsi="Times New Roman" w:cs="Times New Roman"/>
            <w:noProof/>
            <w:webHidden/>
          </w:rPr>
          <w:tab/>
        </w:r>
        <w:r w:rsidRPr="005B5EC1">
          <w:rPr>
            <w:rFonts w:ascii="Times New Roman" w:hAnsi="Times New Roman" w:cs="Times New Roman"/>
            <w:noProof/>
            <w:webHidden/>
          </w:rPr>
          <w:fldChar w:fldCharType="begin"/>
        </w:r>
        <w:r w:rsidRPr="005B5EC1">
          <w:rPr>
            <w:rFonts w:ascii="Times New Roman" w:hAnsi="Times New Roman" w:cs="Times New Roman"/>
            <w:noProof/>
            <w:webHidden/>
          </w:rPr>
          <w:instrText xml:space="preserve"> PAGEREF _Toc989049 \h </w:instrText>
        </w:r>
        <w:r w:rsidRPr="005B5EC1">
          <w:rPr>
            <w:rFonts w:ascii="Times New Roman" w:hAnsi="Times New Roman" w:cs="Times New Roman"/>
            <w:noProof/>
            <w:webHidden/>
          </w:rPr>
        </w:r>
        <w:r w:rsidRPr="005B5EC1">
          <w:rPr>
            <w:rFonts w:ascii="Times New Roman" w:hAnsi="Times New Roman" w:cs="Times New Roman"/>
            <w:noProof/>
            <w:webHidden/>
          </w:rPr>
          <w:fldChar w:fldCharType="separate"/>
        </w:r>
        <w:r w:rsidR="00C46E6A">
          <w:rPr>
            <w:rFonts w:ascii="Times New Roman" w:hAnsi="Times New Roman" w:cs="Times New Roman"/>
            <w:noProof/>
            <w:webHidden/>
          </w:rPr>
          <w:t>73</w:t>
        </w:r>
        <w:r w:rsidRPr="005B5EC1">
          <w:rPr>
            <w:rFonts w:ascii="Times New Roman" w:hAnsi="Times New Roman" w:cs="Times New Roman"/>
            <w:noProof/>
            <w:webHidden/>
          </w:rPr>
          <w:fldChar w:fldCharType="end"/>
        </w:r>
      </w:hyperlink>
      <w:r w:rsidRPr="005B5EC1">
        <w:rPr>
          <w:rFonts w:ascii="Times New Roman" w:hAnsi="Times New Roman" w:cs="Times New Roman"/>
        </w:rPr>
        <w:fldChar w:fldCharType="end"/>
      </w:r>
    </w:p>
    <w:p w14:paraId="6841FCFF"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46939F9F" w14:textId="77777777" w:rsidR="00E32FE0" w:rsidRPr="005B5EC1" w:rsidRDefault="00000000">
      <w:pPr>
        <w:spacing w:after="0" w:line="640" w:lineRule="exact"/>
        <w:jc w:val="center"/>
        <w:rPr>
          <w:rFonts w:ascii="Times New Roman" w:eastAsia="宋体" w:hAnsi="Times New Roman" w:cs="Times New Roman"/>
          <w:b/>
          <w:bCs/>
          <w:sz w:val="32"/>
          <w:szCs w:val="32"/>
        </w:rPr>
      </w:pPr>
      <w:r w:rsidRPr="005B5EC1">
        <w:rPr>
          <w:rFonts w:ascii="Times New Roman" w:eastAsia="宋体" w:hAnsi="Times New Roman" w:cs="Times New Roman"/>
          <w:b/>
          <w:bCs/>
          <w:sz w:val="32"/>
          <w:szCs w:val="32"/>
        </w:rPr>
        <w:lastRenderedPageBreak/>
        <w:t>备查文件目录</w:t>
      </w:r>
    </w:p>
    <w:p w14:paraId="285F8090" w14:textId="77777777" w:rsidR="00AF139E" w:rsidRPr="005B5EC1" w:rsidRDefault="00000000">
      <w:pPr>
        <w:pStyle w:val="a3"/>
        <w:spacing w:line="560" w:lineRule="atLeast"/>
        <w:ind w:firstLine="408"/>
        <w:divId w:val="1648435451"/>
        <w:rPr>
          <w:rFonts w:ascii="Times New Roman" w:hAnsi="Times New Roman" w:cs="Times New Roman"/>
          <w:sz w:val="18"/>
          <w:szCs w:val="18"/>
        </w:rPr>
      </w:pPr>
      <w:r w:rsidRPr="005B5EC1">
        <w:rPr>
          <w:rFonts w:ascii="Times New Roman" w:hAnsi="Times New Roman" w:cs="Times New Roman"/>
          <w:sz w:val="18"/>
          <w:szCs w:val="18"/>
        </w:rPr>
        <w:t>（一）载有公司负责人、主管会计工作负责人、会计机构负责人</w:t>
      </w:r>
      <w:r w:rsidRPr="005B5EC1">
        <w:rPr>
          <w:rFonts w:ascii="Times New Roman" w:hAnsi="Times New Roman" w:cs="Times New Roman"/>
          <w:sz w:val="18"/>
          <w:szCs w:val="18"/>
        </w:rPr>
        <w:t>(</w:t>
      </w:r>
      <w:r w:rsidRPr="005B5EC1">
        <w:rPr>
          <w:rFonts w:ascii="Times New Roman" w:hAnsi="Times New Roman" w:cs="Times New Roman"/>
          <w:sz w:val="18"/>
          <w:szCs w:val="18"/>
        </w:rPr>
        <w:t>会计主管人员</w:t>
      </w:r>
      <w:r w:rsidRPr="005B5EC1">
        <w:rPr>
          <w:rFonts w:ascii="Times New Roman" w:hAnsi="Times New Roman" w:cs="Times New Roman"/>
          <w:sz w:val="18"/>
          <w:szCs w:val="18"/>
        </w:rPr>
        <w:t>)</w:t>
      </w:r>
      <w:r w:rsidRPr="005B5EC1">
        <w:rPr>
          <w:rFonts w:ascii="Times New Roman" w:hAnsi="Times New Roman" w:cs="Times New Roman"/>
          <w:sz w:val="18"/>
          <w:szCs w:val="18"/>
        </w:rPr>
        <w:t>签名并盖章的财务报表。</w:t>
      </w:r>
    </w:p>
    <w:p w14:paraId="72D3DA11" w14:textId="77777777" w:rsidR="00AF139E" w:rsidRPr="005B5EC1" w:rsidRDefault="00000000">
      <w:pPr>
        <w:pStyle w:val="a3"/>
        <w:spacing w:line="560" w:lineRule="atLeast"/>
        <w:ind w:firstLine="408"/>
        <w:divId w:val="1648435451"/>
        <w:rPr>
          <w:rFonts w:ascii="Times New Roman" w:hAnsi="Times New Roman" w:cs="Times New Roman"/>
          <w:sz w:val="18"/>
          <w:szCs w:val="18"/>
        </w:rPr>
      </w:pPr>
      <w:r w:rsidRPr="005B5EC1">
        <w:rPr>
          <w:rFonts w:ascii="Times New Roman" w:hAnsi="Times New Roman" w:cs="Times New Roman"/>
          <w:sz w:val="18"/>
          <w:szCs w:val="18"/>
        </w:rPr>
        <w:t>（二）载有会计师事务所盖章、注册会计师签名并盖章的审计报告原件。</w:t>
      </w:r>
    </w:p>
    <w:p w14:paraId="4461C280" w14:textId="77777777" w:rsidR="00AF139E" w:rsidRPr="005B5EC1" w:rsidRDefault="00000000">
      <w:pPr>
        <w:pStyle w:val="a3"/>
        <w:spacing w:line="560" w:lineRule="atLeast"/>
        <w:ind w:firstLine="408"/>
        <w:divId w:val="1648435451"/>
        <w:rPr>
          <w:rFonts w:ascii="Times New Roman" w:hAnsi="Times New Roman" w:cs="Times New Roman"/>
          <w:sz w:val="18"/>
          <w:szCs w:val="18"/>
        </w:rPr>
      </w:pPr>
      <w:r w:rsidRPr="005B5EC1">
        <w:rPr>
          <w:rFonts w:ascii="Times New Roman" w:hAnsi="Times New Roman" w:cs="Times New Roman"/>
          <w:sz w:val="18"/>
          <w:szCs w:val="18"/>
        </w:rPr>
        <w:t>（三）报告期内公开披露过的所有公司文件的正本及公告的原稿</w:t>
      </w:r>
    </w:p>
    <w:p w14:paraId="756F79F2"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50A623C3" w14:textId="77777777" w:rsidR="00E32FE0" w:rsidRPr="005B5EC1" w:rsidRDefault="00000000">
      <w:pPr>
        <w:spacing w:before="40" w:after="40" w:line="560" w:lineRule="exact"/>
        <w:jc w:val="center"/>
        <w:rPr>
          <w:rFonts w:ascii="Times New Roman" w:eastAsia="宋体" w:hAnsi="Times New Roman" w:cs="Times New Roman"/>
          <w:b/>
          <w:bCs/>
          <w:sz w:val="32"/>
          <w:szCs w:val="32"/>
        </w:rPr>
      </w:pPr>
      <w:r w:rsidRPr="005B5EC1">
        <w:rPr>
          <w:rFonts w:ascii="Times New Roman" w:eastAsia="宋体" w:hAnsi="Times New Roman" w:cs="Times New Roman"/>
          <w:b/>
          <w:bCs/>
          <w:sz w:val="32"/>
          <w:szCs w:val="32"/>
        </w:rPr>
        <w:lastRenderedPageBreak/>
        <w:t>释义</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268"/>
        <w:gridCol w:w="1843"/>
        <w:gridCol w:w="5528"/>
      </w:tblGrid>
      <w:tr w:rsidR="00E32FE0" w:rsidRPr="005B5EC1" w14:paraId="014CDE70"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10B6CA9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释义项</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4F86685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shd w:val="clear" w:color="auto" w:fill="D3D3D3"/>
            <w:vAlign w:val="center"/>
          </w:tcPr>
          <w:p w14:paraId="725D532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释义内容</w:t>
            </w:r>
          </w:p>
        </w:tc>
      </w:tr>
      <w:tr w:rsidR="00E32FE0" w:rsidRPr="005B5EC1" w14:paraId="5CA231D7"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7CFE102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公司、本公司、龙大美食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9BF95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05E927A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山东龙大美食股份有限公司</w:t>
            </w:r>
          </w:p>
        </w:tc>
      </w:tr>
      <w:tr w:rsidR="00E32FE0" w:rsidRPr="005B5EC1" w14:paraId="052612E7"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555EE3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44DF39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2D85E81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蓝润发展控股集团有限公司，本公司控股股东</w:t>
            </w:r>
          </w:p>
        </w:tc>
      </w:tr>
      <w:tr w:rsidR="00E32FE0" w:rsidRPr="005B5EC1" w14:paraId="0A51067E"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20AFD92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龙大养殖</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52A473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11FBF77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烟台龙大养殖有限公司，本公司全资子公司</w:t>
            </w:r>
          </w:p>
        </w:tc>
      </w:tr>
      <w:tr w:rsidR="00E32FE0" w:rsidRPr="005B5EC1" w14:paraId="60BB13FF"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6172D2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黑龙江龙大养殖</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0CF2665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4A4C007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黑龙江龙大养殖有限公司，本公司全资子公司</w:t>
            </w:r>
          </w:p>
        </w:tc>
      </w:tr>
      <w:tr w:rsidR="00E32FE0" w:rsidRPr="005B5EC1" w14:paraId="30BAB06E"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03FB090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龙大饲料</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509576B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10F8B8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烟台龙大饲料有限公司，本公司全资子公司</w:t>
            </w:r>
          </w:p>
        </w:tc>
      </w:tr>
      <w:tr w:rsidR="00E32FE0" w:rsidRPr="005B5EC1" w14:paraId="0339306D"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050F4BA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w:t>
            </w:r>
            <w:proofErr w:type="gramStart"/>
            <w:r w:rsidRPr="005B5EC1">
              <w:rPr>
                <w:rFonts w:ascii="Times New Roman" w:eastAsia="宋体" w:hAnsi="Times New Roman" w:cs="Times New Roman"/>
                <w:sz w:val="18"/>
                <w:szCs w:val="18"/>
              </w:rPr>
              <w:t>大牧原</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6D5D10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43C1F7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河南龙大牧原肉食品有限公司，本公司控股子公司</w:t>
            </w:r>
          </w:p>
        </w:tc>
      </w:tr>
      <w:tr w:rsidR="00E32FE0" w:rsidRPr="005B5EC1" w14:paraId="18745286"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440364D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w:t>
            </w:r>
            <w:proofErr w:type="gramStart"/>
            <w:r w:rsidRPr="005B5EC1">
              <w:rPr>
                <w:rFonts w:ascii="Times New Roman" w:eastAsia="宋体" w:hAnsi="Times New Roman" w:cs="Times New Roman"/>
                <w:sz w:val="18"/>
                <w:szCs w:val="18"/>
              </w:rPr>
              <w:t>祥</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5140827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32DB0C5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w:t>
            </w:r>
            <w:proofErr w:type="gramStart"/>
            <w:r w:rsidRPr="005B5EC1">
              <w:rPr>
                <w:rFonts w:ascii="Times New Roman" w:eastAsia="宋体" w:hAnsi="Times New Roman" w:cs="Times New Roman"/>
                <w:sz w:val="18"/>
                <w:szCs w:val="18"/>
              </w:rPr>
              <w:t>祥</w:t>
            </w:r>
            <w:proofErr w:type="gramEnd"/>
            <w:r w:rsidRPr="005B5EC1">
              <w:rPr>
                <w:rFonts w:ascii="Times New Roman" w:eastAsia="宋体" w:hAnsi="Times New Roman" w:cs="Times New Roman"/>
                <w:sz w:val="18"/>
                <w:szCs w:val="18"/>
              </w:rPr>
              <w:t>食品有限公司，本公司控股子公司</w:t>
            </w:r>
          </w:p>
        </w:tc>
      </w:tr>
      <w:tr w:rsidR="00E32FE0" w:rsidRPr="005B5EC1" w14:paraId="3D2FD401"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418EA3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8109D1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067E7A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聊城龙大肉食品有限公司，本公司全资子公司</w:t>
            </w:r>
          </w:p>
        </w:tc>
      </w:tr>
      <w:tr w:rsidR="00E32FE0" w:rsidRPr="005B5EC1" w14:paraId="2E865E42"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6EE5036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2BF71F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6584B0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蓬莱富龙肉食品有限公司，本公司控股子公司</w:t>
            </w:r>
          </w:p>
        </w:tc>
      </w:tr>
      <w:tr w:rsidR="00E32FE0" w:rsidRPr="005B5EC1" w14:paraId="1BBF666D"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73DAD1F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CB6796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6F5B46F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黑龙江龙大肉食品有限公司，本公司全资子公司</w:t>
            </w:r>
          </w:p>
        </w:tc>
      </w:tr>
      <w:tr w:rsidR="00E32FE0" w:rsidRPr="005B5EC1" w14:paraId="06B83956"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18C929A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784FE58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2C2446A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巴中龙大肉食品有限公司，本公司全资子公司</w:t>
            </w:r>
          </w:p>
        </w:tc>
      </w:tr>
      <w:tr w:rsidR="00E32FE0" w:rsidRPr="005B5EC1" w14:paraId="42DE4B43"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647C4D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0FB9804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A7B2F9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成都龙大肉食品有限公司，本公司控股子公司</w:t>
            </w:r>
          </w:p>
        </w:tc>
      </w:tr>
      <w:tr w:rsidR="00E32FE0" w:rsidRPr="005B5EC1" w14:paraId="1C080EBB"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64FA302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湖北龙大</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D15B70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751AB1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湖北龙大肉食品有限公司，本公司全资子公司</w:t>
            </w:r>
          </w:p>
        </w:tc>
      </w:tr>
      <w:tr w:rsidR="00E32FE0" w:rsidRPr="005B5EC1" w14:paraId="127BDCA3"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7C29D3E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龙大沁</w:t>
            </w:r>
            <w:proofErr w:type="gramStart"/>
            <w:r w:rsidRPr="005B5EC1">
              <w:rPr>
                <w:rFonts w:ascii="Times New Roman" w:eastAsia="宋体" w:hAnsi="Times New Roman" w:cs="Times New Roman"/>
                <w:sz w:val="18"/>
                <w:szCs w:val="18"/>
              </w:rPr>
              <w:t>侬</w:t>
            </w:r>
            <w:proofErr w:type="gramEnd"/>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BB3390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5A0BCE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江苏龙大沁侬食品有限公司，本公司全资子公司</w:t>
            </w:r>
          </w:p>
        </w:tc>
      </w:tr>
      <w:tr w:rsidR="00E32FE0" w:rsidRPr="005B5EC1" w14:paraId="24F97C97"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34CC103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龙大美食贸易</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396CDE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1B65A1B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山东龙大美食贸易有限公司，本公司全资子公司</w:t>
            </w:r>
          </w:p>
        </w:tc>
      </w:tr>
      <w:tr w:rsidR="00E32FE0" w:rsidRPr="005B5EC1" w14:paraId="1FF89650"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122D6C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73A9F97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AD45CC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海南龙大美食有限责任公司，本公司全资子公司</w:t>
            </w:r>
          </w:p>
        </w:tc>
      </w:tr>
      <w:tr w:rsidR="00E32FE0" w:rsidRPr="005B5EC1" w14:paraId="6ADE69D8"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1EAB48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龙大生猪</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BFF297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76E5D9B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山东龙大生猪产品工程技术研究有限公司，本公司全资子公司</w:t>
            </w:r>
          </w:p>
        </w:tc>
      </w:tr>
      <w:tr w:rsidR="00E32FE0" w:rsidRPr="005B5EC1" w14:paraId="13EDDF51"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718F63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莱阳龙瑞</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4D5E79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3D23728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莱阳龙瑞食品有限公司，本公司全资子公司</w:t>
            </w:r>
          </w:p>
        </w:tc>
      </w:tr>
      <w:tr w:rsidR="00E32FE0" w:rsidRPr="005B5EC1" w14:paraId="43208F1A"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279CEF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杰科检测</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4A965F9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05DE7A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烟台杰科检测服务有限公司，本公司全资子公司</w:t>
            </w:r>
          </w:p>
        </w:tc>
      </w:tr>
      <w:tr w:rsidR="00E32FE0" w:rsidRPr="005B5EC1" w14:paraId="4F0F865D"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531EC0D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龙大科技</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5DD8131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4561ABF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成都龙大科技有限公司，本公司全资子公司</w:t>
            </w:r>
          </w:p>
        </w:tc>
      </w:tr>
      <w:tr w:rsidR="00E32FE0" w:rsidRPr="005B5EC1" w14:paraId="5BDA5F8D"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21A270E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中和盛杰</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FD1526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4C545F5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青岛中和盛杰食品有限公司，本公司控股子公司</w:t>
            </w:r>
          </w:p>
        </w:tc>
      </w:tr>
      <w:tr w:rsidR="00E32FE0" w:rsidRPr="005B5EC1" w14:paraId="524C69D2"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639080F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云南福照</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9B1187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A03792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云南福照食品有限公司，本公司控股子公司</w:t>
            </w:r>
          </w:p>
        </w:tc>
      </w:tr>
      <w:tr w:rsidR="00E32FE0" w:rsidRPr="005B5EC1" w14:paraId="2314CCB9"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5884792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龙鲜生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D289B2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49D59DD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山东龙鲜生供应链管理有限公司，本公司全资子公司</w:t>
            </w:r>
          </w:p>
        </w:tc>
      </w:tr>
      <w:tr w:rsidR="00E32FE0" w:rsidRPr="005B5EC1" w14:paraId="41BB3EE8"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6FFE8E9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香港龙大</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3B1890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1CE2BEB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香港龙大发展有限公司，本公司全资子公司</w:t>
            </w:r>
          </w:p>
        </w:tc>
      </w:tr>
      <w:tr w:rsidR="00E32FE0" w:rsidRPr="005B5EC1" w14:paraId="66BC0497"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47692E9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快厨帮</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92DF8D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63AFB4E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北京快厨帮科技有限公司，本公司控股子公司</w:t>
            </w:r>
          </w:p>
        </w:tc>
      </w:tr>
      <w:tr w:rsidR="00E32FE0" w:rsidRPr="005B5EC1" w14:paraId="3AC8462F"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56090CA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龙大管理咨询</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437C09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9E4D4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青岛龙大管理咨询服务有限公司，本公司全资子公司</w:t>
            </w:r>
          </w:p>
        </w:tc>
      </w:tr>
      <w:tr w:rsidR="00E32FE0" w:rsidRPr="005B5EC1" w14:paraId="4DD2E140"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30394F9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莱州龙大养殖</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1B0325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7F89356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莱州龙大养殖有限公司，本公司全资孙公司</w:t>
            </w:r>
          </w:p>
        </w:tc>
      </w:tr>
      <w:tr w:rsidR="00E32FE0" w:rsidRPr="005B5EC1" w14:paraId="07887810"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2E18218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莱阳龙大养殖</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ECA0FC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8CB3A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莱阳龙大养殖有限公司，本公司全资孙公司</w:t>
            </w:r>
          </w:p>
        </w:tc>
      </w:tr>
      <w:tr w:rsidR="00E32FE0" w:rsidRPr="005B5EC1" w14:paraId="16FC6A95"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1972BA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安丘龙大养殖</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16405E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5436E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安丘龙大养殖有限公司，本公司全资孙公司</w:t>
            </w:r>
          </w:p>
        </w:tc>
      </w:tr>
      <w:tr w:rsidR="00E32FE0" w:rsidRPr="005B5EC1" w14:paraId="4E7A2A0B"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6C919DC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泰麟食品</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95E0E3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18534B3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泰麟食品（烟台）有限责任公司，本公司全资孙公司</w:t>
            </w:r>
          </w:p>
        </w:tc>
      </w:tr>
      <w:tr w:rsidR="00E32FE0" w:rsidRPr="005B5EC1" w14:paraId="73B64357"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3FABBB6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乳山中和盛杰</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A40CB8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62CD29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乳山中和盛杰食品有限公司，中和盛杰全资子公司</w:t>
            </w:r>
          </w:p>
        </w:tc>
      </w:tr>
      <w:tr w:rsidR="00E32FE0" w:rsidRPr="005B5EC1" w14:paraId="7BDA7076"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32424E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新胜锦</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4D1163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44F28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青岛新胜锦食品商贸有限公司，中和盛杰全资子公司</w:t>
            </w:r>
          </w:p>
        </w:tc>
      </w:tr>
      <w:tr w:rsidR="00E32FE0" w:rsidRPr="005B5EC1" w14:paraId="66921BEE"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0619599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青岛龙大鲜生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58F30C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315009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青岛龙大鲜生供应链有限公司，龙鲜生控股子公司</w:t>
            </w:r>
          </w:p>
        </w:tc>
      </w:tr>
      <w:tr w:rsidR="00E32FE0" w:rsidRPr="005B5EC1" w14:paraId="280CB8CE"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0E4660D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中国证监会</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CFECB3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15C7AB8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中国证券监督管理委员会</w:t>
            </w:r>
          </w:p>
        </w:tc>
      </w:tr>
      <w:tr w:rsidR="00E32FE0" w:rsidRPr="005B5EC1" w14:paraId="46FF08CE"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0B1A915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546ED5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5D0C96B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日至</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r>
      <w:tr w:rsidR="00E32FE0" w:rsidRPr="005B5EC1" w14:paraId="24D0830F" w14:textId="77777777" w:rsidTr="00BB1F9D">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410199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元、万元</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75614B5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w:t>
            </w:r>
          </w:p>
        </w:tc>
        <w:tc>
          <w:tcPr>
            <w:tcW w:w="5528" w:type="dxa"/>
            <w:tcBorders>
              <w:top w:val="single" w:sz="2" w:space="0" w:color="auto"/>
              <w:left w:val="single" w:sz="2" w:space="0" w:color="auto"/>
              <w:bottom w:val="single" w:sz="2" w:space="0" w:color="auto"/>
              <w:right w:val="single" w:sz="2" w:space="0" w:color="auto"/>
            </w:tcBorders>
            <w:vAlign w:val="center"/>
          </w:tcPr>
          <w:p w14:paraId="30937A8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人民币元、万元</w:t>
            </w:r>
          </w:p>
        </w:tc>
      </w:tr>
    </w:tbl>
    <w:p w14:paraId="6E408D25"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3D73B535"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1" w:name="_Toc988890"/>
      <w:r w:rsidRPr="005B5EC1">
        <w:rPr>
          <w:rFonts w:ascii="Times New Roman" w:eastAsia="宋体" w:hAnsi="Times New Roman" w:cs="Times New Roman"/>
          <w:b/>
          <w:bCs/>
          <w:sz w:val="32"/>
          <w:szCs w:val="32"/>
        </w:rPr>
        <w:lastRenderedPageBreak/>
        <w:t>第二节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公司简介和主要财务指标</w:t>
      </w:r>
      <w:bookmarkEnd w:id="1"/>
    </w:p>
    <w:p w14:paraId="1AFB9A55"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2" w:name="_Toc988891"/>
      <w:r w:rsidRPr="005B5EC1">
        <w:rPr>
          <w:rFonts w:ascii="Times New Roman" w:eastAsia="宋体" w:hAnsi="Times New Roman" w:cs="Times New Roman"/>
          <w:b/>
          <w:bCs/>
          <w:sz w:val="24"/>
          <w:szCs w:val="24"/>
        </w:rPr>
        <w:t>一、公司信息</w:t>
      </w:r>
      <w:bookmarkEnd w:id="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1F53EF8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15C6DD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14:paraId="11EDDAF2"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龙大美食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CF53E9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14:paraId="176F2E67"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002726</w:t>
            </w:r>
          </w:p>
        </w:tc>
      </w:tr>
      <w:tr w:rsidR="00E32FE0" w:rsidRPr="005B5EC1" w14:paraId="5908FD6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18B3C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变更前的股票简称（如有）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38B6D4A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公司股票简称于</w:t>
            </w: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日由</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龙大肉食</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变更为</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龙大美食</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p>
        </w:tc>
      </w:tr>
      <w:tr w:rsidR="00E32FE0" w:rsidRPr="005B5EC1" w14:paraId="3BFD457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ED75F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股票上市证券交易所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58D344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深圳证券交易所</w:t>
            </w:r>
          </w:p>
        </w:tc>
      </w:tr>
      <w:tr w:rsidR="00E32FE0" w:rsidRPr="005B5EC1" w14:paraId="05CE2C6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E5E795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公司的中文名称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0961BE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山东龙大美食股份有限公司</w:t>
            </w:r>
          </w:p>
        </w:tc>
      </w:tr>
      <w:tr w:rsidR="00E32FE0" w:rsidRPr="005B5EC1" w14:paraId="1BDEE66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1890C4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公司的中文简称</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11A902D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龙大美食</w:t>
            </w:r>
          </w:p>
        </w:tc>
      </w:tr>
      <w:tr w:rsidR="00E32FE0" w:rsidRPr="005B5EC1" w14:paraId="6D8CDEE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13986E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公司的外文名称（如有）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26FA5B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Shandong </w:t>
            </w:r>
            <w:proofErr w:type="spellStart"/>
            <w:r w:rsidRPr="005B5EC1">
              <w:rPr>
                <w:rFonts w:ascii="Times New Roman" w:eastAsia="宋体" w:hAnsi="Times New Roman" w:cs="Times New Roman"/>
                <w:sz w:val="18"/>
                <w:szCs w:val="18"/>
              </w:rPr>
              <w:t>Longda</w:t>
            </w:r>
            <w:proofErr w:type="spellEnd"/>
            <w:r w:rsidRPr="005B5EC1">
              <w:rPr>
                <w:rFonts w:ascii="Times New Roman" w:eastAsia="宋体" w:hAnsi="Times New Roman" w:cs="Times New Roman"/>
                <w:sz w:val="18"/>
                <w:szCs w:val="18"/>
              </w:rPr>
              <w:t xml:space="preserve"> </w:t>
            </w:r>
            <w:proofErr w:type="spellStart"/>
            <w:r w:rsidRPr="005B5EC1">
              <w:rPr>
                <w:rFonts w:ascii="Times New Roman" w:eastAsia="宋体" w:hAnsi="Times New Roman" w:cs="Times New Roman"/>
                <w:sz w:val="18"/>
                <w:szCs w:val="18"/>
              </w:rPr>
              <w:t>Meishi</w:t>
            </w:r>
            <w:proofErr w:type="spellEnd"/>
            <w:r w:rsidRPr="005B5EC1">
              <w:rPr>
                <w:rFonts w:ascii="Times New Roman" w:eastAsia="宋体" w:hAnsi="Times New Roman" w:cs="Times New Roman"/>
                <w:sz w:val="18"/>
                <w:szCs w:val="18"/>
              </w:rPr>
              <w:t xml:space="preserve"> </w:t>
            </w:r>
            <w:proofErr w:type="spellStart"/>
            <w:r w:rsidRPr="005B5EC1">
              <w:rPr>
                <w:rFonts w:ascii="Times New Roman" w:eastAsia="宋体" w:hAnsi="Times New Roman" w:cs="Times New Roman"/>
                <w:sz w:val="18"/>
                <w:szCs w:val="18"/>
              </w:rPr>
              <w:t>CO.,Ltd</w:t>
            </w:r>
            <w:proofErr w:type="spellEnd"/>
            <w:r w:rsidRPr="005B5EC1">
              <w:rPr>
                <w:rFonts w:ascii="Times New Roman" w:eastAsia="宋体" w:hAnsi="Times New Roman" w:cs="Times New Roman"/>
                <w:sz w:val="18"/>
                <w:szCs w:val="18"/>
              </w:rPr>
              <w:t>.</w:t>
            </w:r>
          </w:p>
        </w:tc>
      </w:tr>
      <w:tr w:rsidR="00E32FE0" w:rsidRPr="005B5EC1" w14:paraId="6EA0896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050268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公司的外文名称缩写（如有）</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2DE2BE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LONGDA</w:t>
            </w:r>
          </w:p>
        </w:tc>
      </w:tr>
      <w:tr w:rsidR="00E32FE0" w:rsidRPr="005B5EC1" w14:paraId="1FFD6D8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FC4081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公司的法定代表人</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3E78165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杨晓初</w:t>
            </w:r>
          </w:p>
        </w:tc>
      </w:tr>
      <w:tr w:rsidR="00E32FE0" w:rsidRPr="005B5EC1" w14:paraId="0911092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85FCC2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注册地址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6E27D4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山东省莱阳市食品工业园区</w:t>
            </w:r>
          </w:p>
        </w:tc>
      </w:tr>
      <w:tr w:rsidR="00E32FE0" w:rsidRPr="005B5EC1" w14:paraId="32E5E75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98C30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注册地址的邮政编码</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187DF32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265200</w:t>
            </w:r>
          </w:p>
        </w:tc>
      </w:tr>
      <w:tr w:rsidR="00E32FE0" w:rsidRPr="005B5EC1" w14:paraId="4980B8C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8E831E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公司注册地址历史变更情况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3ECFEB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32FE0" w:rsidRPr="005B5EC1" w14:paraId="7D82D4F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A3DDC3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办公地址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623745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山东省莱阳市龙门东路</w:t>
            </w:r>
            <w:r w:rsidRPr="005B5EC1">
              <w:rPr>
                <w:rFonts w:ascii="Times New Roman" w:eastAsia="宋体" w:hAnsi="Times New Roman" w:cs="Times New Roman"/>
                <w:sz w:val="18"/>
                <w:szCs w:val="18"/>
              </w:rPr>
              <w:t>99</w:t>
            </w:r>
            <w:r w:rsidRPr="005B5EC1">
              <w:rPr>
                <w:rFonts w:ascii="Times New Roman" w:eastAsia="宋体" w:hAnsi="Times New Roman" w:cs="Times New Roman"/>
                <w:sz w:val="18"/>
                <w:szCs w:val="18"/>
              </w:rPr>
              <w:t>号</w:t>
            </w:r>
          </w:p>
        </w:tc>
      </w:tr>
      <w:tr w:rsidR="00E32FE0" w:rsidRPr="005B5EC1" w14:paraId="6C379A7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F31CEB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办公地址的邮政编码</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54D4366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265200</w:t>
            </w:r>
          </w:p>
        </w:tc>
      </w:tr>
      <w:tr w:rsidR="00E32FE0" w:rsidRPr="005B5EC1" w14:paraId="1ECC0FE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2D453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公司网址</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5FC4DF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www.longdameishi.com</w:t>
            </w:r>
          </w:p>
        </w:tc>
      </w:tr>
      <w:tr w:rsidR="00E32FE0" w:rsidRPr="005B5EC1" w14:paraId="1F03B6B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58BC24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电子信箱</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2DA7F23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zqb@longdameishi.com</w:t>
            </w:r>
          </w:p>
        </w:tc>
      </w:tr>
    </w:tbl>
    <w:p w14:paraId="6C86688B"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3" w:name="_Toc988892"/>
      <w:r w:rsidRPr="005B5EC1">
        <w:rPr>
          <w:rFonts w:ascii="Times New Roman" w:eastAsia="宋体" w:hAnsi="Times New Roman" w:cs="Times New Roman"/>
          <w:b/>
          <w:bCs/>
          <w:sz w:val="24"/>
          <w:szCs w:val="24"/>
        </w:rPr>
        <w:t>二、联系人和联系方式</w:t>
      </w:r>
      <w:bookmarkEnd w:id="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22B45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658E4F"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11699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0D315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证券事务代表</w:t>
            </w:r>
          </w:p>
        </w:tc>
      </w:tr>
      <w:tr w:rsidR="00E32FE0" w:rsidRPr="005B5EC1" w14:paraId="48AB15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268C2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14:paraId="6EDBCC6B"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3213" w:type="dxa"/>
            <w:tcBorders>
              <w:top w:val="single" w:sz="2" w:space="0" w:color="auto"/>
              <w:left w:val="single" w:sz="2" w:space="0" w:color="auto"/>
              <w:bottom w:val="single" w:sz="2" w:space="0" w:color="auto"/>
              <w:right w:val="single" w:sz="2" w:space="0" w:color="auto"/>
            </w:tcBorders>
            <w:vAlign w:val="center"/>
          </w:tcPr>
          <w:p w14:paraId="013E28AD"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彭威</w:t>
            </w:r>
          </w:p>
        </w:tc>
      </w:tr>
      <w:tr w:rsidR="00E32FE0" w:rsidRPr="005B5EC1" w14:paraId="2EEAE7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626A6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14:paraId="68994C0E"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山东省莱阳市龙门东路</w:t>
            </w:r>
            <w:r w:rsidRPr="005B5EC1">
              <w:rPr>
                <w:rFonts w:ascii="Times New Roman" w:eastAsia="宋体" w:hAnsi="Times New Roman" w:cs="Times New Roman"/>
                <w:sz w:val="18"/>
                <w:szCs w:val="18"/>
              </w:rPr>
              <w:t>99</w:t>
            </w:r>
            <w:r w:rsidRPr="005B5EC1">
              <w:rPr>
                <w:rFonts w:ascii="Times New Roman" w:eastAsia="宋体" w:hAnsi="Times New Roman" w:cs="Times New Roman"/>
                <w:sz w:val="18"/>
                <w:szCs w:val="18"/>
              </w:rPr>
              <w:t>号</w:t>
            </w:r>
          </w:p>
        </w:tc>
        <w:tc>
          <w:tcPr>
            <w:tcW w:w="3213" w:type="dxa"/>
            <w:tcBorders>
              <w:top w:val="single" w:sz="2" w:space="0" w:color="auto"/>
              <w:left w:val="single" w:sz="2" w:space="0" w:color="auto"/>
              <w:bottom w:val="single" w:sz="2" w:space="0" w:color="auto"/>
              <w:right w:val="single" w:sz="2" w:space="0" w:color="auto"/>
            </w:tcBorders>
            <w:vAlign w:val="center"/>
          </w:tcPr>
          <w:p w14:paraId="5C07B656"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山东省莱阳市龙门东路</w:t>
            </w:r>
            <w:r w:rsidRPr="005B5EC1">
              <w:rPr>
                <w:rFonts w:ascii="Times New Roman" w:eastAsia="宋体" w:hAnsi="Times New Roman" w:cs="Times New Roman"/>
                <w:sz w:val="18"/>
                <w:szCs w:val="18"/>
              </w:rPr>
              <w:t>99</w:t>
            </w:r>
            <w:r w:rsidRPr="005B5EC1">
              <w:rPr>
                <w:rFonts w:ascii="Times New Roman" w:eastAsia="宋体" w:hAnsi="Times New Roman" w:cs="Times New Roman"/>
                <w:sz w:val="18"/>
                <w:szCs w:val="18"/>
              </w:rPr>
              <w:t>号</w:t>
            </w:r>
          </w:p>
        </w:tc>
      </w:tr>
      <w:tr w:rsidR="00E32FE0" w:rsidRPr="005B5EC1" w14:paraId="3184CB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C9507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14:paraId="3A1FF8E3"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0535-7717760</w:t>
            </w:r>
          </w:p>
        </w:tc>
        <w:tc>
          <w:tcPr>
            <w:tcW w:w="3213" w:type="dxa"/>
            <w:tcBorders>
              <w:top w:val="single" w:sz="2" w:space="0" w:color="auto"/>
              <w:left w:val="single" w:sz="2" w:space="0" w:color="auto"/>
              <w:bottom w:val="single" w:sz="2" w:space="0" w:color="auto"/>
              <w:right w:val="single" w:sz="2" w:space="0" w:color="auto"/>
            </w:tcBorders>
            <w:vAlign w:val="center"/>
          </w:tcPr>
          <w:p w14:paraId="779BDD46"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0535-7717760</w:t>
            </w:r>
          </w:p>
        </w:tc>
      </w:tr>
      <w:tr w:rsidR="00E32FE0" w:rsidRPr="005B5EC1" w14:paraId="6338F8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745EA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14:paraId="615F5766"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0535-7717337</w:t>
            </w:r>
          </w:p>
        </w:tc>
        <w:tc>
          <w:tcPr>
            <w:tcW w:w="3213" w:type="dxa"/>
            <w:tcBorders>
              <w:top w:val="single" w:sz="2" w:space="0" w:color="auto"/>
              <w:left w:val="single" w:sz="2" w:space="0" w:color="auto"/>
              <w:bottom w:val="single" w:sz="2" w:space="0" w:color="auto"/>
              <w:right w:val="single" w:sz="2" w:space="0" w:color="auto"/>
            </w:tcBorders>
            <w:vAlign w:val="center"/>
          </w:tcPr>
          <w:p w14:paraId="21A8C923"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0535-7717337</w:t>
            </w:r>
          </w:p>
        </w:tc>
      </w:tr>
      <w:tr w:rsidR="00E32FE0" w:rsidRPr="005B5EC1" w14:paraId="149921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A0C24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14:paraId="0149D77E"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zqb@longdameishi.com</w:t>
            </w:r>
          </w:p>
        </w:tc>
        <w:tc>
          <w:tcPr>
            <w:tcW w:w="3213" w:type="dxa"/>
            <w:tcBorders>
              <w:top w:val="single" w:sz="2" w:space="0" w:color="auto"/>
              <w:left w:val="single" w:sz="2" w:space="0" w:color="auto"/>
              <w:bottom w:val="single" w:sz="2" w:space="0" w:color="auto"/>
              <w:right w:val="single" w:sz="2" w:space="0" w:color="auto"/>
            </w:tcBorders>
            <w:vAlign w:val="center"/>
          </w:tcPr>
          <w:p w14:paraId="08DCAB02"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zqb@longdameishi.com</w:t>
            </w:r>
          </w:p>
        </w:tc>
      </w:tr>
    </w:tbl>
    <w:p w14:paraId="51B94647"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 w:name="_Toc988893"/>
      <w:r w:rsidRPr="005B5EC1">
        <w:rPr>
          <w:rFonts w:ascii="Times New Roman" w:eastAsia="宋体" w:hAnsi="Times New Roman" w:cs="Times New Roman"/>
          <w:b/>
          <w:bCs/>
          <w:sz w:val="24"/>
          <w:szCs w:val="24"/>
        </w:rPr>
        <w:t>三、信息披露及备置地点</w:t>
      </w:r>
      <w:bookmarkEnd w:id="4"/>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1CE47BF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BC9FAC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公司披露年度报告的证券交易所网站</w:t>
            </w:r>
          </w:p>
        </w:tc>
        <w:tc>
          <w:tcPr>
            <w:tcW w:w="4820" w:type="dxa"/>
            <w:tcBorders>
              <w:top w:val="single" w:sz="2" w:space="0" w:color="auto"/>
              <w:left w:val="single" w:sz="2" w:space="0" w:color="auto"/>
              <w:bottom w:val="single" w:sz="2" w:space="0" w:color="auto"/>
              <w:right w:val="single" w:sz="2" w:space="0" w:color="auto"/>
            </w:tcBorders>
            <w:vAlign w:val="center"/>
          </w:tcPr>
          <w:p w14:paraId="1EA78D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《证券时报》《中国证券报》《上海证券报》《证券日报》</w:t>
            </w:r>
          </w:p>
        </w:tc>
      </w:tr>
      <w:tr w:rsidR="00E32FE0" w:rsidRPr="005B5EC1" w14:paraId="5C0592D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475A1E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公司披露年度报告的媒体名称及网址</w:t>
            </w:r>
          </w:p>
        </w:tc>
        <w:tc>
          <w:tcPr>
            <w:tcW w:w="4820" w:type="dxa"/>
            <w:tcBorders>
              <w:top w:val="single" w:sz="2" w:space="0" w:color="auto"/>
              <w:left w:val="single" w:sz="2" w:space="0" w:color="auto"/>
              <w:bottom w:val="single" w:sz="2" w:space="0" w:color="auto"/>
              <w:right w:val="single" w:sz="2" w:space="0" w:color="auto"/>
            </w:tcBorders>
            <w:vAlign w:val="center"/>
          </w:tcPr>
          <w:p w14:paraId="2FD0101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巨潮资讯网；</w:t>
            </w:r>
            <w:r w:rsidRPr="005B5EC1">
              <w:rPr>
                <w:rFonts w:ascii="Times New Roman" w:eastAsia="宋体" w:hAnsi="Times New Roman" w:cs="Times New Roman"/>
                <w:sz w:val="18"/>
                <w:szCs w:val="18"/>
              </w:rPr>
              <w:t>www.cninfo.com.cn</w:t>
            </w:r>
          </w:p>
        </w:tc>
      </w:tr>
      <w:tr w:rsidR="00E32FE0" w:rsidRPr="005B5EC1" w14:paraId="601E94E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CDF88E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公司年度报告备置地点</w:t>
            </w:r>
          </w:p>
        </w:tc>
        <w:tc>
          <w:tcPr>
            <w:tcW w:w="4820" w:type="dxa"/>
            <w:tcBorders>
              <w:top w:val="single" w:sz="2" w:space="0" w:color="auto"/>
              <w:left w:val="single" w:sz="2" w:space="0" w:color="auto"/>
              <w:bottom w:val="single" w:sz="2" w:space="0" w:color="auto"/>
              <w:right w:val="single" w:sz="2" w:space="0" w:color="auto"/>
            </w:tcBorders>
            <w:vAlign w:val="center"/>
          </w:tcPr>
          <w:p w14:paraId="0693688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山东省莱阳市龙门东路</w:t>
            </w:r>
            <w:r w:rsidRPr="005B5EC1">
              <w:rPr>
                <w:rFonts w:ascii="Times New Roman" w:eastAsia="宋体" w:hAnsi="Times New Roman" w:cs="Times New Roman"/>
                <w:sz w:val="18"/>
                <w:szCs w:val="18"/>
              </w:rPr>
              <w:t>99</w:t>
            </w:r>
            <w:r w:rsidRPr="005B5EC1">
              <w:rPr>
                <w:rFonts w:ascii="Times New Roman" w:eastAsia="宋体" w:hAnsi="Times New Roman" w:cs="Times New Roman"/>
                <w:sz w:val="18"/>
                <w:szCs w:val="18"/>
              </w:rPr>
              <w:t>号证券部</w:t>
            </w:r>
          </w:p>
        </w:tc>
      </w:tr>
    </w:tbl>
    <w:p w14:paraId="10435E27"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 w:name="_Toc988894"/>
      <w:r w:rsidRPr="005B5EC1">
        <w:rPr>
          <w:rFonts w:ascii="Times New Roman" w:eastAsia="宋体" w:hAnsi="Times New Roman" w:cs="Times New Roman"/>
          <w:b/>
          <w:bCs/>
          <w:sz w:val="24"/>
          <w:szCs w:val="24"/>
        </w:rPr>
        <w:t>四、注册变更情况</w:t>
      </w:r>
      <w:bookmarkEnd w:id="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70E6C37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37FB7C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统一社会信用代码</w:t>
            </w:r>
          </w:p>
        </w:tc>
        <w:tc>
          <w:tcPr>
            <w:tcW w:w="4820" w:type="dxa"/>
            <w:tcBorders>
              <w:top w:val="single" w:sz="2" w:space="0" w:color="auto"/>
              <w:left w:val="single" w:sz="2" w:space="0" w:color="auto"/>
              <w:bottom w:val="single" w:sz="2" w:space="0" w:color="auto"/>
              <w:right w:val="single" w:sz="2" w:space="0" w:color="auto"/>
            </w:tcBorders>
            <w:vAlign w:val="center"/>
          </w:tcPr>
          <w:p w14:paraId="55BA8E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913700007591559056</w:t>
            </w:r>
          </w:p>
        </w:tc>
      </w:tr>
      <w:tr w:rsidR="00E32FE0" w:rsidRPr="005B5EC1" w14:paraId="34F5C4D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FE54C7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公司上市以来主营业务的变化情况（如有）</w:t>
            </w:r>
          </w:p>
        </w:tc>
        <w:tc>
          <w:tcPr>
            <w:tcW w:w="4820" w:type="dxa"/>
            <w:tcBorders>
              <w:top w:val="single" w:sz="2" w:space="0" w:color="auto"/>
              <w:left w:val="single" w:sz="2" w:space="0" w:color="auto"/>
              <w:bottom w:val="single" w:sz="2" w:space="0" w:color="auto"/>
              <w:right w:val="single" w:sz="2" w:space="0" w:color="auto"/>
            </w:tcBorders>
            <w:vAlign w:val="center"/>
          </w:tcPr>
          <w:p w14:paraId="7AB2B5C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无变更</w:t>
            </w:r>
          </w:p>
        </w:tc>
      </w:tr>
      <w:tr w:rsidR="00E32FE0" w:rsidRPr="005B5EC1" w14:paraId="6395AF7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38CD1F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历次控股股东的变更情况（如有）</w:t>
            </w:r>
          </w:p>
        </w:tc>
        <w:tc>
          <w:tcPr>
            <w:tcW w:w="4820" w:type="dxa"/>
            <w:tcBorders>
              <w:top w:val="single" w:sz="2" w:space="0" w:color="auto"/>
              <w:left w:val="single" w:sz="2" w:space="0" w:color="auto"/>
              <w:bottom w:val="single" w:sz="2" w:space="0" w:color="auto"/>
              <w:right w:val="single" w:sz="2" w:space="0" w:color="auto"/>
            </w:tcBorders>
            <w:vAlign w:val="center"/>
          </w:tcPr>
          <w:p w14:paraId="5C5F6EC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日，龙大食品集团有限公司（以下简称</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龙大集团</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）与蓝润发展签署《股份转让协议》，龙大集团拟</w:t>
            </w:r>
            <w:r w:rsidRPr="005B5EC1">
              <w:rPr>
                <w:rFonts w:ascii="Times New Roman" w:eastAsia="宋体" w:hAnsi="Times New Roman" w:cs="Times New Roman"/>
                <w:sz w:val="18"/>
                <w:szCs w:val="18"/>
              </w:rPr>
              <w:lastRenderedPageBreak/>
              <w:t>转让其所持公司</w:t>
            </w:r>
            <w:r w:rsidRPr="005B5EC1">
              <w:rPr>
                <w:rFonts w:ascii="Times New Roman" w:eastAsia="宋体" w:hAnsi="Times New Roman" w:cs="Times New Roman"/>
                <w:sz w:val="18"/>
                <w:szCs w:val="18"/>
              </w:rPr>
              <w:t>74,856,800</w:t>
            </w:r>
            <w:r w:rsidRPr="005B5EC1">
              <w:rPr>
                <w:rFonts w:ascii="Times New Roman" w:eastAsia="宋体" w:hAnsi="Times New Roman" w:cs="Times New Roman"/>
                <w:sz w:val="18"/>
                <w:szCs w:val="18"/>
              </w:rPr>
              <w:t>股无限售流通股</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占公司总股本的</w:t>
            </w:r>
            <w:r w:rsidRPr="005B5EC1">
              <w:rPr>
                <w:rFonts w:ascii="Times New Roman" w:eastAsia="宋体" w:hAnsi="Times New Roman" w:cs="Times New Roman"/>
                <w:sz w:val="18"/>
                <w:szCs w:val="18"/>
              </w:rPr>
              <w:t>9.91%)</w:t>
            </w:r>
            <w:r w:rsidRPr="005B5EC1">
              <w:rPr>
                <w:rFonts w:ascii="Times New Roman" w:eastAsia="宋体" w:hAnsi="Times New Roman" w:cs="Times New Roman"/>
                <w:sz w:val="18"/>
                <w:szCs w:val="18"/>
              </w:rPr>
              <w:t>给蓝润发展。</w:t>
            </w:r>
          </w:p>
          <w:p w14:paraId="5429D32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日，公司收到中国证券登记结算有限责任公司出具的《证券过户登记确认书》，上述协议转让股份的过户登记手续已完成，过户日期为</w:t>
            </w: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14</w:t>
            </w:r>
            <w:r w:rsidRPr="005B5EC1">
              <w:rPr>
                <w:rFonts w:ascii="Times New Roman" w:eastAsia="宋体" w:hAnsi="Times New Roman" w:cs="Times New Roman"/>
                <w:sz w:val="18"/>
                <w:szCs w:val="18"/>
              </w:rPr>
              <w:t>日。本次股份转让完成后，蓝润发展成为公司控股股东。</w:t>
            </w:r>
          </w:p>
        </w:tc>
      </w:tr>
    </w:tbl>
    <w:p w14:paraId="0078781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6" w:name="_Toc988895"/>
      <w:r w:rsidRPr="005B5EC1">
        <w:rPr>
          <w:rFonts w:ascii="Times New Roman" w:eastAsia="宋体" w:hAnsi="Times New Roman" w:cs="Times New Roman"/>
          <w:b/>
          <w:bCs/>
          <w:sz w:val="24"/>
          <w:szCs w:val="24"/>
        </w:rPr>
        <w:lastRenderedPageBreak/>
        <w:t>五、其他有关资料</w:t>
      </w:r>
      <w:bookmarkEnd w:id="6"/>
    </w:p>
    <w:p w14:paraId="28A2DAE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公司聘请的会计师事务所</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7C059EB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AB38DC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14:paraId="2552FECC"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众华会计师事务所（特殊普通合伙）</w:t>
            </w:r>
          </w:p>
        </w:tc>
      </w:tr>
      <w:tr w:rsidR="00E32FE0" w:rsidRPr="005B5EC1" w14:paraId="36A3A15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EA73A1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会计师事务所办公地址</w:t>
            </w:r>
          </w:p>
        </w:tc>
        <w:tc>
          <w:tcPr>
            <w:tcW w:w="4820" w:type="dxa"/>
            <w:tcBorders>
              <w:top w:val="single" w:sz="2" w:space="0" w:color="auto"/>
              <w:left w:val="single" w:sz="2" w:space="0" w:color="auto"/>
              <w:bottom w:val="single" w:sz="2" w:space="0" w:color="auto"/>
              <w:right w:val="single" w:sz="2" w:space="0" w:color="auto"/>
            </w:tcBorders>
            <w:vAlign w:val="center"/>
          </w:tcPr>
          <w:p w14:paraId="706D92BF"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上海市嘉定工业区叶城路</w:t>
            </w:r>
            <w:r w:rsidRPr="005B5EC1">
              <w:rPr>
                <w:rFonts w:ascii="Times New Roman" w:eastAsia="宋体" w:hAnsi="Times New Roman" w:cs="Times New Roman"/>
                <w:sz w:val="18"/>
                <w:szCs w:val="18"/>
              </w:rPr>
              <w:t>1630</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幢</w:t>
            </w:r>
            <w:r w:rsidRPr="005B5EC1">
              <w:rPr>
                <w:rFonts w:ascii="Times New Roman" w:eastAsia="宋体" w:hAnsi="Times New Roman" w:cs="Times New Roman"/>
                <w:sz w:val="18"/>
                <w:szCs w:val="18"/>
              </w:rPr>
              <w:t>1088</w:t>
            </w:r>
            <w:r w:rsidRPr="005B5EC1">
              <w:rPr>
                <w:rFonts w:ascii="Times New Roman" w:eastAsia="宋体" w:hAnsi="Times New Roman" w:cs="Times New Roman"/>
                <w:sz w:val="18"/>
                <w:szCs w:val="18"/>
              </w:rPr>
              <w:t>室</w:t>
            </w:r>
          </w:p>
        </w:tc>
      </w:tr>
      <w:tr w:rsidR="00E32FE0" w:rsidRPr="005B5EC1" w14:paraId="22CE772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E71A5D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签字会计师姓名</w:t>
            </w:r>
          </w:p>
        </w:tc>
        <w:tc>
          <w:tcPr>
            <w:tcW w:w="4820" w:type="dxa"/>
            <w:tcBorders>
              <w:top w:val="single" w:sz="2" w:space="0" w:color="auto"/>
              <w:left w:val="single" w:sz="2" w:space="0" w:color="auto"/>
              <w:bottom w:val="single" w:sz="2" w:space="0" w:color="auto"/>
              <w:right w:val="single" w:sz="2" w:space="0" w:color="auto"/>
            </w:tcBorders>
            <w:vAlign w:val="center"/>
          </w:tcPr>
          <w:p w14:paraId="28F38F55" w14:textId="77777777" w:rsidR="00E32FE0" w:rsidRPr="005B5EC1" w:rsidRDefault="00000000" w:rsidP="0090142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李立生、杨学燕</w:t>
            </w:r>
          </w:p>
        </w:tc>
      </w:tr>
    </w:tbl>
    <w:p w14:paraId="65BD499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公司聘请的报告期内履行持续督导职责的保荐机构</w:t>
      </w:r>
    </w:p>
    <w:p w14:paraId="29BCF17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087F9E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公司聘请的报告期内履行持续督导职责的财务顾问</w:t>
      </w:r>
    </w:p>
    <w:p w14:paraId="0B8B226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3B3C38C"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7" w:name="_Toc988896"/>
      <w:r w:rsidRPr="005B5EC1">
        <w:rPr>
          <w:rFonts w:ascii="Times New Roman" w:eastAsia="宋体" w:hAnsi="Times New Roman" w:cs="Times New Roman"/>
          <w:b/>
          <w:bCs/>
          <w:sz w:val="24"/>
          <w:szCs w:val="24"/>
        </w:rPr>
        <w:t>六、主要会计数据和财务指标</w:t>
      </w:r>
      <w:bookmarkEnd w:id="7"/>
    </w:p>
    <w:p w14:paraId="5261D4E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公司是否需追溯调整或重述以前年度会计数据</w:t>
      </w:r>
    </w:p>
    <w:p w14:paraId="0E31BCA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0331C3F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1EE327"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FD278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E185F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DDF3A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本年比上年增减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D8549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p>
        </w:tc>
      </w:tr>
      <w:tr w:rsidR="00E32FE0" w:rsidRPr="005B5EC1" w14:paraId="4A173CD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73729B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14:paraId="0A48A6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10,989,671,145.22</w:t>
            </w:r>
          </w:p>
        </w:tc>
        <w:tc>
          <w:tcPr>
            <w:tcW w:w="1928" w:type="dxa"/>
            <w:tcBorders>
              <w:top w:val="single" w:sz="2" w:space="0" w:color="auto"/>
              <w:left w:val="single" w:sz="2" w:space="0" w:color="auto"/>
              <w:bottom w:val="single" w:sz="2" w:space="0" w:color="auto"/>
              <w:right w:val="single" w:sz="2" w:space="0" w:color="auto"/>
            </w:tcBorders>
            <w:vAlign w:val="center"/>
          </w:tcPr>
          <w:p w14:paraId="2022BD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13,318,473,211.90</w:t>
            </w:r>
          </w:p>
        </w:tc>
        <w:tc>
          <w:tcPr>
            <w:tcW w:w="1928" w:type="dxa"/>
            <w:tcBorders>
              <w:top w:val="single" w:sz="2" w:space="0" w:color="auto"/>
              <w:left w:val="single" w:sz="2" w:space="0" w:color="auto"/>
              <w:bottom w:val="single" w:sz="2" w:space="0" w:color="auto"/>
              <w:right w:val="single" w:sz="2" w:space="0" w:color="auto"/>
            </w:tcBorders>
            <w:vAlign w:val="center"/>
          </w:tcPr>
          <w:p w14:paraId="6FBDC3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-17.49%</w:t>
            </w:r>
          </w:p>
        </w:tc>
        <w:tc>
          <w:tcPr>
            <w:tcW w:w="1928" w:type="dxa"/>
            <w:tcBorders>
              <w:top w:val="single" w:sz="2" w:space="0" w:color="auto"/>
              <w:left w:val="single" w:sz="2" w:space="0" w:color="auto"/>
              <w:bottom w:val="single" w:sz="2" w:space="0" w:color="auto"/>
              <w:right w:val="single" w:sz="2" w:space="0" w:color="auto"/>
            </w:tcBorders>
            <w:vAlign w:val="center"/>
          </w:tcPr>
          <w:p w14:paraId="5DEF8D9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16,116,307,059.41</w:t>
            </w:r>
          </w:p>
        </w:tc>
      </w:tr>
      <w:tr w:rsidR="00E32FE0" w:rsidRPr="005B5EC1" w14:paraId="5A5C0FD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86927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14:paraId="5DAD07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21,617,644.76</w:t>
            </w:r>
          </w:p>
        </w:tc>
        <w:tc>
          <w:tcPr>
            <w:tcW w:w="1928" w:type="dxa"/>
            <w:tcBorders>
              <w:top w:val="single" w:sz="2" w:space="0" w:color="auto"/>
              <w:left w:val="single" w:sz="2" w:space="0" w:color="auto"/>
              <w:bottom w:val="single" w:sz="2" w:space="0" w:color="auto"/>
              <w:right w:val="single" w:sz="2" w:space="0" w:color="auto"/>
            </w:tcBorders>
            <w:vAlign w:val="center"/>
          </w:tcPr>
          <w:p w14:paraId="51F3EC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-1,538,353,704.08</w:t>
            </w:r>
          </w:p>
        </w:tc>
        <w:tc>
          <w:tcPr>
            <w:tcW w:w="1928" w:type="dxa"/>
            <w:tcBorders>
              <w:top w:val="single" w:sz="2" w:space="0" w:color="auto"/>
              <w:left w:val="single" w:sz="2" w:space="0" w:color="auto"/>
              <w:bottom w:val="single" w:sz="2" w:space="0" w:color="auto"/>
              <w:right w:val="single" w:sz="2" w:space="0" w:color="auto"/>
            </w:tcBorders>
            <w:vAlign w:val="center"/>
          </w:tcPr>
          <w:p w14:paraId="15C739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101.41%</w:t>
            </w:r>
          </w:p>
        </w:tc>
        <w:tc>
          <w:tcPr>
            <w:tcW w:w="1928" w:type="dxa"/>
            <w:tcBorders>
              <w:top w:val="single" w:sz="2" w:space="0" w:color="auto"/>
              <w:left w:val="single" w:sz="2" w:space="0" w:color="auto"/>
              <w:bottom w:val="single" w:sz="2" w:space="0" w:color="auto"/>
              <w:right w:val="single" w:sz="2" w:space="0" w:color="auto"/>
            </w:tcBorders>
            <w:vAlign w:val="center"/>
          </w:tcPr>
          <w:p w14:paraId="16FBF1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75,375,610.30</w:t>
            </w:r>
          </w:p>
        </w:tc>
      </w:tr>
      <w:tr w:rsidR="00E32FE0" w:rsidRPr="005B5EC1" w14:paraId="3F89FF1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8D9605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14:paraId="66518E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-58,205,446.95</w:t>
            </w:r>
          </w:p>
        </w:tc>
        <w:tc>
          <w:tcPr>
            <w:tcW w:w="1928" w:type="dxa"/>
            <w:tcBorders>
              <w:top w:val="single" w:sz="2" w:space="0" w:color="auto"/>
              <w:left w:val="single" w:sz="2" w:space="0" w:color="auto"/>
              <w:bottom w:val="single" w:sz="2" w:space="0" w:color="auto"/>
              <w:right w:val="single" w:sz="2" w:space="0" w:color="auto"/>
            </w:tcBorders>
            <w:vAlign w:val="center"/>
          </w:tcPr>
          <w:p w14:paraId="61E4B8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-1,363,658,312.69</w:t>
            </w:r>
          </w:p>
        </w:tc>
        <w:tc>
          <w:tcPr>
            <w:tcW w:w="1928" w:type="dxa"/>
            <w:tcBorders>
              <w:top w:val="single" w:sz="2" w:space="0" w:color="auto"/>
              <w:left w:val="single" w:sz="2" w:space="0" w:color="auto"/>
              <w:bottom w:val="single" w:sz="2" w:space="0" w:color="auto"/>
              <w:right w:val="single" w:sz="2" w:space="0" w:color="auto"/>
            </w:tcBorders>
            <w:vAlign w:val="center"/>
          </w:tcPr>
          <w:p w14:paraId="1E9036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95.73%</w:t>
            </w:r>
          </w:p>
        </w:tc>
        <w:tc>
          <w:tcPr>
            <w:tcW w:w="1928" w:type="dxa"/>
            <w:tcBorders>
              <w:top w:val="single" w:sz="2" w:space="0" w:color="auto"/>
              <w:left w:val="single" w:sz="2" w:space="0" w:color="auto"/>
              <w:bottom w:val="single" w:sz="2" w:space="0" w:color="auto"/>
              <w:right w:val="single" w:sz="2" w:space="0" w:color="auto"/>
            </w:tcBorders>
            <w:vAlign w:val="center"/>
          </w:tcPr>
          <w:p w14:paraId="1D757E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147,875,603.59</w:t>
            </w:r>
          </w:p>
        </w:tc>
      </w:tr>
      <w:tr w:rsidR="00E32FE0" w:rsidRPr="005B5EC1" w14:paraId="11103B0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0C682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vAlign w:val="center"/>
          </w:tcPr>
          <w:p w14:paraId="730392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393,300,577.06</w:t>
            </w:r>
          </w:p>
        </w:tc>
        <w:tc>
          <w:tcPr>
            <w:tcW w:w="1928" w:type="dxa"/>
            <w:tcBorders>
              <w:top w:val="single" w:sz="2" w:space="0" w:color="auto"/>
              <w:left w:val="single" w:sz="2" w:space="0" w:color="auto"/>
              <w:bottom w:val="single" w:sz="2" w:space="0" w:color="auto"/>
              <w:right w:val="single" w:sz="2" w:space="0" w:color="auto"/>
            </w:tcBorders>
            <w:vAlign w:val="center"/>
          </w:tcPr>
          <w:p w14:paraId="6B08E0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-588,718,478.69</w:t>
            </w:r>
          </w:p>
        </w:tc>
        <w:tc>
          <w:tcPr>
            <w:tcW w:w="1928" w:type="dxa"/>
            <w:tcBorders>
              <w:top w:val="single" w:sz="2" w:space="0" w:color="auto"/>
              <w:left w:val="single" w:sz="2" w:space="0" w:color="auto"/>
              <w:bottom w:val="single" w:sz="2" w:space="0" w:color="auto"/>
              <w:right w:val="single" w:sz="2" w:space="0" w:color="auto"/>
            </w:tcBorders>
            <w:vAlign w:val="center"/>
          </w:tcPr>
          <w:p w14:paraId="4E9F9E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166.81%</w:t>
            </w:r>
          </w:p>
        </w:tc>
        <w:tc>
          <w:tcPr>
            <w:tcW w:w="1928" w:type="dxa"/>
            <w:tcBorders>
              <w:top w:val="single" w:sz="2" w:space="0" w:color="auto"/>
              <w:left w:val="single" w:sz="2" w:space="0" w:color="auto"/>
              <w:bottom w:val="single" w:sz="2" w:space="0" w:color="auto"/>
              <w:right w:val="single" w:sz="2" w:space="0" w:color="auto"/>
            </w:tcBorders>
            <w:vAlign w:val="center"/>
          </w:tcPr>
          <w:p w14:paraId="5CA06A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941,102,462.16</w:t>
            </w:r>
          </w:p>
        </w:tc>
      </w:tr>
      <w:tr w:rsidR="00E32FE0" w:rsidRPr="005B5EC1" w14:paraId="1E1CBC7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B6378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基本每股收益（元</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股）</w:t>
            </w:r>
          </w:p>
        </w:tc>
        <w:tc>
          <w:tcPr>
            <w:tcW w:w="1928" w:type="dxa"/>
            <w:tcBorders>
              <w:top w:val="single" w:sz="2" w:space="0" w:color="auto"/>
              <w:left w:val="single" w:sz="2" w:space="0" w:color="auto"/>
              <w:bottom w:val="single" w:sz="2" w:space="0" w:color="auto"/>
              <w:right w:val="single" w:sz="2" w:space="0" w:color="auto"/>
            </w:tcBorders>
            <w:vAlign w:val="center"/>
          </w:tcPr>
          <w:p w14:paraId="077C9B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0.02</w:t>
            </w:r>
          </w:p>
        </w:tc>
        <w:tc>
          <w:tcPr>
            <w:tcW w:w="1928" w:type="dxa"/>
            <w:tcBorders>
              <w:top w:val="single" w:sz="2" w:space="0" w:color="auto"/>
              <w:left w:val="single" w:sz="2" w:space="0" w:color="auto"/>
              <w:bottom w:val="single" w:sz="2" w:space="0" w:color="auto"/>
              <w:right w:val="single" w:sz="2" w:space="0" w:color="auto"/>
            </w:tcBorders>
            <w:vAlign w:val="center"/>
          </w:tcPr>
          <w:p w14:paraId="52784A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-1.43</w:t>
            </w:r>
          </w:p>
        </w:tc>
        <w:tc>
          <w:tcPr>
            <w:tcW w:w="1928" w:type="dxa"/>
            <w:tcBorders>
              <w:top w:val="single" w:sz="2" w:space="0" w:color="auto"/>
              <w:left w:val="single" w:sz="2" w:space="0" w:color="auto"/>
              <w:bottom w:val="single" w:sz="2" w:space="0" w:color="auto"/>
              <w:right w:val="single" w:sz="2" w:space="0" w:color="auto"/>
            </w:tcBorders>
            <w:vAlign w:val="center"/>
          </w:tcPr>
          <w:p w14:paraId="6BDBFA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101.40%</w:t>
            </w:r>
          </w:p>
        </w:tc>
        <w:tc>
          <w:tcPr>
            <w:tcW w:w="1928" w:type="dxa"/>
            <w:tcBorders>
              <w:top w:val="single" w:sz="2" w:space="0" w:color="auto"/>
              <w:left w:val="single" w:sz="2" w:space="0" w:color="auto"/>
              <w:bottom w:val="single" w:sz="2" w:space="0" w:color="auto"/>
              <w:right w:val="single" w:sz="2" w:space="0" w:color="auto"/>
            </w:tcBorders>
            <w:vAlign w:val="center"/>
          </w:tcPr>
          <w:p w14:paraId="712471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0.07</w:t>
            </w:r>
          </w:p>
        </w:tc>
      </w:tr>
      <w:tr w:rsidR="00E32FE0" w:rsidRPr="005B5EC1" w14:paraId="01627B1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F7630E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稀释每股收益（元</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股）</w:t>
            </w:r>
          </w:p>
        </w:tc>
        <w:tc>
          <w:tcPr>
            <w:tcW w:w="1928" w:type="dxa"/>
            <w:tcBorders>
              <w:top w:val="single" w:sz="2" w:space="0" w:color="auto"/>
              <w:left w:val="single" w:sz="2" w:space="0" w:color="auto"/>
              <w:bottom w:val="single" w:sz="2" w:space="0" w:color="auto"/>
              <w:right w:val="single" w:sz="2" w:space="0" w:color="auto"/>
            </w:tcBorders>
            <w:vAlign w:val="center"/>
          </w:tcPr>
          <w:p w14:paraId="043F502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0.0309</w:t>
            </w:r>
          </w:p>
        </w:tc>
        <w:tc>
          <w:tcPr>
            <w:tcW w:w="1928" w:type="dxa"/>
            <w:tcBorders>
              <w:top w:val="single" w:sz="2" w:space="0" w:color="auto"/>
              <w:left w:val="single" w:sz="2" w:space="0" w:color="auto"/>
              <w:bottom w:val="single" w:sz="2" w:space="0" w:color="auto"/>
              <w:right w:val="single" w:sz="2" w:space="0" w:color="auto"/>
            </w:tcBorders>
            <w:vAlign w:val="center"/>
          </w:tcPr>
          <w:p w14:paraId="0BF1FB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w:t>
            </w:r>
          </w:p>
        </w:tc>
        <w:tc>
          <w:tcPr>
            <w:tcW w:w="1928" w:type="dxa"/>
            <w:tcBorders>
              <w:top w:val="single" w:sz="2" w:space="0" w:color="auto"/>
              <w:left w:val="single" w:sz="2" w:space="0" w:color="auto"/>
              <w:bottom w:val="single" w:sz="2" w:space="0" w:color="auto"/>
              <w:right w:val="single" w:sz="2" w:space="0" w:color="auto"/>
            </w:tcBorders>
            <w:vAlign w:val="center"/>
          </w:tcPr>
          <w:p w14:paraId="5D36EF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102.41%</w:t>
            </w:r>
          </w:p>
        </w:tc>
        <w:tc>
          <w:tcPr>
            <w:tcW w:w="1928" w:type="dxa"/>
            <w:tcBorders>
              <w:top w:val="single" w:sz="2" w:space="0" w:color="auto"/>
              <w:left w:val="single" w:sz="2" w:space="0" w:color="auto"/>
              <w:bottom w:val="single" w:sz="2" w:space="0" w:color="auto"/>
              <w:right w:val="single" w:sz="2" w:space="0" w:color="auto"/>
            </w:tcBorders>
            <w:vAlign w:val="center"/>
          </w:tcPr>
          <w:p w14:paraId="1F9DBC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0.07</w:t>
            </w:r>
          </w:p>
        </w:tc>
      </w:tr>
      <w:tr w:rsidR="00E32FE0" w:rsidRPr="005B5EC1" w14:paraId="3D3073A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A190C4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14:paraId="6DF8E1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1.64%</w:t>
            </w:r>
          </w:p>
        </w:tc>
        <w:tc>
          <w:tcPr>
            <w:tcW w:w="1928" w:type="dxa"/>
            <w:tcBorders>
              <w:top w:val="single" w:sz="2" w:space="0" w:color="auto"/>
              <w:left w:val="single" w:sz="2" w:space="0" w:color="auto"/>
              <w:bottom w:val="single" w:sz="2" w:space="0" w:color="auto"/>
              <w:right w:val="single" w:sz="2" w:space="0" w:color="auto"/>
            </w:tcBorders>
            <w:vAlign w:val="center"/>
          </w:tcPr>
          <w:p w14:paraId="7FEA0B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-67.23%</w:t>
            </w:r>
          </w:p>
        </w:tc>
        <w:tc>
          <w:tcPr>
            <w:tcW w:w="1928" w:type="dxa"/>
            <w:tcBorders>
              <w:top w:val="single" w:sz="2" w:space="0" w:color="auto"/>
              <w:left w:val="single" w:sz="2" w:space="0" w:color="auto"/>
              <w:bottom w:val="single" w:sz="2" w:space="0" w:color="auto"/>
              <w:right w:val="single" w:sz="2" w:space="0" w:color="auto"/>
            </w:tcBorders>
            <w:vAlign w:val="center"/>
          </w:tcPr>
          <w:p w14:paraId="50CE6E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68.87%</w:t>
            </w:r>
          </w:p>
        </w:tc>
        <w:tc>
          <w:tcPr>
            <w:tcW w:w="1928" w:type="dxa"/>
            <w:tcBorders>
              <w:top w:val="single" w:sz="2" w:space="0" w:color="auto"/>
              <w:left w:val="single" w:sz="2" w:space="0" w:color="auto"/>
              <w:bottom w:val="single" w:sz="2" w:space="0" w:color="auto"/>
              <w:right w:val="single" w:sz="2" w:space="0" w:color="auto"/>
            </w:tcBorders>
            <w:vAlign w:val="center"/>
          </w:tcPr>
          <w:p w14:paraId="1A6559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2.42%</w:t>
            </w:r>
          </w:p>
        </w:tc>
      </w:tr>
      <w:tr w:rsidR="00E32FE0" w:rsidRPr="005B5EC1" w14:paraId="6448D12B"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6D1151A"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23349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A5CD9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ECCE4E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本年末比上年末增减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5777ED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年末</w:t>
            </w:r>
          </w:p>
        </w:tc>
      </w:tr>
      <w:tr w:rsidR="00E32FE0" w:rsidRPr="005B5EC1" w14:paraId="61F3613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88D562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14:paraId="412E255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5,879,447,058.14</w:t>
            </w:r>
          </w:p>
        </w:tc>
        <w:tc>
          <w:tcPr>
            <w:tcW w:w="1928" w:type="dxa"/>
            <w:tcBorders>
              <w:top w:val="single" w:sz="2" w:space="0" w:color="auto"/>
              <w:left w:val="single" w:sz="2" w:space="0" w:color="auto"/>
              <w:bottom w:val="single" w:sz="2" w:space="0" w:color="auto"/>
              <w:right w:val="single" w:sz="2" w:space="0" w:color="auto"/>
            </w:tcBorders>
            <w:vAlign w:val="center"/>
          </w:tcPr>
          <w:p w14:paraId="225ACC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6,317,538,408.46</w:t>
            </w:r>
          </w:p>
        </w:tc>
        <w:tc>
          <w:tcPr>
            <w:tcW w:w="1928" w:type="dxa"/>
            <w:tcBorders>
              <w:top w:val="single" w:sz="2" w:space="0" w:color="auto"/>
              <w:left w:val="single" w:sz="2" w:space="0" w:color="auto"/>
              <w:bottom w:val="single" w:sz="2" w:space="0" w:color="auto"/>
              <w:right w:val="single" w:sz="2" w:space="0" w:color="auto"/>
            </w:tcBorders>
            <w:vAlign w:val="center"/>
          </w:tcPr>
          <w:p w14:paraId="105996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-6.93%</w:t>
            </w:r>
          </w:p>
        </w:tc>
        <w:tc>
          <w:tcPr>
            <w:tcW w:w="1928" w:type="dxa"/>
            <w:tcBorders>
              <w:top w:val="single" w:sz="2" w:space="0" w:color="auto"/>
              <w:left w:val="single" w:sz="2" w:space="0" w:color="auto"/>
              <w:bottom w:val="single" w:sz="2" w:space="0" w:color="auto"/>
              <w:right w:val="single" w:sz="2" w:space="0" w:color="auto"/>
            </w:tcBorders>
            <w:vAlign w:val="center"/>
          </w:tcPr>
          <w:p w14:paraId="57E407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7,977,198,797.93</w:t>
            </w:r>
          </w:p>
        </w:tc>
      </w:tr>
      <w:tr w:rsidR="00E32FE0" w:rsidRPr="005B5EC1" w14:paraId="4E9C91E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E4A8E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归属于上市公司股东的净资产（元）</w:t>
            </w:r>
          </w:p>
        </w:tc>
        <w:tc>
          <w:tcPr>
            <w:tcW w:w="1928" w:type="dxa"/>
            <w:tcBorders>
              <w:top w:val="single" w:sz="2" w:space="0" w:color="auto"/>
              <w:left w:val="single" w:sz="2" w:space="0" w:color="auto"/>
              <w:bottom w:val="single" w:sz="2" w:space="0" w:color="auto"/>
              <w:right w:val="single" w:sz="2" w:space="0" w:color="auto"/>
            </w:tcBorders>
            <w:vAlign w:val="center"/>
          </w:tcPr>
          <w:p w14:paraId="6F31B6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1,503,284,266.32</w:t>
            </w:r>
          </w:p>
        </w:tc>
        <w:tc>
          <w:tcPr>
            <w:tcW w:w="1928" w:type="dxa"/>
            <w:tcBorders>
              <w:top w:val="single" w:sz="2" w:space="0" w:color="auto"/>
              <w:left w:val="single" w:sz="2" w:space="0" w:color="auto"/>
              <w:bottom w:val="single" w:sz="2" w:space="0" w:color="auto"/>
              <w:right w:val="single" w:sz="2" w:space="0" w:color="auto"/>
            </w:tcBorders>
            <w:vAlign w:val="center"/>
          </w:tcPr>
          <w:p w14:paraId="61384E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1,481,981,607.33</w:t>
            </w:r>
          </w:p>
        </w:tc>
        <w:tc>
          <w:tcPr>
            <w:tcW w:w="1928" w:type="dxa"/>
            <w:tcBorders>
              <w:top w:val="single" w:sz="2" w:space="0" w:color="auto"/>
              <w:left w:val="single" w:sz="2" w:space="0" w:color="auto"/>
              <w:bottom w:val="single" w:sz="2" w:space="0" w:color="auto"/>
              <w:right w:val="single" w:sz="2" w:space="0" w:color="auto"/>
            </w:tcBorders>
            <w:vAlign w:val="center"/>
          </w:tcPr>
          <w:p w14:paraId="482B42A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1.44%</w:t>
            </w:r>
          </w:p>
        </w:tc>
        <w:tc>
          <w:tcPr>
            <w:tcW w:w="1928" w:type="dxa"/>
            <w:tcBorders>
              <w:top w:val="single" w:sz="2" w:space="0" w:color="auto"/>
              <w:left w:val="single" w:sz="2" w:space="0" w:color="auto"/>
              <w:bottom w:val="single" w:sz="2" w:space="0" w:color="auto"/>
              <w:right w:val="single" w:sz="2" w:space="0" w:color="auto"/>
            </w:tcBorders>
            <w:vAlign w:val="center"/>
          </w:tcPr>
          <w:p w14:paraId="3EA803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3,320,280,649.56</w:t>
            </w:r>
          </w:p>
        </w:tc>
      </w:tr>
    </w:tbl>
    <w:p w14:paraId="67975EA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公司最近三个会计年度扣除非经常性损益前后净利润孰低者均为负值，且最近一年审计报告显示公司持续经营能力存在不确定性</w:t>
      </w:r>
    </w:p>
    <w:p w14:paraId="35163A6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30CB5B2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公司最近一个会计年度经审计利润总额、净利润、扣除非经常性损益后的净利润三者孰低为负值</w:t>
      </w:r>
    </w:p>
    <w:p w14:paraId="0475E4C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sym w:font="Wingdings 2" w:char="F052"/>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300F915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9D683C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58B43A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AB086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19A65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备注</w:t>
            </w:r>
          </w:p>
        </w:tc>
      </w:tr>
      <w:tr w:rsidR="00E32FE0" w:rsidRPr="005B5EC1" w14:paraId="1086FBC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0480E8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14:paraId="4762FD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10,989,671,145.22</w:t>
            </w:r>
          </w:p>
        </w:tc>
        <w:tc>
          <w:tcPr>
            <w:tcW w:w="2410" w:type="dxa"/>
            <w:tcBorders>
              <w:top w:val="single" w:sz="2" w:space="0" w:color="auto"/>
              <w:left w:val="single" w:sz="2" w:space="0" w:color="auto"/>
              <w:bottom w:val="single" w:sz="2" w:space="0" w:color="auto"/>
              <w:right w:val="single" w:sz="2" w:space="0" w:color="auto"/>
            </w:tcBorders>
            <w:vAlign w:val="center"/>
          </w:tcPr>
          <w:p w14:paraId="3BA146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13,318,473,211.90</w:t>
            </w:r>
          </w:p>
        </w:tc>
        <w:tc>
          <w:tcPr>
            <w:tcW w:w="2410" w:type="dxa"/>
            <w:tcBorders>
              <w:top w:val="single" w:sz="2" w:space="0" w:color="auto"/>
              <w:left w:val="single" w:sz="2" w:space="0" w:color="auto"/>
              <w:bottom w:val="single" w:sz="2" w:space="0" w:color="auto"/>
              <w:right w:val="single" w:sz="2" w:space="0" w:color="auto"/>
            </w:tcBorders>
            <w:vAlign w:val="center"/>
          </w:tcPr>
          <w:p w14:paraId="351563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r>
      <w:tr w:rsidR="00E32FE0" w:rsidRPr="005B5EC1" w14:paraId="593AD07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576421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营业收入扣除金额（元）</w:t>
            </w:r>
          </w:p>
        </w:tc>
        <w:tc>
          <w:tcPr>
            <w:tcW w:w="2410" w:type="dxa"/>
            <w:tcBorders>
              <w:top w:val="single" w:sz="2" w:space="0" w:color="auto"/>
              <w:left w:val="single" w:sz="2" w:space="0" w:color="auto"/>
              <w:bottom w:val="single" w:sz="2" w:space="0" w:color="auto"/>
              <w:right w:val="single" w:sz="2" w:space="0" w:color="auto"/>
            </w:tcBorders>
            <w:vAlign w:val="center"/>
          </w:tcPr>
          <w:p w14:paraId="44D2075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32,462,323.67</w:t>
            </w:r>
          </w:p>
        </w:tc>
        <w:tc>
          <w:tcPr>
            <w:tcW w:w="2410" w:type="dxa"/>
            <w:tcBorders>
              <w:top w:val="single" w:sz="2" w:space="0" w:color="auto"/>
              <w:left w:val="single" w:sz="2" w:space="0" w:color="auto"/>
              <w:bottom w:val="single" w:sz="2" w:space="0" w:color="auto"/>
              <w:right w:val="single" w:sz="2" w:space="0" w:color="auto"/>
            </w:tcBorders>
            <w:vAlign w:val="center"/>
          </w:tcPr>
          <w:p w14:paraId="48700A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18,551,556.88</w:t>
            </w:r>
          </w:p>
        </w:tc>
        <w:tc>
          <w:tcPr>
            <w:tcW w:w="2410" w:type="dxa"/>
            <w:tcBorders>
              <w:top w:val="single" w:sz="2" w:space="0" w:color="auto"/>
              <w:left w:val="single" w:sz="2" w:space="0" w:color="auto"/>
              <w:bottom w:val="single" w:sz="2" w:space="0" w:color="auto"/>
              <w:right w:val="single" w:sz="2" w:space="0" w:color="auto"/>
            </w:tcBorders>
            <w:vAlign w:val="center"/>
          </w:tcPr>
          <w:p w14:paraId="0D4989D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r>
      <w:tr w:rsidR="00E32FE0" w:rsidRPr="005B5EC1" w14:paraId="3E6FF97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05BE4E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营业收入扣除后金额（元）</w:t>
            </w:r>
          </w:p>
        </w:tc>
        <w:tc>
          <w:tcPr>
            <w:tcW w:w="2410" w:type="dxa"/>
            <w:tcBorders>
              <w:top w:val="single" w:sz="2" w:space="0" w:color="auto"/>
              <w:left w:val="single" w:sz="2" w:space="0" w:color="auto"/>
              <w:bottom w:val="single" w:sz="2" w:space="0" w:color="auto"/>
              <w:right w:val="single" w:sz="2" w:space="0" w:color="auto"/>
            </w:tcBorders>
            <w:vAlign w:val="center"/>
          </w:tcPr>
          <w:p w14:paraId="206A62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10,957,208,821.55</w:t>
            </w:r>
          </w:p>
        </w:tc>
        <w:tc>
          <w:tcPr>
            <w:tcW w:w="2410" w:type="dxa"/>
            <w:tcBorders>
              <w:top w:val="single" w:sz="2" w:space="0" w:color="auto"/>
              <w:left w:val="single" w:sz="2" w:space="0" w:color="auto"/>
              <w:bottom w:val="single" w:sz="2" w:space="0" w:color="auto"/>
              <w:right w:val="single" w:sz="2" w:space="0" w:color="auto"/>
            </w:tcBorders>
            <w:vAlign w:val="center"/>
          </w:tcPr>
          <w:p w14:paraId="2C5CC1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13,299,921,655.02</w:t>
            </w:r>
          </w:p>
        </w:tc>
        <w:tc>
          <w:tcPr>
            <w:tcW w:w="2410" w:type="dxa"/>
            <w:tcBorders>
              <w:top w:val="single" w:sz="2" w:space="0" w:color="auto"/>
              <w:left w:val="single" w:sz="2" w:space="0" w:color="auto"/>
              <w:bottom w:val="single" w:sz="2" w:space="0" w:color="auto"/>
              <w:right w:val="single" w:sz="2" w:space="0" w:color="auto"/>
            </w:tcBorders>
            <w:vAlign w:val="center"/>
          </w:tcPr>
          <w:p w14:paraId="7D79A3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r>
    </w:tbl>
    <w:p w14:paraId="68C32838"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8" w:name="_Toc988897"/>
      <w:r w:rsidRPr="005B5EC1">
        <w:rPr>
          <w:rFonts w:ascii="Times New Roman" w:eastAsia="宋体" w:hAnsi="Times New Roman" w:cs="Times New Roman"/>
          <w:b/>
          <w:bCs/>
          <w:sz w:val="24"/>
          <w:szCs w:val="24"/>
        </w:rPr>
        <w:t>七、境内外会计准则下会计数据差异</w:t>
      </w:r>
      <w:bookmarkEnd w:id="8"/>
    </w:p>
    <w:p w14:paraId="21EAD732" w14:textId="77777777" w:rsidR="00E32FE0" w:rsidRPr="005B5EC1" w:rsidRDefault="00000000">
      <w:pPr>
        <w:pStyle w:val="3"/>
        <w:spacing w:line="280" w:lineRule="exact"/>
        <w:jc w:val="left"/>
        <w:rPr>
          <w:rFonts w:ascii="Times New Roman" w:hAnsi="Times New Roman" w:cs="Times New Roman"/>
          <w:b/>
          <w:bCs/>
        </w:rPr>
      </w:pPr>
      <w:bookmarkStart w:id="9" w:name="_Toc988898"/>
      <w:r w:rsidRPr="005B5EC1">
        <w:rPr>
          <w:rFonts w:ascii="Times New Roman" w:hAnsi="Times New Roman" w:cs="Times New Roman"/>
          <w:b/>
          <w:bCs/>
        </w:rPr>
        <w:t>1</w:t>
      </w:r>
      <w:r w:rsidRPr="005B5EC1">
        <w:rPr>
          <w:rFonts w:ascii="Times New Roman" w:hAnsi="Times New Roman" w:cs="Times New Roman"/>
          <w:b/>
          <w:bCs/>
        </w:rPr>
        <w:t>、同时按照国际会计准则与按照中国会计准则披露的财务报告中净利润和净资产差异情况</w:t>
      </w:r>
      <w:bookmarkEnd w:id="9"/>
    </w:p>
    <w:p w14:paraId="494E4D6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BFBBFF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公司报告期不存在按照国际会计准则与按照中国会计准则披露的财务报告中净利润和净资产差异情况。</w:t>
      </w:r>
    </w:p>
    <w:p w14:paraId="63FFF08B" w14:textId="77777777" w:rsidR="00E32FE0" w:rsidRPr="005B5EC1" w:rsidRDefault="00000000">
      <w:pPr>
        <w:pStyle w:val="3"/>
        <w:spacing w:line="280" w:lineRule="exact"/>
        <w:jc w:val="left"/>
        <w:rPr>
          <w:rFonts w:ascii="Times New Roman" w:hAnsi="Times New Roman" w:cs="Times New Roman"/>
          <w:b/>
          <w:bCs/>
        </w:rPr>
      </w:pPr>
      <w:bookmarkStart w:id="10" w:name="_Toc988899"/>
      <w:r w:rsidRPr="005B5EC1">
        <w:rPr>
          <w:rFonts w:ascii="Times New Roman" w:hAnsi="Times New Roman" w:cs="Times New Roman"/>
          <w:b/>
          <w:bCs/>
        </w:rPr>
        <w:t>2</w:t>
      </w:r>
      <w:r w:rsidRPr="005B5EC1">
        <w:rPr>
          <w:rFonts w:ascii="Times New Roman" w:hAnsi="Times New Roman" w:cs="Times New Roman"/>
          <w:b/>
          <w:bCs/>
        </w:rPr>
        <w:t>、同时按照境外会计准则与按照中国会计准则披露的财务报告中净利润和净资产差异情况</w:t>
      </w:r>
      <w:bookmarkEnd w:id="10"/>
    </w:p>
    <w:p w14:paraId="6CBBFCD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2DF464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公司报告期不存在按照境外会计准则与按照中国会计准则披露的财务报告中净利润和净资产差异情况。</w:t>
      </w:r>
    </w:p>
    <w:p w14:paraId="4A97F5F9"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1" w:name="_Toc988900"/>
      <w:r w:rsidRPr="005B5EC1">
        <w:rPr>
          <w:rFonts w:ascii="Times New Roman" w:eastAsia="宋体" w:hAnsi="Times New Roman" w:cs="Times New Roman"/>
          <w:b/>
          <w:bCs/>
          <w:sz w:val="24"/>
          <w:szCs w:val="24"/>
        </w:rPr>
        <w:t>八、分季度主要财务指标</w:t>
      </w:r>
      <w:bookmarkEnd w:id="11"/>
    </w:p>
    <w:p w14:paraId="42C425AE"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697F439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9E654FB"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571A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第一季度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C8EF16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第二季度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CF313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第三季度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19EF08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第四季度</w:t>
            </w:r>
          </w:p>
        </w:tc>
      </w:tr>
      <w:tr w:rsidR="00E32FE0" w:rsidRPr="005B5EC1" w14:paraId="230CAF5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4FCC3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14:paraId="5A596E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2,523,176,556.28</w:t>
            </w:r>
          </w:p>
        </w:tc>
        <w:tc>
          <w:tcPr>
            <w:tcW w:w="1928" w:type="dxa"/>
            <w:tcBorders>
              <w:top w:val="single" w:sz="2" w:space="0" w:color="auto"/>
              <w:left w:val="single" w:sz="2" w:space="0" w:color="auto"/>
              <w:bottom w:val="single" w:sz="2" w:space="0" w:color="auto"/>
              <w:right w:val="single" w:sz="2" w:space="0" w:color="auto"/>
            </w:tcBorders>
            <w:vAlign w:val="center"/>
          </w:tcPr>
          <w:p w14:paraId="33F805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2,520,955,465.02</w:t>
            </w:r>
          </w:p>
        </w:tc>
        <w:tc>
          <w:tcPr>
            <w:tcW w:w="1928" w:type="dxa"/>
            <w:tcBorders>
              <w:top w:val="single" w:sz="2" w:space="0" w:color="auto"/>
              <w:left w:val="single" w:sz="2" w:space="0" w:color="auto"/>
              <w:bottom w:val="single" w:sz="2" w:space="0" w:color="auto"/>
              <w:right w:val="single" w:sz="2" w:space="0" w:color="auto"/>
            </w:tcBorders>
            <w:vAlign w:val="center"/>
          </w:tcPr>
          <w:p w14:paraId="4CED006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2,969,961,597.96</w:t>
            </w:r>
          </w:p>
        </w:tc>
        <w:tc>
          <w:tcPr>
            <w:tcW w:w="1928" w:type="dxa"/>
            <w:tcBorders>
              <w:top w:val="single" w:sz="2" w:space="0" w:color="auto"/>
              <w:left w:val="single" w:sz="2" w:space="0" w:color="auto"/>
              <w:bottom w:val="single" w:sz="2" w:space="0" w:color="auto"/>
              <w:right w:val="single" w:sz="2" w:space="0" w:color="auto"/>
            </w:tcBorders>
            <w:vAlign w:val="center"/>
          </w:tcPr>
          <w:p w14:paraId="3B3609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2,975,577,525.96</w:t>
            </w:r>
          </w:p>
        </w:tc>
      </w:tr>
      <w:tr w:rsidR="00E32FE0" w:rsidRPr="005B5EC1" w14:paraId="0CCB22E4"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8AE879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归属于上市公司股东的净利润</w:t>
            </w:r>
          </w:p>
        </w:tc>
        <w:tc>
          <w:tcPr>
            <w:tcW w:w="1928" w:type="dxa"/>
            <w:tcBorders>
              <w:top w:val="single" w:sz="2" w:space="0" w:color="auto"/>
              <w:left w:val="single" w:sz="2" w:space="0" w:color="auto"/>
              <w:bottom w:val="single" w:sz="2" w:space="0" w:color="auto"/>
              <w:right w:val="single" w:sz="2" w:space="0" w:color="auto"/>
            </w:tcBorders>
            <w:vAlign w:val="center"/>
          </w:tcPr>
          <w:p w14:paraId="1A93E1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30,348,718.37</w:t>
            </w:r>
          </w:p>
        </w:tc>
        <w:tc>
          <w:tcPr>
            <w:tcW w:w="1928" w:type="dxa"/>
            <w:tcBorders>
              <w:top w:val="single" w:sz="2" w:space="0" w:color="auto"/>
              <w:left w:val="single" w:sz="2" w:space="0" w:color="auto"/>
              <w:bottom w:val="single" w:sz="2" w:space="0" w:color="auto"/>
              <w:right w:val="single" w:sz="2" w:space="0" w:color="auto"/>
            </w:tcBorders>
            <w:vAlign w:val="center"/>
          </w:tcPr>
          <w:p w14:paraId="363A0A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27,803,903.64</w:t>
            </w:r>
          </w:p>
        </w:tc>
        <w:tc>
          <w:tcPr>
            <w:tcW w:w="1928" w:type="dxa"/>
            <w:tcBorders>
              <w:top w:val="single" w:sz="2" w:space="0" w:color="auto"/>
              <w:left w:val="single" w:sz="2" w:space="0" w:color="auto"/>
              <w:bottom w:val="single" w:sz="2" w:space="0" w:color="auto"/>
              <w:right w:val="single" w:sz="2" w:space="0" w:color="auto"/>
            </w:tcBorders>
            <w:vAlign w:val="center"/>
          </w:tcPr>
          <w:p w14:paraId="6BC2D56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14,888,407.16</w:t>
            </w:r>
          </w:p>
        </w:tc>
        <w:tc>
          <w:tcPr>
            <w:tcW w:w="1928" w:type="dxa"/>
            <w:tcBorders>
              <w:top w:val="single" w:sz="2" w:space="0" w:color="auto"/>
              <w:left w:val="single" w:sz="2" w:space="0" w:color="auto"/>
              <w:bottom w:val="single" w:sz="2" w:space="0" w:color="auto"/>
              <w:right w:val="single" w:sz="2" w:space="0" w:color="auto"/>
            </w:tcBorders>
            <w:vAlign w:val="center"/>
          </w:tcPr>
          <w:p w14:paraId="2C81DB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-51,423,384.41</w:t>
            </w:r>
          </w:p>
        </w:tc>
      </w:tr>
      <w:tr w:rsidR="00E32FE0" w:rsidRPr="005B5EC1" w14:paraId="0A5D608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062CD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归属于上市公司股东的扣除非经常性损益的净利润</w:t>
            </w:r>
          </w:p>
        </w:tc>
        <w:tc>
          <w:tcPr>
            <w:tcW w:w="1928" w:type="dxa"/>
            <w:tcBorders>
              <w:top w:val="single" w:sz="2" w:space="0" w:color="auto"/>
              <w:left w:val="single" w:sz="2" w:space="0" w:color="auto"/>
              <w:bottom w:val="single" w:sz="2" w:space="0" w:color="auto"/>
              <w:right w:val="single" w:sz="2" w:space="0" w:color="auto"/>
            </w:tcBorders>
            <w:vAlign w:val="center"/>
          </w:tcPr>
          <w:p w14:paraId="4FF30D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30,136,182.86</w:t>
            </w:r>
          </w:p>
        </w:tc>
        <w:tc>
          <w:tcPr>
            <w:tcW w:w="1928" w:type="dxa"/>
            <w:tcBorders>
              <w:top w:val="single" w:sz="2" w:space="0" w:color="auto"/>
              <w:left w:val="single" w:sz="2" w:space="0" w:color="auto"/>
              <w:bottom w:val="single" w:sz="2" w:space="0" w:color="auto"/>
              <w:right w:val="single" w:sz="2" w:space="0" w:color="auto"/>
            </w:tcBorders>
            <w:vAlign w:val="center"/>
          </w:tcPr>
          <w:p w14:paraId="3A650E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25,658,368.35</w:t>
            </w:r>
          </w:p>
        </w:tc>
        <w:tc>
          <w:tcPr>
            <w:tcW w:w="1928" w:type="dxa"/>
            <w:tcBorders>
              <w:top w:val="single" w:sz="2" w:space="0" w:color="auto"/>
              <w:left w:val="single" w:sz="2" w:space="0" w:color="auto"/>
              <w:bottom w:val="single" w:sz="2" w:space="0" w:color="auto"/>
              <w:right w:val="single" w:sz="2" w:space="0" w:color="auto"/>
            </w:tcBorders>
            <w:vAlign w:val="center"/>
          </w:tcPr>
          <w:p w14:paraId="51F756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14,503,985.94</w:t>
            </w:r>
          </w:p>
        </w:tc>
        <w:tc>
          <w:tcPr>
            <w:tcW w:w="1928" w:type="dxa"/>
            <w:tcBorders>
              <w:top w:val="single" w:sz="2" w:space="0" w:color="auto"/>
              <w:left w:val="single" w:sz="2" w:space="0" w:color="auto"/>
              <w:bottom w:val="single" w:sz="2" w:space="0" w:color="auto"/>
              <w:right w:val="single" w:sz="2" w:space="0" w:color="auto"/>
            </w:tcBorders>
            <w:vAlign w:val="center"/>
          </w:tcPr>
          <w:p w14:paraId="18AEF0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-128,503,984.10</w:t>
            </w:r>
          </w:p>
        </w:tc>
      </w:tr>
      <w:tr w:rsidR="00E32FE0" w:rsidRPr="005B5EC1" w14:paraId="54DA071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4D103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14:paraId="167484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-141,897,535.08</w:t>
            </w:r>
          </w:p>
        </w:tc>
        <w:tc>
          <w:tcPr>
            <w:tcW w:w="1928" w:type="dxa"/>
            <w:tcBorders>
              <w:top w:val="single" w:sz="2" w:space="0" w:color="auto"/>
              <w:left w:val="single" w:sz="2" w:space="0" w:color="auto"/>
              <w:bottom w:val="single" w:sz="2" w:space="0" w:color="auto"/>
              <w:right w:val="single" w:sz="2" w:space="0" w:color="auto"/>
            </w:tcBorders>
            <w:vAlign w:val="center"/>
          </w:tcPr>
          <w:p w14:paraId="0F0EA6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363,422,768.13</w:t>
            </w:r>
          </w:p>
        </w:tc>
        <w:tc>
          <w:tcPr>
            <w:tcW w:w="1928" w:type="dxa"/>
            <w:tcBorders>
              <w:top w:val="single" w:sz="2" w:space="0" w:color="auto"/>
              <w:left w:val="single" w:sz="2" w:space="0" w:color="auto"/>
              <w:bottom w:val="single" w:sz="2" w:space="0" w:color="auto"/>
              <w:right w:val="single" w:sz="2" w:space="0" w:color="auto"/>
            </w:tcBorders>
            <w:vAlign w:val="center"/>
          </w:tcPr>
          <w:p w14:paraId="4012EE0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64,285,411.25</w:t>
            </w:r>
          </w:p>
        </w:tc>
        <w:tc>
          <w:tcPr>
            <w:tcW w:w="1928" w:type="dxa"/>
            <w:tcBorders>
              <w:top w:val="single" w:sz="2" w:space="0" w:color="auto"/>
              <w:left w:val="single" w:sz="2" w:space="0" w:color="auto"/>
              <w:bottom w:val="single" w:sz="2" w:space="0" w:color="auto"/>
              <w:right w:val="single" w:sz="2" w:space="0" w:color="auto"/>
            </w:tcBorders>
            <w:vAlign w:val="center"/>
          </w:tcPr>
          <w:p w14:paraId="31423A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107,489,932.76</w:t>
            </w:r>
          </w:p>
        </w:tc>
      </w:tr>
    </w:tbl>
    <w:p w14:paraId="4B4E8AB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上述财务指标或其加总数是否与公司已披露季度报告、半年度报告相关财务指标存在重大差异</w:t>
      </w:r>
    </w:p>
    <w:p w14:paraId="1F2B8EE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65151AC3"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2" w:name="_Toc988901"/>
      <w:r w:rsidRPr="005B5EC1">
        <w:rPr>
          <w:rFonts w:ascii="Times New Roman" w:eastAsia="宋体" w:hAnsi="Times New Roman" w:cs="Times New Roman"/>
          <w:b/>
          <w:bCs/>
          <w:sz w:val="24"/>
          <w:szCs w:val="24"/>
        </w:rPr>
        <w:t>九、非经常性损益项目及金额</w:t>
      </w:r>
      <w:bookmarkEnd w:id="12"/>
    </w:p>
    <w:p w14:paraId="75B0A08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140C28C7"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835"/>
        <w:gridCol w:w="1701"/>
        <w:gridCol w:w="1560"/>
        <w:gridCol w:w="1417"/>
        <w:gridCol w:w="2126"/>
      </w:tblGrid>
      <w:tr w:rsidR="00E32FE0" w:rsidRPr="005B5EC1" w14:paraId="52F08EE3"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31850E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89C0E2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年金额</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5D86BC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年金额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0AAC6BB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年金额</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13AC457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说明</w:t>
            </w:r>
          </w:p>
        </w:tc>
      </w:tr>
      <w:tr w:rsidR="00E32FE0" w:rsidRPr="005B5EC1" w14:paraId="15B2405E"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71A672F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非流动性资产处置损益（包括已计提资产减值准备的冲销部分）</w:t>
            </w:r>
          </w:p>
        </w:tc>
        <w:tc>
          <w:tcPr>
            <w:tcW w:w="1701" w:type="dxa"/>
            <w:tcBorders>
              <w:top w:val="single" w:sz="2" w:space="0" w:color="auto"/>
              <w:left w:val="single" w:sz="2" w:space="0" w:color="auto"/>
              <w:bottom w:val="single" w:sz="2" w:space="0" w:color="auto"/>
              <w:right w:val="single" w:sz="2" w:space="0" w:color="auto"/>
            </w:tcBorders>
            <w:vAlign w:val="center"/>
          </w:tcPr>
          <w:p w14:paraId="1994E8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61,174,150.34</w:t>
            </w:r>
          </w:p>
        </w:tc>
        <w:tc>
          <w:tcPr>
            <w:tcW w:w="1560" w:type="dxa"/>
            <w:tcBorders>
              <w:top w:val="single" w:sz="2" w:space="0" w:color="auto"/>
              <w:left w:val="single" w:sz="2" w:space="0" w:color="auto"/>
              <w:bottom w:val="single" w:sz="2" w:space="0" w:color="auto"/>
              <w:right w:val="single" w:sz="2" w:space="0" w:color="auto"/>
            </w:tcBorders>
            <w:vAlign w:val="center"/>
          </w:tcPr>
          <w:p w14:paraId="00A202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-175,646,622.60</w:t>
            </w:r>
          </w:p>
        </w:tc>
        <w:tc>
          <w:tcPr>
            <w:tcW w:w="1417" w:type="dxa"/>
            <w:tcBorders>
              <w:top w:val="single" w:sz="2" w:space="0" w:color="auto"/>
              <w:left w:val="single" w:sz="2" w:space="0" w:color="auto"/>
              <w:bottom w:val="single" w:sz="2" w:space="0" w:color="auto"/>
              <w:right w:val="single" w:sz="2" w:space="0" w:color="auto"/>
            </w:tcBorders>
            <w:vAlign w:val="center"/>
          </w:tcPr>
          <w:p w14:paraId="6236CD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-85,474,446.37</w:t>
            </w:r>
          </w:p>
        </w:tc>
        <w:tc>
          <w:tcPr>
            <w:tcW w:w="2126" w:type="dxa"/>
            <w:tcBorders>
              <w:top w:val="single" w:sz="2" w:space="0" w:color="auto"/>
              <w:left w:val="single" w:sz="2" w:space="0" w:color="auto"/>
              <w:bottom w:val="single" w:sz="2" w:space="0" w:color="auto"/>
              <w:right w:val="single" w:sz="2" w:space="0" w:color="auto"/>
            </w:tcBorders>
            <w:vAlign w:val="center"/>
          </w:tcPr>
          <w:p w14:paraId="6B757FB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主要系处置子公司所致</w:t>
            </w:r>
          </w:p>
        </w:tc>
      </w:tr>
      <w:tr w:rsidR="00E32FE0" w:rsidRPr="005B5EC1" w14:paraId="22612F32"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725C0D5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计入当期损益的政府补助（与公司正常经营业务密切相关，符合国家政策规定、按照确定的标准享有、对公司损益产生持续影响</w:t>
            </w:r>
            <w:r w:rsidRPr="005B5EC1">
              <w:rPr>
                <w:rFonts w:ascii="Times New Roman" w:eastAsia="宋体" w:hAnsi="Times New Roman" w:cs="Times New Roman"/>
                <w:sz w:val="18"/>
                <w:szCs w:val="18"/>
              </w:rPr>
              <w:lastRenderedPageBreak/>
              <w:t>的政府补助除外）</w:t>
            </w:r>
          </w:p>
        </w:tc>
        <w:tc>
          <w:tcPr>
            <w:tcW w:w="1701" w:type="dxa"/>
            <w:tcBorders>
              <w:top w:val="single" w:sz="2" w:space="0" w:color="auto"/>
              <w:left w:val="single" w:sz="2" w:space="0" w:color="auto"/>
              <w:bottom w:val="single" w:sz="2" w:space="0" w:color="auto"/>
              <w:right w:val="single" w:sz="2" w:space="0" w:color="auto"/>
            </w:tcBorders>
            <w:vAlign w:val="center"/>
          </w:tcPr>
          <w:p w14:paraId="5079CA5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15,295,701.79</w:t>
            </w:r>
          </w:p>
        </w:tc>
        <w:tc>
          <w:tcPr>
            <w:tcW w:w="1560" w:type="dxa"/>
            <w:tcBorders>
              <w:top w:val="single" w:sz="2" w:space="0" w:color="auto"/>
              <w:left w:val="single" w:sz="2" w:space="0" w:color="auto"/>
              <w:bottom w:val="single" w:sz="2" w:space="0" w:color="auto"/>
              <w:right w:val="single" w:sz="2" w:space="0" w:color="auto"/>
            </w:tcBorders>
            <w:vAlign w:val="center"/>
          </w:tcPr>
          <w:p w14:paraId="6B53EA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23,531,182.30</w:t>
            </w:r>
          </w:p>
        </w:tc>
        <w:tc>
          <w:tcPr>
            <w:tcW w:w="1417" w:type="dxa"/>
            <w:tcBorders>
              <w:top w:val="single" w:sz="2" w:space="0" w:color="auto"/>
              <w:left w:val="single" w:sz="2" w:space="0" w:color="auto"/>
              <w:bottom w:val="single" w:sz="2" w:space="0" w:color="auto"/>
              <w:right w:val="single" w:sz="2" w:space="0" w:color="auto"/>
            </w:tcBorders>
            <w:vAlign w:val="center"/>
          </w:tcPr>
          <w:p w14:paraId="0D4615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18,538,588.58</w:t>
            </w:r>
          </w:p>
        </w:tc>
        <w:tc>
          <w:tcPr>
            <w:tcW w:w="2126" w:type="dxa"/>
            <w:tcBorders>
              <w:top w:val="single" w:sz="2" w:space="0" w:color="auto"/>
              <w:left w:val="single" w:sz="2" w:space="0" w:color="auto"/>
              <w:bottom w:val="single" w:sz="2" w:space="0" w:color="auto"/>
              <w:right w:val="single" w:sz="2" w:space="0" w:color="auto"/>
            </w:tcBorders>
            <w:vAlign w:val="center"/>
          </w:tcPr>
          <w:p w14:paraId="54C19AEC"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458AD343"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055C546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除同公司正常经营业务相关的有效套期保值业务外，非金融企业持有金融资产和金融负债产生的公允价值变动损益以及处置金融资产和金融负债产生的损益</w:t>
            </w:r>
          </w:p>
        </w:tc>
        <w:tc>
          <w:tcPr>
            <w:tcW w:w="1701" w:type="dxa"/>
            <w:tcBorders>
              <w:top w:val="single" w:sz="2" w:space="0" w:color="auto"/>
              <w:left w:val="single" w:sz="2" w:space="0" w:color="auto"/>
              <w:bottom w:val="single" w:sz="2" w:space="0" w:color="auto"/>
              <w:right w:val="single" w:sz="2" w:space="0" w:color="auto"/>
            </w:tcBorders>
            <w:vAlign w:val="center"/>
          </w:tcPr>
          <w:p w14:paraId="421DBE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2,562,409.30</w:t>
            </w:r>
          </w:p>
        </w:tc>
        <w:tc>
          <w:tcPr>
            <w:tcW w:w="1560" w:type="dxa"/>
            <w:tcBorders>
              <w:top w:val="single" w:sz="2" w:space="0" w:color="auto"/>
              <w:left w:val="single" w:sz="2" w:space="0" w:color="auto"/>
              <w:bottom w:val="single" w:sz="2" w:space="0" w:color="auto"/>
              <w:right w:val="single" w:sz="2" w:space="0" w:color="auto"/>
            </w:tcBorders>
            <w:vAlign w:val="center"/>
          </w:tcPr>
          <w:p w14:paraId="0A1262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E607D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966,929.31</w:t>
            </w:r>
          </w:p>
        </w:tc>
        <w:tc>
          <w:tcPr>
            <w:tcW w:w="2126" w:type="dxa"/>
            <w:tcBorders>
              <w:top w:val="single" w:sz="2" w:space="0" w:color="auto"/>
              <w:left w:val="single" w:sz="2" w:space="0" w:color="auto"/>
              <w:bottom w:val="single" w:sz="2" w:space="0" w:color="auto"/>
              <w:right w:val="single" w:sz="2" w:space="0" w:color="auto"/>
            </w:tcBorders>
            <w:vAlign w:val="center"/>
          </w:tcPr>
          <w:p w14:paraId="56B70014"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18C8F01D"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79D77C9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计入当期损益的对非金融企业收取的资金占用费</w:t>
            </w:r>
          </w:p>
        </w:tc>
        <w:tc>
          <w:tcPr>
            <w:tcW w:w="1701" w:type="dxa"/>
            <w:tcBorders>
              <w:top w:val="single" w:sz="2" w:space="0" w:color="auto"/>
              <w:left w:val="single" w:sz="2" w:space="0" w:color="auto"/>
              <w:bottom w:val="single" w:sz="2" w:space="0" w:color="auto"/>
              <w:right w:val="single" w:sz="2" w:space="0" w:color="auto"/>
            </w:tcBorders>
            <w:vAlign w:val="center"/>
          </w:tcPr>
          <w:p w14:paraId="5AD2AE9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5F8121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7EAABD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6,363,114.25</w:t>
            </w:r>
          </w:p>
        </w:tc>
        <w:tc>
          <w:tcPr>
            <w:tcW w:w="2126" w:type="dxa"/>
            <w:tcBorders>
              <w:top w:val="single" w:sz="2" w:space="0" w:color="auto"/>
              <w:left w:val="single" w:sz="2" w:space="0" w:color="auto"/>
              <w:bottom w:val="single" w:sz="2" w:space="0" w:color="auto"/>
              <w:right w:val="single" w:sz="2" w:space="0" w:color="auto"/>
            </w:tcBorders>
            <w:vAlign w:val="center"/>
          </w:tcPr>
          <w:p w14:paraId="00CECE31"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5CCDF235"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6FB058D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单独进行减值测试的应收款项减值准备转回</w:t>
            </w:r>
          </w:p>
        </w:tc>
        <w:tc>
          <w:tcPr>
            <w:tcW w:w="1701" w:type="dxa"/>
            <w:tcBorders>
              <w:top w:val="single" w:sz="2" w:space="0" w:color="auto"/>
              <w:left w:val="single" w:sz="2" w:space="0" w:color="auto"/>
              <w:bottom w:val="single" w:sz="2" w:space="0" w:color="auto"/>
              <w:right w:val="single" w:sz="2" w:space="0" w:color="auto"/>
            </w:tcBorders>
            <w:vAlign w:val="center"/>
          </w:tcPr>
          <w:p w14:paraId="5B4DCA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1,783,778.74</w:t>
            </w:r>
          </w:p>
        </w:tc>
        <w:tc>
          <w:tcPr>
            <w:tcW w:w="1560" w:type="dxa"/>
            <w:tcBorders>
              <w:top w:val="single" w:sz="2" w:space="0" w:color="auto"/>
              <w:left w:val="single" w:sz="2" w:space="0" w:color="auto"/>
              <w:bottom w:val="single" w:sz="2" w:space="0" w:color="auto"/>
              <w:right w:val="single" w:sz="2" w:space="0" w:color="auto"/>
            </w:tcBorders>
            <w:vAlign w:val="center"/>
          </w:tcPr>
          <w:p w14:paraId="525D5E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2FB2B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58CA1D2B"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2F4F0EFB"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63D1B13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受托经营取得的托管费收入</w:t>
            </w:r>
          </w:p>
        </w:tc>
        <w:tc>
          <w:tcPr>
            <w:tcW w:w="1701" w:type="dxa"/>
            <w:tcBorders>
              <w:top w:val="single" w:sz="2" w:space="0" w:color="auto"/>
              <w:left w:val="single" w:sz="2" w:space="0" w:color="auto"/>
              <w:bottom w:val="single" w:sz="2" w:space="0" w:color="auto"/>
              <w:right w:val="single" w:sz="2" w:space="0" w:color="auto"/>
            </w:tcBorders>
            <w:vAlign w:val="center"/>
          </w:tcPr>
          <w:p w14:paraId="7E87B2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97,699.66</w:t>
            </w:r>
          </w:p>
        </w:tc>
        <w:tc>
          <w:tcPr>
            <w:tcW w:w="1560" w:type="dxa"/>
            <w:tcBorders>
              <w:top w:val="single" w:sz="2" w:space="0" w:color="auto"/>
              <w:left w:val="single" w:sz="2" w:space="0" w:color="auto"/>
              <w:bottom w:val="single" w:sz="2" w:space="0" w:color="auto"/>
              <w:right w:val="single" w:sz="2" w:space="0" w:color="auto"/>
            </w:tcBorders>
            <w:vAlign w:val="center"/>
          </w:tcPr>
          <w:p w14:paraId="36C8F2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6083A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14BCEFFA"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17F4A91F"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06FE7FC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除上述各项之外的其他营业外收入和支出</w:t>
            </w:r>
          </w:p>
        </w:tc>
        <w:tc>
          <w:tcPr>
            <w:tcW w:w="1701" w:type="dxa"/>
            <w:tcBorders>
              <w:top w:val="single" w:sz="2" w:space="0" w:color="auto"/>
              <w:left w:val="single" w:sz="2" w:space="0" w:color="auto"/>
              <w:bottom w:val="single" w:sz="2" w:space="0" w:color="auto"/>
              <w:right w:val="single" w:sz="2" w:space="0" w:color="auto"/>
            </w:tcBorders>
            <w:vAlign w:val="center"/>
          </w:tcPr>
          <w:p w14:paraId="6C7827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1,173,469.31</w:t>
            </w:r>
          </w:p>
        </w:tc>
        <w:tc>
          <w:tcPr>
            <w:tcW w:w="1560" w:type="dxa"/>
            <w:tcBorders>
              <w:top w:val="single" w:sz="2" w:space="0" w:color="auto"/>
              <w:left w:val="single" w:sz="2" w:space="0" w:color="auto"/>
              <w:bottom w:val="single" w:sz="2" w:space="0" w:color="auto"/>
              <w:right w:val="single" w:sz="2" w:space="0" w:color="auto"/>
            </w:tcBorders>
            <w:vAlign w:val="center"/>
          </w:tcPr>
          <w:p w14:paraId="58997D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-28,669,462.62</w:t>
            </w:r>
          </w:p>
        </w:tc>
        <w:tc>
          <w:tcPr>
            <w:tcW w:w="1417" w:type="dxa"/>
            <w:tcBorders>
              <w:top w:val="single" w:sz="2" w:space="0" w:color="auto"/>
              <w:left w:val="single" w:sz="2" w:space="0" w:color="auto"/>
              <w:bottom w:val="single" w:sz="2" w:space="0" w:color="auto"/>
              <w:right w:val="single" w:sz="2" w:space="0" w:color="auto"/>
            </w:tcBorders>
            <w:vAlign w:val="center"/>
          </w:tcPr>
          <w:p w14:paraId="138138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-7,818,762.52</w:t>
            </w:r>
          </w:p>
        </w:tc>
        <w:tc>
          <w:tcPr>
            <w:tcW w:w="2126" w:type="dxa"/>
            <w:tcBorders>
              <w:top w:val="single" w:sz="2" w:space="0" w:color="auto"/>
              <w:left w:val="single" w:sz="2" w:space="0" w:color="auto"/>
              <w:bottom w:val="single" w:sz="2" w:space="0" w:color="auto"/>
              <w:right w:val="single" w:sz="2" w:space="0" w:color="auto"/>
            </w:tcBorders>
            <w:vAlign w:val="center"/>
          </w:tcPr>
          <w:p w14:paraId="5F6DF248"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3AE6CE10"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2008D27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其他符合非经常性损益定义的损益项目</w:t>
            </w:r>
          </w:p>
        </w:tc>
        <w:tc>
          <w:tcPr>
            <w:tcW w:w="1701" w:type="dxa"/>
            <w:tcBorders>
              <w:top w:val="single" w:sz="2" w:space="0" w:color="auto"/>
              <w:left w:val="single" w:sz="2" w:space="0" w:color="auto"/>
              <w:bottom w:val="single" w:sz="2" w:space="0" w:color="auto"/>
              <w:right w:val="single" w:sz="2" w:space="0" w:color="auto"/>
            </w:tcBorders>
            <w:vAlign w:val="center"/>
          </w:tcPr>
          <w:p w14:paraId="0D8009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03F9A2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AEE60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283,366.95</w:t>
            </w:r>
          </w:p>
        </w:tc>
        <w:tc>
          <w:tcPr>
            <w:tcW w:w="2126" w:type="dxa"/>
            <w:tcBorders>
              <w:top w:val="single" w:sz="2" w:space="0" w:color="auto"/>
              <w:left w:val="single" w:sz="2" w:space="0" w:color="auto"/>
              <w:bottom w:val="single" w:sz="2" w:space="0" w:color="auto"/>
              <w:right w:val="single" w:sz="2" w:space="0" w:color="auto"/>
            </w:tcBorders>
            <w:vAlign w:val="center"/>
          </w:tcPr>
          <w:p w14:paraId="45F74A36"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721FB38C"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437C0A7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减：所得税影响额</w:t>
            </w:r>
          </w:p>
        </w:tc>
        <w:tc>
          <w:tcPr>
            <w:tcW w:w="1701" w:type="dxa"/>
            <w:tcBorders>
              <w:top w:val="single" w:sz="2" w:space="0" w:color="auto"/>
              <w:left w:val="single" w:sz="2" w:space="0" w:color="auto"/>
              <w:bottom w:val="single" w:sz="2" w:space="0" w:color="auto"/>
              <w:right w:val="single" w:sz="2" w:space="0" w:color="auto"/>
            </w:tcBorders>
            <w:vAlign w:val="center"/>
          </w:tcPr>
          <w:p w14:paraId="08AB2C9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-31,716.74</w:t>
            </w:r>
          </w:p>
        </w:tc>
        <w:tc>
          <w:tcPr>
            <w:tcW w:w="1560" w:type="dxa"/>
            <w:tcBorders>
              <w:top w:val="single" w:sz="2" w:space="0" w:color="auto"/>
              <w:left w:val="single" w:sz="2" w:space="0" w:color="auto"/>
              <w:bottom w:val="single" w:sz="2" w:space="0" w:color="auto"/>
              <w:right w:val="single" w:sz="2" w:space="0" w:color="auto"/>
            </w:tcBorders>
            <w:vAlign w:val="center"/>
          </w:tcPr>
          <w:p w14:paraId="29DB36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356,482.57</w:t>
            </w:r>
          </w:p>
        </w:tc>
        <w:tc>
          <w:tcPr>
            <w:tcW w:w="1417" w:type="dxa"/>
            <w:tcBorders>
              <w:top w:val="single" w:sz="2" w:space="0" w:color="auto"/>
              <w:left w:val="single" w:sz="2" w:space="0" w:color="auto"/>
              <w:bottom w:val="single" w:sz="2" w:space="0" w:color="auto"/>
              <w:right w:val="single" w:sz="2" w:space="0" w:color="auto"/>
            </w:tcBorders>
            <w:vAlign w:val="center"/>
          </w:tcPr>
          <w:p w14:paraId="59BE71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37,934.17</w:t>
            </w:r>
          </w:p>
        </w:tc>
        <w:tc>
          <w:tcPr>
            <w:tcW w:w="2126" w:type="dxa"/>
            <w:tcBorders>
              <w:top w:val="single" w:sz="2" w:space="0" w:color="auto"/>
              <w:left w:val="single" w:sz="2" w:space="0" w:color="auto"/>
              <w:bottom w:val="single" w:sz="2" w:space="0" w:color="auto"/>
              <w:right w:val="single" w:sz="2" w:space="0" w:color="auto"/>
            </w:tcBorders>
            <w:vAlign w:val="center"/>
          </w:tcPr>
          <w:p w14:paraId="7A1AD30E"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0EDA6F7E"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4537FE9D"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少数股东权益影响额（税后）</w:t>
            </w:r>
          </w:p>
        </w:tc>
        <w:tc>
          <w:tcPr>
            <w:tcW w:w="1701" w:type="dxa"/>
            <w:tcBorders>
              <w:top w:val="single" w:sz="2" w:space="0" w:color="auto"/>
              <w:left w:val="single" w:sz="2" w:space="0" w:color="auto"/>
              <w:bottom w:val="single" w:sz="2" w:space="0" w:color="auto"/>
              <w:right w:val="single" w:sz="2" w:space="0" w:color="auto"/>
            </w:tcBorders>
            <w:vAlign w:val="center"/>
          </w:tcPr>
          <w:p w14:paraId="102FB7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2,295,834.17</w:t>
            </w:r>
          </w:p>
        </w:tc>
        <w:tc>
          <w:tcPr>
            <w:tcW w:w="1560" w:type="dxa"/>
            <w:tcBorders>
              <w:top w:val="single" w:sz="2" w:space="0" w:color="auto"/>
              <w:left w:val="single" w:sz="2" w:space="0" w:color="auto"/>
              <w:bottom w:val="single" w:sz="2" w:space="0" w:color="auto"/>
              <w:right w:val="single" w:sz="2" w:space="0" w:color="auto"/>
            </w:tcBorders>
            <w:vAlign w:val="center"/>
          </w:tcPr>
          <w:p w14:paraId="119FD4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-6,445,994.10</w:t>
            </w:r>
          </w:p>
        </w:tc>
        <w:tc>
          <w:tcPr>
            <w:tcW w:w="1417" w:type="dxa"/>
            <w:tcBorders>
              <w:top w:val="single" w:sz="2" w:space="0" w:color="auto"/>
              <w:left w:val="single" w:sz="2" w:space="0" w:color="auto"/>
              <w:bottom w:val="single" w:sz="2" w:space="0" w:color="auto"/>
              <w:right w:val="single" w:sz="2" w:space="0" w:color="auto"/>
            </w:tcBorders>
            <w:vAlign w:val="center"/>
          </w:tcPr>
          <w:p w14:paraId="3BA1C6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5,320,849.32</w:t>
            </w:r>
          </w:p>
        </w:tc>
        <w:tc>
          <w:tcPr>
            <w:tcW w:w="2126" w:type="dxa"/>
            <w:tcBorders>
              <w:top w:val="single" w:sz="2" w:space="0" w:color="auto"/>
              <w:left w:val="single" w:sz="2" w:space="0" w:color="auto"/>
              <w:bottom w:val="single" w:sz="2" w:space="0" w:color="auto"/>
              <w:right w:val="single" w:sz="2" w:space="0" w:color="auto"/>
            </w:tcBorders>
            <w:vAlign w:val="center"/>
          </w:tcPr>
          <w:p w14:paraId="48480AFD"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7268DC46" w14:textId="77777777" w:rsidTr="00BB1F9D">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6CF3F79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14:paraId="666EF66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79,823,091.71</w:t>
            </w:r>
          </w:p>
        </w:tc>
        <w:tc>
          <w:tcPr>
            <w:tcW w:w="1560" w:type="dxa"/>
            <w:tcBorders>
              <w:top w:val="single" w:sz="2" w:space="0" w:color="auto"/>
              <w:left w:val="single" w:sz="2" w:space="0" w:color="auto"/>
              <w:bottom w:val="single" w:sz="2" w:space="0" w:color="auto"/>
              <w:right w:val="single" w:sz="2" w:space="0" w:color="auto"/>
            </w:tcBorders>
            <w:vAlign w:val="center"/>
          </w:tcPr>
          <w:p w14:paraId="49EFF2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-174,695,391.39</w:t>
            </w:r>
          </w:p>
        </w:tc>
        <w:tc>
          <w:tcPr>
            <w:tcW w:w="1417" w:type="dxa"/>
            <w:tcBorders>
              <w:top w:val="single" w:sz="2" w:space="0" w:color="auto"/>
              <w:left w:val="single" w:sz="2" w:space="0" w:color="auto"/>
              <w:bottom w:val="single" w:sz="2" w:space="0" w:color="auto"/>
              <w:right w:val="single" w:sz="2" w:space="0" w:color="auto"/>
            </w:tcBorders>
            <w:vAlign w:val="center"/>
          </w:tcPr>
          <w:p w14:paraId="1541DE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-72,499,993.29</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1AF98B7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bl>
    <w:p w14:paraId="3BD76D8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其他符合非经常性损益定义的损益项目的具体情况：</w:t>
      </w:r>
    </w:p>
    <w:p w14:paraId="5291B6D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B21794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公司不存在其他符合非经常性损益定义的损益项目的具体情况。</w:t>
      </w:r>
    </w:p>
    <w:p w14:paraId="0E35903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将《公开发行证券的公司信息披露解释性公告第</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非经常性损益》中列举的非经常性损益项目界定为经常性损益项目的情况说明</w:t>
      </w:r>
    </w:p>
    <w:p w14:paraId="37E9C95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EDE267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公司不存在将《公开发行证券的公司信息披露解释性公告第</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非经常性损益》中列举的非经常性损益项目界定为经常性损益的项目的情形。</w:t>
      </w:r>
    </w:p>
    <w:p w14:paraId="4B774401"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3978B5DA"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13" w:name="_Toc988902"/>
      <w:r w:rsidRPr="005B5EC1">
        <w:rPr>
          <w:rFonts w:ascii="Times New Roman" w:eastAsia="宋体" w:hAnsi="Times New Roman" w:cs="Times New Roman"/>
          <w:b/>
          <w:bCs/>
          <w:sz w:val="32"/>
          <w:szCs w:val="32"/>
        </w:rPr>
        <w:lastRenderedPageBreak/>
        <w:t>第三节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管理层讨论与分析</w:t>
      </w:r>
      <w:bookmarkEnd w:id="13"/>
    </w:p>
    <w:p w14:paraId="66E53DB7"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4" w:name="_Toc988903"/>
      <w:r w:rsidRPr="005B5EC1">
        <w:rPr>
          <w:rFonts w:ascii="Times New Roman" w:eastAsia="宋体" w:hAnsi="Times New Roman" w:cs="Times New Roman"/>
          <w:b/>
          <w:bCs/>
          <w:sz w:val="24"/>
          <w:szCs w:val="24"/>
        </w:rPr>
        <w:t>一、报告期内公司所处行业情况</w:t>
      </w:r>
      <w:bookmarkEnd w:id="14"/>
    </w:p>
    <w:p w14:paraId="037D874D" w14:textId="77777777" w:rsidR="00AF139E" w:rsidRPr="005B5EC1" w:rsidRDefault="00000000" w:rsidP="00BB1F9D">
      <w:pPr>
        <w:pStyle w:val="a3"/>
        <w:spacing w:before="0" w:beforeAutospacing="0" w:after="0" w:afterAutospacing="0" w:line="276" w:lineRule="auto"/>
        <w:ind w:firstLineChars="200" w:firstLine="360"/>
        <w:jc w:val="both"/>
        <w:divId w:val="1596011409"/>
        <w:rPr>
          <w:rFonts w:ascii="Times New Roman" w:eastAsia="等线" w:hAnsi="Times New Roman" w:cs="Times New Roman"/>
          <w:sz w:val="21"/>
          <w:szCs w:val="21"/>
        </w:rPr>
      </w:pPr>
      <w:r w:rsidRPr="005B5EC1">
        <w:rPr>
          <w:rFonts w:ascii="Times New Roman" w:hAnsi="Times New Roman" w:cs="Times New Roman"/>
          <w:sz w:val="18"/>
          <w:szCs w:val="18"/>
        </w:rPr>
        <w:t>1</w:t>
      </w:r>
      <w:r w:rsidRPr="005B5EC1">
        <w:rPr>
          <w:rFonts w:ascii="Times New Roman" w:hAnsi="Times New Roman" w:cs="Times New Roman"/>
          <w:sz w:val="18"/>
          <w:szCs w:val="18"/>
        </w:rPr>
        <w:t>、预制菜行业</w:t>
      </w:r>
    </w:p>
    <w:p w14:paraId="01BC4515" w14:textId="4B2D5079" w:rsidR="00AF139E" w:rsidRPr="005B5EC1" w:rsidRDefault="00000000" w:rsidP="00BB1F9D">
      <w:pPr>
        <w:pStyle w:val="a3"/>
        <w:spacing w:before="0" w:beforeAutospacing="0" w:after="0" w:afterAutospacing="0" w:line="276" w:lineRule="auto"/>
        <w:ind w:firstLineChars="200" w:firstLine="360"/>
        <w:jc w:val="both"/>
        <w:divId w:val="1596011409"/>
        <w:rPr>
          <w:rFonts w:ascii="Times New Roman" w:eastAsia="等线" w:hAnsi="Times New Roman" w:cs="Times New Roman"/>
          <w:sz w:val="21"/>
          <w:szCs w:val="21"/>
        </w:rPr>
      </w:pP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w:t>
      </w:r>
      <w:r w:rsidRPr="005B5EC1">
        <w:rPr>
          <w:rFonts w:ascii="Times New Roman" w:eastAsia="等线" w:hAnsi="Times New Roman" w:cs="Times New Roman"/>
          <w:sz w:val="18"/>
          <w:szCs w:val="18"/>
        </w:rPr>
        <w:t>3</w:t>
      </w:r>
      <w:r w:rsidRPr="005B5EC1">
        <w:rPr>
          <w:rFonts w:ascii="Times New Roman" w:hAnsi="Times New Roman" w:cs="Times New Roman"/>
          <w:sz w:val="18"/>
          <w:szCs w:val="18"/>
        </w:rPr>
        <w:t>月，国家市场监督管理总局联合教育部、工业和信息化部、农业农村部、商务部、国家卫生健康委印发《关于加强预制菜食品安全监管促进产业高质量发展的通知》，首次在国家层面对预制菜原辅料、预加工工艺等进行了严格界定，为预制菜行业的健康、规范、高质量发展指明了方向。我国预制菜起步较晚，行业集中度较低，根据《中国烹饪协会五年（</w:t>
      </w:r>
      <w:r w:rsidRPr="005B5EC1">
        <w:rPr>
          <w:rFonts w:ascii="Times New Roman" w:eastAsia="等线" w:hAnsi="Times New Roman" w:cs="Times New Roman"/>
          <w:sz w:val="18"/>
          <w:szCs w:val="18"/>
        </w:rPr>
        <w:t>2021-2025</w:t>
      </w:r>
      <w:r w:rsidRPr="005B5EC1">
        <w:rPr>
          <w:rFonts w:ascii="Times New Roman" w:hAnsi="Times New Roman" w:cs="Times New Roman"/>
          <w:sz w:val="18"/>
          <w:szCs w:val="18"/>
        </w:rPr>
        <w:t>）工作规划》，目前国内预制菜渗透率只有</w:t>
      </w:r>
      <w:r w:rsidRPr="005B5EC1">
        <w:rPr>
          <w:rFonts w:ascii="Times New Roman" w:eastAsia="等线" w:hAnsi="Times New Roman" w:cs="Times New Roman"/>
          <w:sz w:val="18"/>
          <w:szCs w:val="18"/>
        </w:rPr>
        <w:t>10%-15%</w:t>
      </w:r>
      <w:r w:rsidRPr="005B5EC1">
        <w:rPr>
          <w:rFonts w:ascii="Times New Roman" w:hAnsi="Times New Roman" w:cs="Times New Roman"/>
          <w:sz w:val="18"/>
          <w:szCs w:val="18"/>
        </w:rPr>
        <w:t>，而美国、日本预制菜渗透率已达</w:t>
      </w:r>
      <w:r w:rsidRPr="005B5EC1">
        <w:rPr>
          <w:rFonts w:ascii="Times New Roman" w:eastAsia="等线" w:hAnsi="Times New Roman" w:cs="Times New Roman"/>
          <w:sz w:val="18"/>
          <w:szCs w:val="18"/>
        </w:rPr>
        <w:t>60%</w:t>
      </w:r>
      <w:r w:rsidRPr="005B5EC1">
        <w:rPr>
          <w:rFonts w:ascii="Times New Roman" w:hAnsi="Times New Roman" w:cs="Times New Roman"/>
          <w:sz w:val="18"/>
          <w:szCs w:val="18"/>
        </w:rPr>
        <w:t>以上，中国预制菜市场还有较大的扩容空间。山东省作为中国预制菜产业大省，当地政府积极推动预制菜行业的发展。</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w:t>
      </w:r>
      <w:r w:rsidRPr="005B5EC1">
        <w:rPr>
          <w:rFonts w:ascii="Times New Roman" w:eastAsia="等线" w:hAnsi="Times New Roman" w:cs="Times New Roman"/>
          <w:sz w:val="18"/>
          <w:szCs w:val="18"/>
        </w:rPr>
        <w:t>6</w:t>
      </w:r>
      <w:r w:rsidRPr="005B5EC1">
        <w:rPr>
          <w:rFonts w:ascii="Times New Roman" w:hAnsi="Times New Roman" w:cs="Times New Roman"/>
          <w:sz w:val="18"/>
          <w:szCs w:val="18"/>
        </w:rPr>
        <w:t>月，山东省发展改革委等</w:t>
      </w:r>
      <w:r w:rsidRPr="005B5EC1">
        <w:rPr>
          <w:rFonts w:ascii="Times New Roman" w:eastAsia="等线" w:hAnsi="Times New Roman" w:cs="Times New Roman"/>
          <w:sz w:val="18"/>
          <w:szCs w:val="18"/>
        </w:rPr>
        <w:t>12</w:t>
      </w:r>
      <w:r w:rsidRPr="005B5EC1">
        <w:rPr>
          <w:rFonts w:ascii="Times New Roman" w:hAnsi="Times New Roman" w:cs="Times New Roman"/>
          <w:sz w:val="18"/>
          <w:szCs w:val="18"/>
        </w:rPr>
        <w:t>部门联合印发《山东省预制菜产业高质量发展规划（</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w:t>
      </w:r>
      <w:r w:rsidRPr="005B5EC1">
        <w:rPr>
          <w:rFonts w:ascii="Times New Roman" w:eastAsia="等线" w:hAnsi="Times New Roman" w:cs="Times New Roman"/>
          <w:sz w:val="18"/>
          <w:szCs w:val="18"/>
        </w:rPr>
        <w:t>2027</w:t>
      </w:r>
      <w:r w:rsidRPr="005B5EC1">
        <w:rPr>
          <w:rFonts w:ascii="Times New Roman" w:hAnsi="Times New Roman" w:cs="Times New Roman"/>
          <w:sz w:val="18"/>
          <w:szCs w:val="18"/>
        </w:rPr>
        <w:t>年）》，规划指出将把潍坊、青岛、烟台、临沂作为四大核心增长极进行重点布局，整体带动全省预制菜产业提质增效、转型升级。力争到</w:t>
      </w:r>
      <w:r w:rsidRPr="005B5EC1">
        <w:rPr>
          <w:rFonts w:ascii="Times New Roman" w:eastAsia="等线" w:hAnsi="Times New Roman" w:cs="Times New Roman"/>
          <w:sz w:val="18"/>
          <w:szCs w:val="18"/>
        </w:rPr>
        <w:t>2027</w:t>
      </w:r>
      <w:r w:rsidRPr="005B5EC1">
        <w:rPr>
          <w:rFonts w:ascii="Times New Roman" w:hAnsi="Times New Roman" w:cs="Times New Roman"/>
          <w:sz w:val="18"/>
          <w:szCs w:val="18"/>
        </w:rPr>
        <w:t>年，全省预制菜市场经营主体数量突破</w:t>
      </w:r>
      <w:r w:rsidRPr="005B5EC1">
        <w:rPr>
          <w:rFonts w:ascii="Times New Roman" w:eastAsia="等线" w:hAnsi="Times New Roman" w:cs="Times New Roman"/>
          <w:sz w:val="18"/>
          <w:szCs w:val="18"/>
        </w:rPr>
        <w:t>8,000</w:t>
      </w:r>
      <w:r w:rsidRPr="005B5EC1">
        <w:rPr>
          <w:rFonts w:ascii="Times New Roman" w:hAnsi="Times New Roman" w:cs="Times New Roman"/>
          <w:sz w:val="18"/>
          <w:szCs w:val="18"/>
        </w:rPr>
        <w:t>家，全产业链产值超过</w:t>
      </w:r>
      <w:r w:rsidRPr="005B5EC1">
        <w:rPr>
          <w:rFonts w:ascii="Times New Roman" w:eastAsia="等线" w:hAnsi="Times New Roman" w:cs="Times New Roman"/>
          <w:sz w:val="18"/>
          <w:szCs w:val="18"/>
        </w:rPr>
        <w:t>6,600</w:t>
      </w:r>
      <w:r w:rsidRPr="005B5EC1">
        <w:rPr>
          <w:rFonts w:ascii="Times New Roman" w:hAnsi="Times New Roman" w:cs="Times New Roman"/>
          <w:sz w:val="18"/>
          <w:szCs w:val="18"/>
        </w:rPr>
        <w:t>亿元。</w:t>
      </w:r>
    </w:p>
    <w:p w14:paraId="2EB2DB45" w14:textId="77777777" w:rsidR="00AF139E" w:rsidRPr="005B5EC1" w:rsidRDefault="00000000" w:rsidP="00BB1F9D">
      <w:pPr>
        <w:pStyle w:val="a3"/>
        <w:spacing w:before="0" w:beforeAutospacing="0" w:after="0" w:afterAutospacing="0" w:line="276" w:lineRule="auto"/>
        <w:ind w:firstLineChars="200" w:firstLine="360"/>
        <w:jc w:val="both"/>
        <w:divId w:val="1596011409"/>
        <w:rPr>
          <w:rFonts w:ascii="Times New Roman" w:eastAsia="等线" w:hAnsi="Times New Roman" w:cs="Times New Roman"/>
          <w:sz w:val="21"/>
          <w:szCs w:val="21"/>
        </w:rPr>
      </w:pPr>
      <w:r w:rsidRPr="005B5EC1">
        <w:rPr>
          <w:rFonts w:ascii="Times New Roman" w:hAnsi="Times New Roman" w:cs="Times New Roman"/>
          <w:sz w:val="18"/>
          <w:szCs w:val="18"/>
        </w:rPr>
        <w:t>2</w:t>
      </w:r>
      <w:r w:rsidRPr="005B5EC1">
        <w:rPr>
          <w:rFonts w:ascii="Times New Roman" w:hAnsi="Times New Roman" w:cs="Times New Roman"/>
          <w:sz w:val="18"/>
          <w:szCs w:val="18"/>
        </w:rPr>
        <w:t>、生猪养殖行业</w:t>
      </w:r>
    </w:p>
    <w:p w14:paraId="1E92B917" w14:textId="77616CD0" w:rsidR="00AF139E" w:rsidRPr="005B5EC1" w:rsidRDefault="00000000" w:rsidP="00BB1F9D">
      <w:pPr>
        <w:pStyle w:val="a3"/>
        <w:spacing w:before="0" w:beforeAutospacing="0" w:after="0" w:afterAutospacing="0" w:line="276" w:lineRule="auto"/>
        <w:ind w:firstLineChars="200" w:firstLine="360"/>
        <w:jc w:val="both"/>
        <w:divId w:val="1596011409"/>
        <w:rPr>
          <w:rFonts w:ascii="Times New Roman" w:eastAsia="等线" w:hAnsi="Times New Roman" w:cs="Times New Roman"/>
          <w:sz w:val="21"/>
          <w:szCs w:val="21"/>
        </w:rPr>
      </w:pPr>
      <w:r w:rsidRPr="005B5EC1">
        <w:rPr>
          <w:rFonts w:ascii="Times New Roman" w:hAnsi="Times New Roman" w:cs="Times New Roman"/>
          <w:sz w:val="18"/>
          <w:szCs w:val="18"/>
        </w:rPr>
        <w:t>根据国家统计局及农业农村部数据，</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年，全国生猪出栏</w:t>
      </w:r>
      <w:r w:rsidRPr="005B5EC1">
        <w:rPr>
          <w:rFonts w:ascii="Times New Roman" w:eastAsia="等线" w:hAnsi="Times New Roman" w:cs="Times New Roman"/>
          <w:color w:val="000000"/>
          <w:sz w:val="18"/>
          <w:szCs w:val="18"/>
        </w:rPr>
        <w:t>70,256</w:t>
      </w:r>
      <w:r w:rsidRPr="005B5EC1">
        <w:rPr>
          <w:rFonts w:ascii="Times New Roman" w:hAnsi="Times New Roman" w:cs="Times New Roman"/>
          <w:sz w:val="18"/>
          <w:szCs w:val="18"/>
        </w:rPr>
        <w:t>万头，同比减少</w:t>
      </w:r>
      <w:r w:rsidRPr="005B5EC1">
        <w:rPr>
          <w:rFonts w:ascii="Times New Roman" w:eastAsia="等线" w:hAnsi="Times New Roman" w:cs="Times New Roman"/>
          <w:sz w:val="18"/>
          <w:szCs w:val="18"/>
        </w:rPr>
        <w:t>2,406</w:t>
      </w:r>
      <w:r w:rsidRPr="005B5EC1">
        <w:rPr>
          <w:rFonts w:ascii="Times New Roman" w:hAnsi="Times New Roman" w:cs="Times New Roman"/>
          <w:sz w:val="18"/>
          <w:szCs w:val="18"/>
        </w:rPr>
        <w:t>万头，同比下降</w:t>
      </w:r>
      <w:r w:rsidRPr="005B5EC1">
        <w:rPr>
          <w:rFonts w:ascii="Times New Roman" w:eastAsia="等线" w:hAnsi="Times New Roman" w:cs="Times New Roman"/>
          <w:sz w:val="18"/>
          <w:szCs w:val="18"/>
        </w:rPr>
        <w:t>3.31%</w:t>
      </w:r>
      <w:r w:rsidRPr="005B5EC1">
        <w:rPr>
          <w:rFonts w:ascii="Times New Roman" w:hAnsi="Times New Roman" w:cs="Times New Roman"/>
          <w:sz w:val="18"/>
          <w:szCs w:val="18"/>
        </w:rPr>
        <w:t>；截至</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年末，全国生猪存栏</w:t>
      </w:r>
      <w:r w:rsidRPr="005B5EC1">
        <w:rPr>
          <w:rFonts w:ascii="Times New Roman" w:eastAsia="等线" w:hAnsi="Times New Roman" w:cs="Times New Roman"/>
          <w:sz w:val="18"/>
          <w:szCs w:val="18"/>
        </w:rPr>
        <w:t>42,743</w:t>
      </w:r>
      <w:r w:rsidRPr="005B5EC1">
        <w:rPr>
          <w:rFonts w:ascii="Times New Roman" w:hAnsi="Times New Roman" w:cs="Times New Roman"/>
          <w:sz w:val="18"/>
          <w:szCs w:val="18"/>
        </w:rPr>
        <w:t>万头，同比减少</w:t>
      </w:r>
      <w:r w:rsidRPr="005B5EC1">
        <w:rPr>
          <w:rFonts w:ascii="Times New Roman" w:eastAsia="等线" w:hAnsi="Times New Roman" w:cs="Times New Roman"/>
          <w:sz w:val="18"/>
          <w:szCs w:val="18"/>
        </w:rPr>
        <w:t>679</w:t>
      </w:r>
      <w:r w:rsidRPr="005B5EC1">
        <w:rPr>
          <w:rFonts w:ascii="Times New Roman" w:hAnsi="Times New Roman" w:cs="Times New Roman"/>
          <w:sz w:val="18"/>
          <w:szCs w:val="18"/>
        </w:rPr>
        <w:t>万头，同比下降</w:t>
      </w:r>
      <w:r w:rsidRPr="005B5EC1">
        <w:rPr>
          <w:rFonts w:ascii="Times New Roman" w:eastAsia="等线" w:hAnsi="Times New Roman" w:cs="Times New Roman"/>
          <w:sz w:val="18"/>
          <w:szCs w:val="18"/>
        </w:rPr>
        <w:t>1.56%</w:t>
      </w:r>
      <w:r w:rsidRPr="005B5EC1">
        <w:rPr>
          <w:rFonts w:ascii="Times New Roman" w:hAnsi="Times New Roman" w:cs="Times New Roman"/>
          <w:sz w:val="18"/>
          <w:szCs w:val="18"/>
        </w:rPr>
        <w:t>。</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w:t>
      </w:r>
      <w:r w:rsidRPr="005B5EC1">
        <w:rPr>
          <w:rFonts w:ascii="Times New Roman" w:eastAsia="等线" w:hAnsi="Times New Roman" w:cs="Times New Roman"/>
          <w:sz w:val="18"/>
          <w:szCs w:val="18"/>
        </w:rPr>
        <w:t>3</w:t>
      </w:r>
      <w:r w:rsidRPr="005B5EC1">
        <w:rPr>
          <w:rFonts w:ascii="Times New Roman" w:hAnsi="Times New Roman" w:cs="Times New Roman"/>
          <w:sz w:val="18"/>
          <w:szCs w:val="18"/>
        </w:rPr>
        <w:t>月，农业农村部印发《生猪产能调控实施方案（</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年修订）》，以正常年份全国猪肉产量在</w:t>
      </w:r>
      <w:r w:rsidRPr="005B5EC1">
        <w:rPr>
          <w:rFonts w:ascii="Times New Roman" w:eastAsia="等线" w:hAnsi="Times New Roman" w:cs="Times New Roman"/>
          <w:sz w:val="18"/>
          <w:szCs w:val="18"/>
        </w:rPr>
        <w:t>5500</w:t>
      </w:r>
      <w:r w:rsidRPr="005B5EC1">
        <w:rPr>
          <w:rFonts w:ascii="Times New Roman" w:hAnsi="Times New Roman" w:cs="Times New Roman"/>
          <w:sz w:val="18"/>
          <w:szCs w:val="18"/>
        </w:rPr>
        <w:t>万吨时的生产数据为参照，能繁母猪的正常保有量从</w:t>
      </w:r>
      <w:r w:rsidRPr="005B5EC1">
        <w:rPr>
          <w:rFonts w:ascii="Times New Roman" w:eastAsia="等线" w:hAnsi="Times New Roman" w:cs="Times New Roman"/>
          <w:sz w:val="18"/>
          <w:szCs w:val="18"/>
        </w:rPr>
        <w:t>4,100</w:t>
      </w:r>
      <w:r w:rsidRPr="005B5EC1">
        <w:rPr>
          <w:rFonts w:ascii="Times New Roman" w:hAnsi="Times New Roman" w:cs="Times New Roman"/>
          <w:sz w:val="18"/>
          <w:szCs w:val="18"/>
        </w:rPr>
        <w:t>万</w:t>
      </w:r>
      <w:r w:rsidR="00975D82">
        <w:rPr>
          <w:rFonts w:ascii="Times New Roman" w:hAnsi="Times New Roman" w:cs="Times New Roman" w:hint="eastAsia"/>
          <w:sz w:val="18"/>
          <w:szCs w:val="18"/>
        </w:rPr>
        <w:t>头</w:t>
      </w:r>
      <w:r w:rsidRPr="005B5EC1">
        <w:rPr>
          <w:rFonts w:ascii="Times New Roman" w:hAnsi="Times New Roman" w:cs="Times New Roman"/>
          <w:sz w:val="18"/>
          <w:szCs w:val="18"/>
        </w:rPr>
        <w:t>下调至</w:t>
      </w:r>
      <w:r w:rsidRPr="005B5EC1">
        <w:rPr>
          <w:rFonts w:ascii="Times New Roman" w:eastAsia="等线" w:hAnsi="Times New Roman" w:cs="Times New Roman"/>
          <w:sz w:val="18"/>
          <w:szCs w:val="18"/>
        </w:rPr>
        <w:t xml:space="preserve"> 3,900 </w:t>
      </w:r>
      <w:r w:rsidRPr="005B5EC1">
        <w:rPr>
          <w:rFonts w:ascii="Times New Roman" w:hAnsi="Times New Roman" w:cs="Times New Roman"/>
          <w:sz w:val="18"/>
          <w:szCs w:val="18"/>
        </w:rPr>
        <w:t>万头。</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年，全国猪肉产量为</w:t>
      </w:r>
      <w:r w:rsidRPr="005B5EC1">
        <w:rPr>
          <w:rFonts w:ascii="Times New Roman" w:eastAsia="等线" w:hAnsi="Times New Roman" w:cs="Times New Roman"/>
          <w:sz w:val="18"/>
          <w:szCs w:val="18"/>
        </w:rPr>
        <w:t>5,706</w:t>
      </w:r>
      <w:r w:rsidRPr="005B5EC1">
        <w:rPr>
          <w:rFonts w:ascii="Times New Roman" w:hAnsi="Times New Roman" w:cs="Times New Roman"/>
          <w:sz w:val="18"/>
          <w:szCs w:val="18"/>
        </w:rPr>
        <w:t>万吨。</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年末，全国能繁母猪存栏量为</w:t>
      </w:r>
      <w:r w:rsidRPr="005B5EC1">
        <w:rPr>
          <w:rFonts w:ascii="Times New Roman" w:eastAsia="等线" w:hAnsi="Times New Roman" w:cs="Times New Roman"/>
          <w:sz w:val="18"/>
          <w:szCs w:val="18"/>
        </w:rPr>
        <w:t>4,078</w:t>
      </w:r>
      <w:r w:rsidRPr="005B5EC1">
        <w:rPr>
          <w:rFonts w:ascii="Times New Roman" w:hAnsi="Times New Roman" w:cs="Times New Roman"/>
          <w:sz w:val="18"/>
          <w:szCs w:val="18"/>
        </w:rPr>
        <w:t>万头，相当于目前正常保有量的</w:t>
      </w:r>
      <w:r w:rsidRPr="005B5EC1">
        <w:rPr>
          <w:rFonts w:ascii="Times New Roman" w:eastAsia="等线" w:hAnsi="Times New Roman" w:cs="Times New Roman"/>
          <w:sz w:val="18"/>
          <w:szCs w:val="18"/>
        </w:rPr>
        <w:t>104.56%</w:t>
      </w:r>
      <w:r w:rsidRPr="005B5EC1">
        <w:rPr>
          <w:rFonts w:ascii="Times New Roman" w:hAnsi="Times New Roman" w:cs="Times New Roman"/>
          <w:sz w:val="18"/>
          <w:szCs w:val="18"/>
        </w:rPr>
        <w:t>，产能正常，处于绿色区域。受去产能及供给关系的影响，</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年全国生猪平均价格为</w:t>
      </w:r>
      <w:r w:rsidRPr="005B5EC1">
        <w:rPr>
          <w:rFonts w:ascii="Times New Roman" w:eastAsia="等线" w:hAnsi="Times New Roman" w:cs="Times New Roman"/>
          <w:sz w:val="18"/>
          <w:szCs w:val="18"/>
        </w:rPr>
        <w:t>16.7</w:t>
      </w:r>
      <w:r w:rsidRPr="005B5EC1">
        <w:rPr>
          <w:rFonts w:ascii="Times New Roman" w:hAnsi="Times New Roman" w:cs="Times New Roman"/>
          <w:sz w:val="18"/>
          <w:szCs w:val="18"/>
        </w:rPr>
        <w:t>元</w:t>
      </w:r>
      <w:r w:rsidRPr="005B5EC1">
        <w:rPr>
          <w:rFonts w:ascii="Times New Roman" w:eastAsia="等线" w:hAnsi="Times New Roman" w:cs="Times New Roman"/>
          <w:sz w:val="18"/>
          <w:szCs w:val="18"/>
        </w:rPr>
        <w:t>/</w:t>
      </w:r>
      <w:r w:rsidRPr="005B5EC1">
        <w:rPr>
          <w:rFonts w:ascii="Times New Roman" w:hAnsi="Times New Roman" w:cs="Times New Roman"/>
          <w:sz w:val="18"/>
          <w:szCs w:val="18"/>
        </w:rPr>
        <w:t>公斤，较</w:t>
      </w:r>
      <w:r w:rsidRPr="005B5EC1">
        <w:rPr>
          <w:rFonts w:ascii="Times New Roman" w:eastAsia="等线" w:hAnsi="Times New Roman" w:cs="Times New Roman"/>
          <w:sz w:val="18"/>
          <w:szCs w:val="18"/>
        </w:rPr>
        <w:t>2023</w:t>
      </w:r>
      <w:r w:rsidRPr="005B5EC1">
        <w:rPr>
          <w:rFonts w:ascii="Times New Roman" w:hAnsi="Times New Roman" w:cs="Times New Roman"/>
          <w:sz w:val="18"/>
          <w:szCs w:val="18"/>
        </w:rPr>
        <w:t>年的</w:t>
      </w:r>
      <w:r w:rsidRPr="005B5EC1">
        <w:rPr>
          <w:rFonts w:ascii="Times New Roman" w:eastAsia="等线" w:hAnsi="Times New Roman" w:cs="Times New Roman"/>
          <w:sz w:val="18"/>
          <w:szCs w:val="18"/>
        </w:rPr>
        <w:t>14.9</w:t>
      </w:r>
      <w:r w:rsidRPr="005B5EC1">
        <w:rPr>
          <w:rFonts w:ascii="Times New Roman" w:hAnsi="Times New Roman" w:cs="Times New Roman"/>
          <w:sz w:val="18"/>
          <w:szCs w:val="18"/>
        </w:rPr>
        <w:t>元</w:t>
      </w:r>
      <w:r w:rsidRPr="005B5EC1">
        <w:rPr>
          <w:rFonts w:ascii="Times New Roman" w:eastAsia="等线" w:hAnsi="Times New Roman" w:cs="Times New Roman"/>
          <w:sz w:val="18"/>
          <w:szCs w:val="18"/>
        </w:rPr>
        <w:t>/</w:t>
      </w:r>
      <w:r w:rsidRPr="005B5EC1">
        <w:rPr>
          <w:rFonts w:ascii="Times New Roman" w:hAnsi="Times New Roman" w:cs="Times New Roman"/>
          <w:sz w:val="18"/>
          <w:szCs w:val="18"/>
        </w:rPr>
        <w:t>公斤上涨了</w:t>
      </w:r>
      <w:r w:rsidRPr="005B5EC1">
        <w:rPr>
          <w:rFonts w:ascii="Times New Roman" w:eastAsia="等线" w:hAnsi="Times New Roman" w:cs="Times New Roman"/>
          <w:sz w:val="18"/>
          <w:szCs w:val="18"/>
        </w:rPr>
        <w:t>1.8</w:t>
      </w:r>
      <w:r w:rsidRPr="005B5EC1">
        <w:rPr>
          <w:rFonts w:ascii="Times New Roman" w:hAnsi="Times New Roman" w:cs="Times New Roman"/>
          <w:sz w:val="18"/>
          <w:szCs w:val="18"/>
        </w:rPr>
        <w:t>元</w:t>
      </w:r>
      <w:r w:rsidRPr="005B5EC1">
        <w:rPr>
          <w:rFonts w:ascii="Times New Roman" w:eastAsia="等线" w:hAnsi="Times New Roman" w:cs="Times New Roman"/>
          <w:sz w:val="18"/>
          <w:szCs w:val="18"/>
        </w:rPr>
        <w:t>/</w:t>
      </w:r>
      <w:r w:rsidRPr="005B5EC1">
        <w:rPr>
          <w:rFonts w:ascii="Times New Roman" w:hAnsi="Times New Roman" w:cs="Times New Roman"/>
          <w:sz w:val="18"/>
          <w:szCs w:val="18"/>
        </w:rPr>
        <w:t>公斤。</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年生猪价格呈</w:t>
      </w:r>
      <w:r w:rsidRPr="005B5EC1">
        <w:rPr>
          <w:rFonts w:ascii="Times New Roman" w:hAnsi="Times New Roman" w:cs="Times New Roman"/>
          <w:sz w:val="18"/>
          <w:szCs w:val="18"/>
        </w:rPr>
        <w:t>“</w:t>
      </w:r>
      <w:r w:rsidRPr="005B5EC1">
        <w:rPr>
          <w:rFonts w:ascii="Times New Roman" w:hAnsi="Times New Roman" w:cs="Times New Roman"/>
          <w:sz w:val="18"/>
          <w:szCs w:val="18"/>
        </w:rPr>
        <w:t>倒</w:t>
      </w:r>
      <w:r w:rsidRPr="005B5EC1">
        <w:rPr>
          <w:rFonts w:ascii="Times New Roman" w:eastAsia="等线" w:hAnsi="Times New Roman" w:cs="Times New Roman"/>
          <w:sz w:val="18"/>
          <w:szCs w:val="18"/>
        </w:rPr>
        <w:t>V</w:t>
      </w:r>
      <w:r w:rsidRPr="005B5EC1">
        <w:rPr>
          <w:rFonts w:ascii="Times New Roman" w:hAnsi="Times New Roman" w:cs="Times New Roman"/>
          <w:sz w:val="18"/>
          <w:szCs w:val="18"/>
        </w:rPr>
        <w:t>”</w:t>
      </w:r>
      <w:r w:rsidRPr="005B5EC1">
        <w:rPr>
          <w:rFonts w:ascii="Times New Roman" w:hAnsi="Times New Roman" w:cs="Times New Roman"/>
          <w:sz w:val="18"/>
          <w:szCs w:val="18"/>
        </w:rPr>
        <w:t>型走势，前</w:t>
      </w:r>
      <w:r w:rsidRPr="005B5EC1">
        <w:rPr>
          <w:rFonts w:ascii="Times New Roman" w:eastAsia="等线" w:hAnsi="Times New Roman" w:cs="Times New Roman"/>
          <w:sz w:val="18"/>
          <w:szCs w:val="18"/>
        </w:rPr>
        <w:t>8</w:t>
      </w:r>
      <w:r w:rsidRPr="005B5EC1">
        <w:rPr>
          <w:rFonts w:ascii="Times New Roman" w:hAnsi="Times New Roman" w:cs="Times New Roman"/>
          <w:sz w:val="18"/>
          <w:szCs w:val="18"/>
        </w:rPr>
        <w:t>个月价格逐步上升，从</w:t>
      </w:r>
      <w:r w:rsidRPr="005B5EC1">
        <w:rPr>
          <w:rFonts w:ascii="Times New Roman" w:eastAsia="等线" w:hAnsi="Times New Roman" w:cs="Times New Roman"/>
          <w:sz w:val="18"/>
          <w:szCs w:val="18"/>
        </w:rPr>
        <w:t>1</w:t>
      </w:r>
      <w:r w:rsidRPr="005B5EC1">
        <w:rPr>
          <w:rFonts w:ascii="Times New Roman" w:hAnsi="Times New Roman" w:cs="Times New Roman"/>
          <w:sz w:val="18"/>
          <w:szCs w:val="18"/>
        </w:rPr>
        <w:t>月</w:t>
      </w:r>
      <w:r w:rsidRPr="005B5EC1">
        <w:rPr>
          <w:rFonts w:ascii="Times New Roman" w:eastAsia="等线" w:hAnsi="Times New Roman" w:cs="Times New Roman"/>
          <w:sz w:val="18"/>
          <w:szCs w:val="18"/>
        </w:rPr>
        <w:t>14.63</w:t>
      </w:r>
      <w:r w:rsidRPr="005B5EC1">
        <w:rPr>
          <w:rFonts w:ascii="Times New Roman" w:hAnsi="Times New Roman" w:cs="Times New Roman"/>
          <w:sz w:val="18"/>
          <w:szCs w:val="18"/>
        </w:rPr>
        <w:t>元</w:t>
      </w:r>
      <w:r w:rsidRPr="005B5EC1">
        <w:rPr>
          <w:rFonts w:ascii="Times New Roman" w:eastAsia="等线" w:hAnsi="Times New Roman" w:cs="Times New Roman"/>
          <w:sz w:val="18"/>
          <w:szCs w:val="18"/>
        </w:rPr>
        <w:t>/</w:t>
      </w:r>
      <w:r w:rsidRPr="005B5EC1">
        <w:rPr>
          <w:rFonts w:ascii="Times New Roman" w:hAnsi="Times New Roman" w:cs="Times New Roman"/>
          <w:sz w:val="18"/>
          <w:szCs w:val="18"/>
        </w:rPr>
        <w:t>公斤上涨至</w:t>
      </w:r>
      <w:r w:rsidRPr="005B5EC1">
        <w:rPr>
          <w:rFonts w:ascii="Times New Roman" w:eastAsia="等线" w:hAnsi="Times New Roman" w:cs="Times New Roman"/>
          <w:sz w:val="18"/>
          <w:szCs w:val="18"/>
        </w:rPr>
        <w:t>8</w:t>
      </w:r>
      <w:r w:rsidRPr="005B5EC1">
        <w:rPr>
          <w:rFonts w:ascii="Times New Roman" w:hAnsi="Times New Roman" w:cs="Times New Roman"/>
          <w:sz w:val="18"/>
          <w:szCs w:val="18"/>
        </w:rPr>
        <w:t>月</w:t>
      </w:r>
      <w:r w:rsidRPr="005B5EC1">
        <w:rPr>
          <w:rFonts w:ascii="Times New Roman" w:eastAsia="等线" w:hAnsi="Times New Roman" w:cs="Times New Roman"/>
          <w:sz w:val="18"/>
          <w:szCs w:val="18"/>
        </w:rPr>
        <w:t>20.63</w:t>
      </w:r>
      <w:r w:rsidRPr="005B5EC1">
        <w:rPr>
          <w:rFonts w:ascii="Times New Roman" w:hAnsi="Times New Roman" w:cs="Times New Roman"/>
          <w:sz w:val="18"/>
          <w:szCs w:val="18"/>
        </w:rPr>
        <w:t>元</w:t>
      </w:r>
      <w:r w:rsidRPr="005B5EC1">
        <w:rPr>
          <w:rFonts w:ascii="Times New Roman" w:eastAsia="等线" w:hAnsi="Times New Roman" w:cs="Times New Roman"/>
          <w:sz w:val="18"/>
          <w:szCs w:val="18"/>
        </w:rPr>
        <w:t>/</w:t>
      </w:r>
      <w:r w:rsidRPr="005B5EC1">
        <w:rPr>
          <w:rFonts w:ascii="Times New Roman" w:hAnsi="Times New Roman" w:cs="Times New Roman"/>
          <w:sz w:val="18"/>
          <w:szCs w:val="18"/>
        </w:rPr>
        <w:t>公斤，而后</w:t>
      </w:r>
      <w:r w:rsidRPr="005B5EC1">
        <w:rPr>
          <w:rFonts w:ascii="Times New Roman" w:eastAsia="等线" w:hAnsi="Times New Roman" w:cs="Times New Roman"/>
          <w:sz w:val="18"/>
          <w:szCs w:val="18"/>
        </w:rPr>
        <w:t>9</w:t>
      </w:r>
      <w:r w:rsidRPr="005B5EC1">
        <w:rPr>
          <w:rFonts w:ascii="Times New Roman" w:hAnsi="Times New Roman" w:cs="Times New Roman"/>
          <w:sz w:val="18"/>
          <w:szCs w:val="18"/>
        </w:rPr>
        <w:t>月价格逐步下降，</w:t>
      </w:r>
      <w:r w:rsidRPr="005B5EC1">
        <w:rPr>
          <w:rFonts w:ascii="Times New Roman" w:eastAsia="等线" w:hAnsi="Times New Roman" w:cs="Times New Roman"/>
          <w:sz w:val="18"/>
          <w:szCs w:val="18"/>
        </w:rPr>
        <w:t>12</w:t>
      </w:r>
      <w:r w:rsidRPr="005B5EC1">
        <w:rPr>
          <w:rFonts w:ascii="Times New Roman" w:hAnsi="Times New Roman" w:cs="Times New Roman"/>
          <w:sz w:val="18"/>
          <w:szCs w:val="18"/>
        </w:rPr>
        <w:t>月生猪价格为</w:t>
      </w:r>
      <w:r w:rsidRPr="005B5EC1">
        <w:rPr>
          <w:rFonts w:ascii="Times New Roman" w:eastAsia="等线" w:hAnsi="Times New Roman" w:cs="Times New Roman"/>
          <w:sz w:val="18"/>
          <w:szCs w:val="18"/>
        </w:rPr>
        <w:t>16.46</w:t>
      </w:r>
      <w:r w:rsidRPr="005B5EC1">
        <w:rPr>
          <w:rFonts w:ascii="Times New Roman" w:hAnsi="Times New Roman" w:cs="Times New Roman"/>
          <w:sz w:val="18"/>
          <w:szCs w:val="18"/>
        </w:rPr>
        <w:t>元</w:t>
      </w:r>
      <w:r w:rsidRPr="005B5EC1">
        <w:rPr>
          <w:rFonts w:ascii="Times New Roman" w:eastAsia="等线" w:hAnsi="Times New Roman" w:cs="Times New Roman"/>
          <w:sz w:val="18"/>
          <w:szCs w:val="18"/>
        </w:rPr>
        <w:t>/</w:t>
      </w:r>
      <w:r w:rsidRPr="005B5EC1">
        <w:rPr>
          <w:rFonts w:ascii="Times New Roman" w:hAnsi="Times New Roman" w:cs="Times New Roman"/>
          <w:sz w:val="18"/>
          <w:szCs w:val="18"/>
        </w:rPr>
        <w:t>公斤。伴随生猪价格的上升，同时叠加养殖成本的下降，</w:t>
      </w:r>
      <w:r w:rsidRPr="005B5EC1">
        <w:rPr>
          <w:rFonts w:ascii="Times New Roman" w:eastAsia="等线" w:hAnsi="Times New Roman" w:cs="Times New Roman"/>
          <w:sz w:val="18"/>
          <w:szCs w:val="18"/>
        </w:rPr>
        <w:t xml:space="preserve"> 2024</w:t>
      </w:r>
      <w:r w:rsidRPr="005B5EC1">
        <w:rPr>
          <w:rFonts w:ascii="Times New Roman" w:hAnsi="Times New Roman" w:cs="Times New Roman"/>
          <w:sz w:val="18"/>
          <w:szCs w:val="18"/>
        </w:rPr>
        <w:t>年生猪头均盈利</w:t>
      </w:r>
      <w:r w:rsidRPr="005B5EC1">
        <w:rPr>
          <w:rFonts w:ascii="Times New Roman" w:eastAsia="等线" w:hAnsi="Times New Roman" w:cs="Times New Roman"/>
          <w:sz w:val="18"/>
          <w:szCs w:val="18"/>
        </w:rPr>
        <w:t>214</w:t>
      </w:r>
      <w:r w:rsidRPr="005B5EC1">
        <w:rPr>
          <w:rFonts w:ascii="Times New Roman" w:hAnsi="Times New Roman" w:cs="Times New Roman"/>
          <w:sz w:val="18"/>
          <w:szCs w:val="18"/>
        </w:rPr>
        <w:t>元，生猪养殖行业整体同比减亏或扭亏为盈。</w:t>
      </w:r>
    </w:p>
    <w:p w14:paraId="7DD37BB9" w14:textId="77777777" w:rsidR="00AF139E" w:rsidRPr="005B5EC1" w:rsidRDefault="00000000" w:rsidP="00BB1F9D">
      <w:pPr>
        <w:pStyle w:val="a3"/>
        <w:spacing w:before="0" w:beforeAutospacing="0" w:after="0" w:afterAutospacing="0" w:line="276" w:lineRule="auto"/>
        <w:ind w:firstLineChars="200" w:firstLine="360"/>
        <w:jc w:val="both"/>
        <w:divId w:val="1596011409"/>
        <w:rPr>
          <w:rFonts w:ascii="Times New Roman" w:eastAsia="等线" w:hAnsi="Times New Roman" w:cs="Times New Roman"/>
          <w:sz w:val="21"/>
          <w:szCs w:val="21"/>
        </w:rPr>
      </w:pPr>
      <w:r w:rsidRPr="005B5EC1">
        <w:rPr>
          <w:rFonts w:ascii="Times New Roman" w:hAnsi="Times New Roman" w:cs="Times New Roman"/>
          <w:sz w:val="18"/>
          <w:szCs w:val="18"/>
        </w:rPr>
        <w:t>3</w:t>
      </w:r>
      <w:r w:rsidRPr="005B5EC1">
        <w:rPr>
          <w:rFonts w:ascii="Times New Roman" w:hAnsi="Times New Roman" w:cs="Times New Roman"/>
          <w:sz w:val="18"/>
          <w:szCs w:val="18"/>
        </w:rPr>
        <w:t>、生猪屠宰行业</w:t>
      </w:r>
    </w:p>
    <w:p w14:paraId="353E5647" w14:textId="38C868FD" w:rsidR="00AF139E" w:rsidRPr="005B5EC1" w:rsidRDefault="00000000" w:rsidP="00BB1F9D">
      <w:pPr>
        <w:pStyle w:val="a3"/>
        <w:spacing w:before="0" w:beforeAutospacing="0" w:after="0" w:afterAutospacing="0" w:line="276" w:lineRule="auto"/>
        <w:ind w:firstLineChars="200" w:firstLine="360"/>
        <w:jc w:val="both"/>
        <w:divId w:val="1596011409"/>
        <w:rPr>
          <w:rFonts w:ascii="Times New Roman" w:eastAsia="等线" w:hAnsi="Times New Roman" w:cs="Times New Roman"/>
          <w:sz w:val="21"/>
          <w:szCs w:val="21"/>
        </w:rPr>
      </w:pPr>
      <w:r w:rsidRPr="005B5EC1">
        <w:rPr>
          <w:rFonts w:ascii="Times New Roman" w:hAnsi="Times New Roman" w:cs="Times New Roman"/>
          <w:sz w:val="18"/>
          <w:szCs w:val="18"/>
        </w:rPr>
        <w:t>根据国家统计局及农业农村部数据，</w:t>
      </w:r>
      <w:r w:rsidRPr="005B5EC1">
        <w:rPr>
          <w:rFonts w:ascii="Times New Roman" w:eastAsia="等线" w:hAnsi="Times New Roman" w:cs="Times New Roman"/>
          <w:sz w:val="18"/>
          <w:szCs w:val="18"/>
        </w:rPr>
        <w:t>2021</w:t>
      </w:r>
      <w:r w:rsidRPr="005B5EC1">
        <w:rPr>
          <w:rFonts w:ascii="Times New Roman" w:hAnsi="Times New Roman" w:cs="Times New Roman"/>
          <w:sz w:val="18"/>
          <w:szCs w:val="18"/>
        </w:rPr>
        <w:t>年至</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年，我国规模以上定点屠宰企业（年屠宰量</w:t>
      </w:r>
      <w:r w:rsidRPr="005B5EC1">
        <w:rPr>
          <w:rFonts w:ascii="Times New Roman" w:eastAsia="等线" w:hAnsi="Times New Roman" w:cs="Times New Roman"/>
          <w:sz w:val="18"/>
          <w:szCs w:val="18"/>
        </w:rPr>
        <w:t>2</w:t>
      </w:r>
      <w:r w:rsidRPr="005B5EC1">
        <w:rPr>
          <w:rFonts w:ascii="Times New Roman" w:hAnsi="Times New Roman" w:cs="Times New Roman"/>
          <w:sz w:val="18"/>
          <w:szCs w:val="18"/>
        </w:rPr>
        <w:t>万头以上）生猪屠宰数量分别为</w:t>
      </w:r>
      <w:r w:rsidRPr="005B5EC1">
        <w:rPr>
          <w:rFonts w:ascii="Times New Roman" w:eastAsia="等线" w:hAnsi="Times New Roman" w:cs="Times New Roman"/>
          <w:sz w:val="18"/>
          <w:szCs w:val="18"/>
        </w:rPr>
        <w:t>26,485</w:t>
      </w:r>
      <w:r w:rsidRPr="005B5EC1">
        <w:rPr>
          <w:rFonts w:ascii="Times New Roman" w:hAnsi="Times New Roman" w:cs="Times New Roman"/>
          <w:sz w:val="18"/>
          <w:szCs w:val="18"/>
        </w:rPr>
        <w:t>万头、</w:t>
      </w:r>
      <w:r w:rsidRPr="005B5EC1">
        <w:rPr>
          <w:rFonts w:ascii="Times New Roman" w:eastAsia="等线" w:hAnsi="Times New Roman" w:cs="Times New Roman"/>
          <w:sz w:val="18"/>
          <w:szCs w:val="18"/>
        </w:rPr>
        <w:t>28,538</w:t>
      </w:r>
      <w:r w:rsidRPr="005B5EC1">
        <w:rPr>
          <w:rFonts w:ascii="Times New Roman" w:hAnsi="Times New Roman" w:cs="Times New Roman"/>
          <w:sz w:val="18"/>
          <w:szCs w:val="18"/>
        </w:rPr>
        <w:t>万头、</w:t>
      </w:r>
      <w:r w:rsidRPr="005B5EC1">
        <w:rPr>
          <w:rFonts w:ascii="Times New Roman" w:eastAsia="等线" w:hAnsi="Times New Roman" w:cs="Times New Roman"/>
          <w:sz w:val="18"/>
          <w:szCs w:val="18"/>
        </w:rPr>
        <w:t>34,371</w:t>
      </w:r>
      <w:r w:rsidRPr="005B5EC1">
        <w:rPr>
          <w:rFonts w:ascii="Times New Roman" w:hAnsi="Times New Roman" w:cs="Times New Roman"/>
          <w:sz w:val="18"/>
          <w:szCs w:val="18"/>
        </w:rPr>
        <w:t>万头、</w:t>
      </w:r>
      <w:r w:rsidRPr="005B5EC1">
        <w:rPr>
          <w:rFonts w:ascii="Times New Roman" w:eastAsia="等线" w:hAnsi="Times New Roman" w:cs="Times New Roman"/>
          <w:sz w:val="18"/>
          <w:szCs w:val="18"/>
        </w:rPr>
        <w:t>33,773</w:t>
      </w:r>
      <w:r w:rsidRPr="005B5EC1">
        <w:rPr>
          <w:rFonts w:ascii="Times New Roman" w:hAnsi="Times New Roman" w:cs="Times New Roman"/>
          <w:sz w:val="18"/>
          <w:szCs w:val="18"/>
        </w:rPr>
        <w:t>万头，规模以上定点屠宰生猪占比从</w:t>
      </w:r>
      <w:r w:rsidRPr="005B5EC1">
        <w:rPr>
          <w:rFonts w:ascii="Times New Roman" w:eastAsia="等线" w:hAnsi="Times New Roman" w:cs="Times New Roman"/>
          <w:sz w:val="18"/>
          <w:szCs w:val="18"/>
        </w:rPr>
        <w:t>2021</w:t>
      </w:r>
      <w:r w:rsidRPr="005B5EC1">
        <w:rPr>
          <w:rFonts w:ascii="Times New Roman" w:hAnsi="Times New Roman" w:cs="Times New Roman"/>
          <w:sz w:val="18"/>
          <w:szCs w:val="18"/>
        </w:rPr>
        <w:t>年的</w:t>
      </w:r>
      <w:r w:rsidRPr="005B5EC1">
        <w:rPr>
          <w:rFonts w:ascii="Times New Roman" w:eastAsia="等线" w:hAnsi="Times New Roman" w:cs="Times New Roman"/>
          <w:sz w:val="18"/>
          <w:szCs w:val="18"/>
        </w:rPr>
        <w:t>39.45%</w:t>
      </w:r>
      <w:r w:rsidRPr="005B5EC1">
        <w:rPr>
          <w:rFonts w:ascii="Times New Roman" w:hAnsi="Times New Roman" w:cs="Times New Roman"/>
          <w:sz w:val="18"/>
          <w:szCs w:val="18"/>
        </w:rPr>
        <w:t>提升至</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年的</w:t>
      </w:r>
      <w:r w:rsidRPr="005B5EC1">
        <w:rPr>
          <w:rFonts w:ascii="Times New Roman" w:eastAsia="等线" w:hAnsi="Times New Roman" w:cs="Times New Roman"/>
          <w:sz w:val="18"/>
          <w:szCs w:val="18"/>
        </w:rPr>
        <w:t>48.07%</w:t>
      </w:r>
      <w:r w:rsidRPr="005B5EC1">
        <w:rPr>
          <w:rFonts w:ascii="Times New Roman" w:hAnsi="Times New Roman" w:cs="Times New Roman"/>
          <w:sz w:val="18"/>
          <w:szCs w:val="18"/>
        </w:rPr>
        <w:t>，行业集中度逐渐提升。受非洲猪瘟和环保政策的影响，我国政府不断提高防疫、环保和食品安全等方面的要求，</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年正式实施的《生猪屠宰质量关联规范》及农业农村部于</w:t>
      </w:r>
      <w:r w:rsidRPr="005B5EC1">
        <w:rPr>
          <w:rFonts w:ascii="Times New Roman" w:eastAsia="等线" w:hAnsi="Times New Roman" w:cs="Times New Roman"/>
          <w:sz w:val="18"/>
          <w:szCs w:val="18"/>
        </w:rPr>
        <w:t>2024</w:t>
      </w:r>
      <w:r w:rsidRPr="005B5EC1">
        <w:rPr>
          <w:rFonts w:ascii="Times New Roman" w:hAnsi="Times New Roman" w:cs="Times New Roman"/>
          <w:sz w:val="18"/>
          <w:szCs w:val="18"/>
        </w:rPr>
        <w:t>年</w:t>
      </w:r>
      <w:r w:rsidRPr="005B5EC1">
        <w:rPr>
          <w:rFonts w:ascii="Times New Roman" w:eastAsia="等线" w:hAnsi="Times New Roman" w:cs="Times New Roman"/>
          <w:sz w:val="18"/>
          <w:szCs w:val="18"/>
        </w:rPr>
        <w:t>12</w:t>
      </w:r>
      <w:r w:rsidRPr="005B5EC1">
        <w:rPr>
          <w:rFonts w:ascii="Times New Roman" w:hAnsi="Times New Roman" w:cs="Times New Roman"/>
          <w:sz w:val="18"/>
          <w:szCs w:val="18"/>
        </w:rPr>
        <w:t>月颁布的《生猪定点屠宰厂（场）设置审查规定》将进一步加强对生猪屠宰行业的管理，促使屠宰企业的规模化发展，也保证了生猪产品的质量安全及人民身体健康。</w:t>
      </w:r>
    </w:p>
    <w:p w14:paraId="6BB3D2A5"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5" w:name="_Toc988904"/>
      <w:r w:rsidRPr="005B5EC1">
        <w:rPr>
          <w:rFonts w:ascii="Times New Roman" w:eastAsia="宋体" w:hAnsi="Times New Roman" w:cs="Times New Roman"/>
          <w:b/>
          <w:bCs/>
          <w:sz w:val="24"/>
          <w:szCs w:val="24"/>
        </w:rPr>
        <w:t>二、报告期内公司从事的主要业务</w:t>
      </w:r>
      <w:bookmarkEnd w:id="15"/>
    </w:p>
    <w:p w14:paraId="6CA4E67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公司需遵守《深圳证券交易所上市公司自律监管指引第</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行业信息披露》中食品及酒制造相关业的披露要求</w:t>
      </w:r>
    </w:p>
    <w:p w14:paraId="0D2A8468" w14:textId="77777777" w:rsidR="00AF139E" w:rsidRPr="005B5EC1" w:rsidRDefault="00000000" w:rsidP="00BB1F9D">
      <w:pPr>
        <w:pStyle w:val="a3"/>
        <w:spacing w:before="0" w:beforeAutospacing="0" w:after="0" w:afterAutospacing="0" w:line="276" w:lineRule="auto"/>
        <w:ind w:firstLine="357"/>
        <w:jc w:val="both"/>
        <w:divId w:val="1560629461"/>
        <w:rPr>
          <w:rFonts w:ascii="Times New Roman" w:eastAsia="等线" w:hAnsi="Times New Roman" w:cs="Times New Roman"/>
          <w:sz w:val="21"/>
          <w:szCs w:val="21"/>
        </w:rPr>
      </w:pPr>
      <w:r w:rsidRPr="005B5EC1">
        <w:rPr>
          <w:rFonts w:ascii="Times New Roman" w:hAnsi="Times New Roman" w:cs="Times New Roman"/>
          <w:sz w:val="18"/>
          <w:szCs w:val="18"/>
        </w:rPr>
        <w:t>报告期内，公司秉持</w:t>
      </w:r>
      <w:r w:rsidRPr="005B5EC1">
        <w:rPr>
          <w:rFonts w:ascii="Times New Roman" w:hAnsi="Times New Roman" w:cs="Times New Roman"/>
          <w:sz w:val="18"/>
          <w:szCs w:val="18"/>
        </w:rPr>
        <w:t>“</w:t>
      </w:r>
      <w:r w:rsidRPr="005B5EC1">
        <w:rPr>
          <w:rFonts w:ascii="Times New Roman" w:hAnsi="Times New Roman" w:cs="Times New Roman"/>
          <w:sz w:val="18"/>
          <w:szCs w:val="18"/>
        </w:rPr>
        <w:t>一体两翼</w:t>
      </w:r>
      <w:r w:rsidRPr="005B5EC1">
        <w:rPr>
          <w:rFonts w:ascii="Times New Roman" w:hAnsi="Times New Roman" w:cs="Times New Roman"/>
          <w:sz w:val="18"/>
          <w:szCs w:val="18"/>
        </w:rPr>
        <w:t>”</w:t>
      </w:r>
      <w:r w:rsidRPr="005B5EC1">
        <w:rPr>
          <w:rFonts w:ascii="Times New Roman" w:hAnsi="Times New Roman" w:cs="Times New Roman"/>
          <w:sz w:val="18"/>
          <w:szCs w:val="18"/>
        </w:rPr>
        <w:t>发展战略，以食品为主体，以养殖和屠宰为两翼支撑，致力于发展成为中国领先的食品企业，为中国人健康饮食提供高品质的系统解决方案。主要产品为预制食品（预制食材、预制半成品及预制成品）、熟食制品及鲜冻肉。</w:t>
      </w:r>
    </w:p>
    <w:p w14:paraId="3326322B" w14:textId="77777777" w:rsidR="00AF139E" w:rsidRPr="005B5EC1" w:rsidRDefault="00000000" w:rsidP="00BB1F9D">
      <w:pPr>
        <w:pStyle w:val="a3"/>
        <w:spacing w:before="0" w:beforeAutospacing="0" w:after="0" w:afterAutospacing="0" w:line="276" w:lineRule="auto"/>
        <w:ind w:firstLine="357"/>
        <w:jc w:val="both"/>
        <w:divId w:val="1560629461"/>
        <w:rPr>
          <w:rFonts w:ascii="Times New Roman" w:eastAsia="等线" w:hAnsi="Times New Roman" w:cs="Times New Roman"/>
          <w:sz w:val="21"/>
          <w:szCs w:val="21"/>
        </w:rPr>
      </w:pPr>
      <w:r w:rsidRPr="005B5EC1">
        <w:rPr>
          <w:rFonts w:ascii="Times New Roman" w:hAnsi="Times New Roman" w:cs="Times New Roman"/>
          <w:sz w:val="18"/>
          <w:szCs w:val="18"/>
        </w:rPr>
        <w:t>1</w:t>
      </w:r>
      <w:r w:rsidRPr="005B5EC1">
        <w:rPr>
          <w:rFonts w:ascii="Times New Roman" w:hAnsi="Times New Roman" w:cs="Times New Roman"/>
          <w:sz w:val="18"/>
          <w:szCs w:val="18"/>
        </w:rPr>
        <w:t>、食品业务</w:t>
      </w:r>
    </w:p>
    <w:p w14:paraId="5B5F71CA" w14:textId="77777777" w:rsidR="00AF139E" w:rsidRPr="005B5EC1" w:rsidRDefault="00000000" w:rsidP="00BB1F9D">
      <w:pPr>
        <w:pStyle w:val="a3"/>
        <w:spacing w:before="0" w:beforeAutospacing="0" w:after="0" w:afterAutospacing="0" w:line="276" w:lineRule="auto"/>
        <w:ind w:firstLine="357"/>
        <w:jc w:val="both"/>
        <w:divId w:val="1560629461"/>
        <w:rPr>
          <w:rFonts w:ascii="Times New Roman" w:eastAsia="等线" w:hAnsi="Times New Roman" w:cs="Times New Roman"/>
          <w:sz w:val="21"/>
          <w:szCs w:val="21"/>
        </w:rPr>
      </w:pPr>
      <w:r w:rsidRPr="005B5EC1">
        <w:rPr>
          <w:rFonts w:ascii="Times New Roman" w:hAnsi="Times New Roman" w:cs="Times New Roman"/>
          <w:sz w:val="18"/>
          <w:szCs w:val="18"/>
        </w:rPr>
        <w:lastRenderedPageBreak/>
        <w:t>公司食品业务主要包括预制食品和熟食制品的研发、生产和销售。在研发上，公司打造</w:t>
      </w:r>
      <w:r w:rsidRPr="005B5EC1">
        <w:rPr>
          <w:rFonts w:ascii="Times New Roman" w:hAnsi="Times New Roman" w:cs="Times New Roman"/>
          <w:sz w:val="18"/>
          <w:szCs w:val="18"/>
        </w:rPr>
        <w:t>“</w:t>
      </w:r>
      <w:r w:rsidRPr="005B5EC1">
        <w:rPr>
          <w:rFonts w:ascii="Times New Roman" w:hAnsi="Times New Roman" w:cs="Times New Roman"/>
          <w:sz w:val="18"/>
          <w:szCs w:val="18"/>
        </w:rPr>
        <w:t>三位一体</w:t>
      </w:r>
      <w:r w:rsidRPr="005B5EC1">
        <w:rPr>
          <w:rFonts w:ascii="Times New Roman" w:hAnsi="Times New Roman" w:cs="Times New Roman"/>
          <w:sz w:val="18"/>
          <w:szCs w:val="18"/>
        </w:rPr>
        <w:t>”</w:t>
      </w:r>
      <w:r w:rsidRPr="005B5EC1">
        <w:rPr>
          <w:rFonts w:ascii="Times New Roman" w:hAnsi="Times New Roman" w:cs="Times New Roman"/>
          <w:sz w:val="18"/>
          <w:szCs w:val="18"/>
        </w:rPr>
        <w:t>研发格局，以市场需求为导向，持续加大在产品设计、口味创新、质量控制、保鲜技术和加工工艺的投入，保障产品满足市场需求。在生产上，公司聚焦战略路径的构建与夯实，在全国范围内拓展产能，基本完成全国化布局；在营销上，公司着力构建消费市场洞察体系，服务广大食品加工和餐饮企业，协同进行市场推广，创新营销模式，积极应用市场思维打造亿元级、千万元级的大单品，以大单品策略快速服务市场。目前，公司已与海底捞、肯德基、麦当劳、西贝莜面村、荷美尔、半天妖、永辉、家乐福等多个知名餐饮连锁企业、食品加工企业和大型连锁商超等客户建立了长期稳定的合作关系，成长为国内优秀的食品餐饮供应商之一。</w:t>
      </w:r>
    </w:p>
    <w:p w14:paraId="779D27DF" w14:textId="77777777" w:rsidR="00AF139E" w:rsidRPr="005B5EC1" w:rsidRDefault="00000000" w:rsidP="00BB1F9D">
      <w:pPr>
        <w:pStyle w:val="a3"/>
        <w:spacing w:before="0" w:beforeAutospacing="0" w:after="0" w:afterAutospacing="0" w:line="276" w:lineRule="auto"/>
        <w:ind w:firstLine="357"/>
        <w:jc w:val="both"/>
        <w:divId w:val="1560629461"/>
        <w:rPr>
          <w:rFonts w:ascii="Times New Roman" w:eastAsia="等线" w:hAnsi="Times New Roman" w:cs="Times New Roman"/>
          <w:sz w:val="21"/>
          <w:szCs w:val="21"/>
        </w:rPr>
      </w:pPr>
      <w:r w:rsidRPr="005B5EC1">
        <w:rPr>
          <w:rFonts w:ascii="Times New Roman" w:hAnsi="Times New Roman" w:cs="Times New Roman"/>
          <w:sz w:val="18"/>
          <w:szCs w:val="18"/>
        </w:rPr>
        <w:t>2</w:t>
      </w:r>
      <w:r w:rsidRPr="005B5EC1">
        <w:rPr>
          <w:rFonts w:ascii="Times New Roman" w:hAnsi="Times New Roman" w:cs="Times New Roman"/>
          <w:sz w:val="18"/>
          <w:szCs w:val="18"/>
        </w:rPr>
        <w:t>、屠宰业务</w:t>
      </w:r>
    </w:p>
    <w:p w14:paraId="630F9FE1" w14:textId="77777777" w:rsidR="00AF139E" w:rsidRPr="005B5EC1" w:rsidRDefault="00000000" w:rsidP="00BB1F9D">
      <w:pPr>
        <w:pStyle w:val="a3"/>
        <w:spacing w:before="0" w:beforeAutospacing="0" w:after="0" w:afterAutospacing="0" w:line="276" w:lineRule="auto"/>
        <w:ind w:firstLine="357"/>
        <w:jc w:val="both"/>
        <w:divId w:val="1560629461"/>
        <w:rPr>
          <w:rFonts w:ascii="Times New Roman" w:eastAsia="等线" w:hAnsi="Times New Roman" w:cs="Times New Roman"/>
          <w:sz w:val="21"/>
          <w:szCs w:val="21"/>
        </w:rPr>
      </w:pPr>
      <w:r w:rsidRPr="005B5EC1">
        <w:rPr>
          <w:rFonts w:ascii="Times New Roman" w:hAnsi="Times New Roman" w:cs="Times New Roman"/>
          <w:sz w:val="18"/>
          <w:szCs w:val="18"/>
        </w:rPr>
        <w:t>公司屠宰业务主要包括生猪屠宰及鲜冻肉的加工业务，目前公司拥有莱阳、聊城、潍坊、黑龙江、河南、巴中等</w:t>
      </w:r>
      <w:r w:rsidRPr="005B5EC1">
        <w:rPr>
          <w:rFonts w:ascii="Times New Roman" w:hAnsi="Times New Roman" w:cs="Times New Roman"/>
          <w:sz w:val="18"/>
          <w:szCs w:val="18"/>
        </w:rPr>
        <w:t>8</w:t>
      </w:r>
      <w:r w:rsidRPr="005B5EC1">
        <w:rPr>
          <w:rFonts w:ascii="Times New Roman" w:hAnsi="Times New Roman" w:cs="Times New Roman"/>
          <w:sz w:val="18"/>
          <w:szCs w:val="18"/>
        </w:rPr>
        <w:t>个大型屠宰场，年生猪屠宰能力达到</w:t>
      </w:r>
      <w:r w:rsidRPr="005B5EC1">
        <w:rPr>
          <w:rFonts w:ascii="Times New Roman" w:hAnsi="Times New Roman" w:cs="Times New Roman"/>
          <w:sz w:val="18"/>
          <w:szCs w:val="18"/>
        </w:rPr>
        <w:t>1,500</w:t>
      </w:r>
      <w:r w:rsidRPr="005B5EC1">
        <w:rPr>
          <w:rFonts w:ascii="Times New Roman" w:hAnsi="Times New Roman" w:cs="Times New Roman"/>
          <w:sz w:val="18"/>
          <w:szCs w:val="18"/>
        </w:rPr>
        <w:t>万头。报告期内，屠宰生猪</w:t>
      </w:r>
      <w:r w:rsidRPr="005B5EC1">
        <w:rPr>
          <w:rFonts w:ascii="Times New Roman" w:hAnsi="Times New Roman" w:cs="Times New Roman"/>
          <w:sz w:val="18"/>
          <w:szCs w:val="18"/>
        </w:rPr>
        <w:t>501.89</w:t>
      </w:r>
      <w:r w:rsidRPr="005B5EC1">
        <w:rPr>
          <w:rFonts w:ascii="Times New Roman" w:hAnsi="Times New Roman" w:cs="Times New Roman"/>
          <w:sz w:val="18"/>
          <w:szCs w:val="18"/>
        </w:rPr>
        <w:t>万头</w:t>
      </w:r>
    </w:p>
    <w:p w14:paraId="69755CF8" w14:textId="77777777" w:rsidR="00AF139E" w:rsidRPr="005B5EC1" w:rsidRDefault="00000000" w:rsidP="00BB1F9D">
      <w:pPr>
        <w:pStyle w:val="a3"/>
        <w:spacing w:before="0" w:beforeAutospacing="0" w:after="0" w:afterAutospacing="0" w:line="276" w:lineRule="auto"/>
        <w:ind w:firstLine="357"/>
        <w:jc w:val="both"/>
        <w:divId w:val="1560629461"/>
        <w:rPr>
          <w:rFonts w:ascii="Times New Roman" w:eastAsia="等线" w:hAnsi="Times New Roman" w:cs="Times New Roman"/>
          <w:sz w:val="21"/>
          <w:szCs w:val="21"/>
        </w:rPr>
      </w:pPr>
      <w:r w:rsidRPr="005B5EC1">
        <w:rPr>
          <w:rFonts w:ascii="Times New Roman" w:hAnsi="Times New Roman" w:cs="Times New Roman"/>
          <w:sz w:val="18"/>
          <w:szCs w:val="18"/>
        </w:rPr>
        <w:t>生猪是生产鲜冻肉的主要原材料，从生猪产品到鲜冻肉的加工完成需经过宰杀工序、劈脊工序、分割工序和包装工序。公司生猪屠宰线采用国际一流进口设备，全自动生猪屠宰，分割白条肉，以全封闭、无菌式的生产管理，保证出产产品完全符合国际化高标准的卫生要求。屠宰后的生猪迅速进行预冷排酸，使胴体温度降至</w:t>
      </w:r>
      <w:r w:rsidRPr="005B5EC1">
        <w:rPr>
          <w:rFonts w:ascii="Times New Roman" w:hAnsi="Times New Roman" w:cs="Times New Roman"/>
          <w:sz w:val="18"/>
          <w:szCs w:val="18"/>
        </w:rPr>
        <w:t>0-4</w:t>
      </w:r>
      <w:r w:rsidRPr="005B5EC1">
        <w:rPr>
          <w:rFonts w:ascii="Times New Roman" w:hAnsi="Times New Roman" w:cs="Times New Roman"/>
          <w:sz w:val="18"/>
          <w:szCs w:val="18"/>
        </w:rPr>
        <w:t>摄氏度，并在后续加工、物流、销售环节中始终保持这一温度，确保低温环境下的高安全系数，肌肉经过排酸软化质地柔软有弹性，食用更营养更鲜美。全程冷链直达终端销售，使微生物等菌类生长繁殖得到更有效控制，真正实现从养殖场到终端的全产业链、全程管控、全程可溯体系。</w:t>
      </w:r>
    </w:p>
    <w:p w14:paraId="567C74F4" w14:textId="77777777" w:rsidR="00AF139E" w:rsidRPr="005B5EC1" w:rsidRDefault="00000000" w:rsidP="00BB1F9D">
      <w:pPr>
        <w:pStyle w:val="a3"/>
        <w:spacing w:before="0" w:beforeAutospacing="0" w:after="0" w:afterAutospacing="0" w:line="276" w:lineRule="auto"/>
        <w:ind w:firstLine="357"/>
        <w:jc w:val="both"/>
        <w:divId w:val="1560629461"/>
        <w:rPr>
          <w:rFonts w:ascii="Times New Roman" w:eastAsia="等线" w:hAnsi="Times New Roman" w:cs="Times New Roman"/>
          <w:sz w:val="21"/>
          <w:szCs w:val="21"/>
        </w:rPr>
      </w:pPr>
      <w:r w:rsidRPr="005B5EC1">
        <w:rPr>
          <w:rFonts w:ascii="Times New Roman" w:hAnsi="Times New Roman" w:cs="Times New Roman"/>
          <w:sz w:val="18"/>
          <w:szCs w:val="18"/>
        </w:rPr>
        <w:t>3</w:t>
      </w:r>
      <w:r w:rsidRPr="005B5EC1">
        <w:rPr>
          <w:rFonts w:ascii="Times New Roman" w:hAnsi="Times New Roman" w:cs="Times New Roman"/>
          <w:sz w:val="18"/>
          <w:szCs w:val="18"/>
        </w:rPr>
        <w:t>、养殖业务</w:t>
      </w:r>
    </w:p>
    <w:p w14:paraId="7F9F8CD4" w14:textId="77777777" w:rsidR="00AF139E" w:rsidRPr="005B5EC1" w:rsidRDefault="00000000" w:rsidP="00BB1F9D">
      <w:pPr>
        <w:pStyle w:val="a3"/>
        <w:spacing w:before="0" w:beforeAutospacing="0" w:after="0" w:afterAutospacing="0" w:line="276" w:lineRule="auto"/>
        <w:ind w:firstLine="357"/>
        <w:jc w:val="both"/>
        <w:divId w:val="1560629461"/>
        <w:rPr>
          <w:rFonts w:ascii="Times New Roman" w:eastAsia="等线" w:hAnsi="Times New Roman" w:cs="Times New Roman"/>
          <w:sz w:val="21"/>
          <w:szCs w:val="21"/>
        </w:rPr>
      </w:pPr>
      <w:r w:rsidRPr="005B5EC1">
        <w:rPr>
          <w:rFonts w:ascii="Times New Roman" w:hAnsi="Times New Roman" w:cs="Times New Roman"/>
          <w:sz w:val="18"/>
          <w:szCs w:val="18"/>
        </w:rPr>
        <w:t>公司养殖业务主要定位于为食品业务把控原材料成本和满足大客户的溯源需求，并根据大客户的需要进行产能的动态调配。公司养殖业务主要采取</w:t>
      </w:r>
      <w:r w:rsidRPr="005B5EC1">
        <w:rPr>
          <w:rFonts w:ascii="Times New Roman" w:hAnsi="Times New Roman" w:cs="Times New Roman"/>
          <w:sz w:val="18"/>
          <w:szCs w:val="18"/>
        </w:rPr>
        <w:t>“</w:t>
      </w:r>
      <w:r w:rsidRPr="005B5EC1">
        <w:rPr>
          <w:rFonts w:ascii="Times New Roman" w:hAnsi="Times New Roman" w:cs="Times New Roman"/>
          <w:sz w:val="18"/>
          <w:szCs w:val="18"/>
        </w:rPr>
        <w:t>公司</w:t>
      </w:r>
      <w:r w:rsidRPr="005B5EC1">
        <w:rPr>
          <w:rFonts w:ascii="Times New Roman" w:hAnsi="Times New Roman" w:cs="Times New Roman"/>
          <w:sz w:val="18"/>
          <w:szCs w:val="18"/>
        </w:rPr>
        <w:t>+</w:t>
      </w:r>
      <w:r w:rsidRPr="005B5EC1">
        <w:rPr>
          <w:rFonts w:ascii="Times New Roman" w:hAnsi="Times New Roman" w:cs="Times New Roman"/>
          <w:sz w:val="18"/>
          <w:szCs w:val="18"/>
        </w:rPr>
        <w:t>农户</w:t>
      </w:r>
      <w:r w:rsidRPr="005B5EC1">
        <w:rPr>
          <w:rFonts w:ascii="Times New Roman" w:hAnsi="Times New Roman" w:cs="Times New Roman"/>
          <w:sz w:val="18"/>
          <w:szCs w:val="18"/>
        </w:rPr>
        <w:t>”</w:t>
      </w:r>
      <w:r w:rsidRPr="005B5EC1">
        <w:rPr>
          <w:rFonts w:ascii="Times New Roman" w:hAnsi="Times New Roman" w:cs="Times New Roman"/>
          <w:sz w:val="18"/>
          <w:szCs w:val="18"/>
        </w:rPr>
        <w:t>和公司自养两种养殖模式。在</w:t>
      </w:r>
      <w:r w:rsidRPr="005B5EC1">
        <w:rPr>
          <w:rFonts w:ascii="Times New Roman" w:hAnsi="Times New Roman" w:cs="Times New Roman"/>
          <w:sz w:val="18"/>
          <w:szCs w:val="18"/>
        </w:rPr>
        <w:t>“</w:t>
      </w:r>
      <w:r w:rsidRPr="005B5EC1">
        <w:rPr>
          <w:rFonts w:ascii="Times New Roman" w:hAnsi="Times New Roman" w:cs="Times New Roman"/>
          <w:sz w:val="18"/>
          <w:szCs w:val="18"/>
        </w:rPr>
        <w:t>公司</w:t>
      </w:r>
      <w:r w:rsidRPr="005B5EC1">
        <w:rPr>
          <w:rFonts w:ascii="Times New Roman" w:hAnsi="Times New Roman" w:cs="Times New Roman"/>
          <w:sz w:val="18"/>
          <w:szCs w:val="18"/>
        </w:rPr>
        <w:t>+</w:t>
      </w:r>
      <w:r w:rsidRPr="005B5EC1">
        <w:rPr>
          <w:rFonts w:ascii="Times New Roman" w:hAnsi="Times New Roman" w:cs="Times New Roman"/>
          <w:sz w:val="18"/>
          <w:szCs w:val="18"/>
        </w:rPr>
        <w:t>农户</w:t>
      </w:r>
      <w:r w:rsidRPr="005B5EC1">
        <w:rPr>
          <w:rFonts w:ascii="Times New Roman" w:hAnsi="Times New Roman" w:cs="Times New Roman"/>
          <w:sz w:val="18"/>
          <w:szCs w:val="18"/>
        </w:rPr>
        <w:t>”</w:t>
      </w:r>
      <w:r w:rsidRPr="005B5EC1">
        <w:rPr>
          <w:rFonts w:ascii="Times New Roman" w:hAnsi="Times New Roman" w:cs="Times New Roman"/>
          <w:sz w:val="18"/>
          <w:szCs w:val="18"/>
        </w:rPr>
        <w:t>的模式下，公司通过委托代养的方法与农户合作，委托模式采取统一规划、统一猪种、统一饲料、统一防疫、统一保健和统一检测全力保障生猪养殖品质。在公司自养的模式下，公司对养殖场实施完全控制，公司管理涵盖了从种猪到育肥猪的整个养殖过程。公司通过自建饲料公司，自产饲料进行生猪喂养，结合</w:t>
      </w:r>
      <w:r w:rsidRPr="005B5EC1">
        <w:rPr>
          <w:rFonts w:ascii="Times New Roman" w:hAnsi="Times New Roman" w:cs="Times New Roman"/>
          <w:sz w:val="18"/>
          <w:szCs w:val="18"/>
        </w:rPr>
        <w:t>“</w:t>
      </w:r>
      <w:r w:rsidRPr="005B5EC1">
        <w:rPr>
          <w:rFonts w:ascii="Times New Roman" w:hAnsi="Times New Roman" w:cs="Times New Roman"/>
          <w:sz w:val="18"/>
          <w:szCs w:val="18"/>
        </w:rPr>
        <w:t>全产业链</w:t>
      </w:r>
      <w:r w:rsidRPr="005B5EC1">
        <w:rPr>
          <w:rFonts w:ascii="Times New Roman" w:hAnsi="Times New Roman" w:cs="Times New Roman"/>
          <w:sz w:val="18"/>
          <w:szCs w:val="18"/>
        </w:rPr>
        <w:t>”</w:t>
      </w:r>
      <w:r w:rsidRPr="005B5EC1">
        <w:rPr>
          <w:rFonts w:ascii="Times New Roman" w:hAnsi="Times New Roman" w:cs="Times New Roman"/>
          <w:sz w:val="18"/>
          <w:szCs w:val="18"/>
        </w:rPr>
        <w:t>发展模式，通过全过程质量控制，为企业客户提供优质的产品供应和品质保障。同时养殖业务作为公司食品业务的支撑，可以降低原材料采购成本，提高公司盈利水平，降低周期影响。报告期内，公司生猪出栏量为</w:t>
      </w:r>
      <w:r w:rsidRPr="005B5EC1">
        <w:rPr>
          <w:rFonts w:ascii="Times New Roman" w:hAnsi="Times New Roman" w:cs="Times New Roman"/>
          <w:sz w:val="18"/>
          <w:szCs w:val="18"/>
        </w:rPr>
        <w:t>38.24</w:t>
      </w:r>
      <w:r w:rsidRPr="005B5EC1">
        <w:rPr>
          <w:rFonts w:ascii="Times New Roman" w:hAnsi="Times New Roman" w:cs="Times New Roman"/>
          <w:sz w:val="18"/>
          <w:szCs w:val="18"/>
        </w:rPr>
        <w:t>万头。</w:t>
      </w:r>
    </w:p>
    <w:p w14:paraId="110420D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主要销售模式</w:t>
      </w:r>
    </w:p>
    <w:p w14:paraId="666D378A" w14:textId="77777777" w:rsidR="00AF139E" w:rsidRPr="005B5EC1" w:rsidRDefault="00000000">
      <w:pPr>
        <w:pStyle w:val="a3"/>
        <w:spacing w:before="0" w:beforeAutospacing="0" w:after="160" w:afterAutospacing="0" w:line="276" w:lineRule="auto"/>
        <w:divId w:val="546988325"/>
        <w:rPr>
          <w:rFonts w:ascii="Times New Roman" w:eastAsia="等线" w:hAnsi="Times New Roman" w:cs="Times New Roman"/>
          <w:sz w:val="22"/>
          <w:szCs w:val="22"/>
        </w:rPr>
      </w:pP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公司销售模式以经销渠道为主。经销渠道占比</w:t>
      </w:r>
      <w:r w:rsidRPr="005B5EC1">
        <w:rPr>
          <w:rFonts w:ascii="Times New Roman" w:hAnsi="Times New Roman" w:cs="Times New Roman"/>
          <w:sz w:val="18"/>
          <w:szCs w:val="18"/>
        </w:rPr>
        <w:t>79.79%</w:t>
      </w:r>
      <w:r w:rsidRPr="005B5EC1">
        <w:rPr>
          <w:rFonts w:ascii="Times New Roman" w:hAnsi="Times New Roman" w:cs="Times New Roman"/>
          <w:sz w:val="18"/>
          <w:szCs w:val="18"/>
        </w:rPr>
        <w:t>，主要包括生鲜市场、冻品市场、农贸市场、中小型餐饮连锁和</w:t>
      </w:r>
      <w:r w:rsidRPr="005B5EC1">
        <w:rPr>
          <w:rFonts w:ascii="Times New Roman" w:hAnsi="Times New Roman" w:cs="Times New Roman"/>
          <w:sz w:val="18"/>
          <w:szCs w:val="18"/>
        </w:rPr>
        <w:t>BC</w:t>
      </w:r>
      <w:r w:rsidRPr="005B5EC1">
        <w:rPr>
          <w:rFonts w:ascii="Times New Roman" w:hAnsi="Times New Roman" w:cs="Times New Roman"/>
          <w:sz w:val="18"/>
          <w:szCs w:val="18"/>
        </w:rPr>
        <w:t>商超等。直营渠道占比</w:t>
      </w:r>
      <w:r w:rsidRPr="005B5EC1">
        <w:rPr>
          <w:rFonts w:ascii="Times New Roman" w:hAnsi="Times New Roman" w:cs="Times New Roman"/>
          <w:sz w:val="18"/>
          <w:szCs w:val="18"/>
        </w:rPr>
        <w:t>20.21%</w:t>
      </w:r>
      <w:r w:rsidRPr="005B5EC1">
        <w:rPr>
          <w:rFonts w:ascii="Times New Roman" w:hAnsi="Times New Roman" w:cs="Times New Roman"/>
          <w:sz w:val="18"/>
          <w:szCs w:val="18"/>
        </w:rPr>
        <w:t>，主要包括大型餐饮、食品加工企业、全国知名连锁商超、自营专卖店、线上新零售和特通渠道等。</w:t>
      </w:r>
    </w:p>
    <w:p w14:paraId="06F89C0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经销模式</w:t>
      </w:r>
    </w:p>
    <w:p w14:paraId="0A8570F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3C4A5EDC" w14:textId="77777777" w:rsidR="00AF139E" w:rsidRPr="005B5EC1" w:rsidRDefault="00000000">
      <w:pPr>
        <w:pStyle w:val="a3"/>
        <w:spacing w:before="0" w:beforeAutospacing="0" w:after="0" w:afterAutospacing="0"/>
        <w:jc w:val="both"/>
        <w:divId w:val="104426126"/>
        <w:rPr>
          <w:rFonts w:ascii="Times New Roman" w:eastAsia="等线" w:hAnsi="Times New Roman" w:cs="Times New Roman"/>
          <w:sz w:val="21"/>
          <w:szCs w:val="21"/>
        </w:rPr>
      </w:pPr>
      <w:r w:rsidRPr="005B5EC1">
        <w:rPr>
          <w:rFonts w:ascii="Times New Roman" w:hAnsi="Times New Roman" w:cs="Times New Roman"/>
          <w:sz w:val="18"/>
          <w:szCs w:val="18"/>
        </w:rPr>
        <w:t>公司销售模式和产品分类的营业收入、营业成本、毛利率及同比变动情况见本节第四小节</w:t>
      </w:r>
      <w:r w:rsidRPr="005B5EC1">
        <w:rPr>
          <w:rFonts w:ascii="Times New Roman" w:hAnsi="Times New Roman" w:cs="Times New Roman"/>
          <w:sz w:val="18"/>
          <w:szCs w:val="18"/>
        </w:rPr>
        <w:t>“</w:t>
      </w:r>
      <w:r w:rsidRPr="005B5EC1">
        <w:rPr>
          <w:rFonts w:ascii="Times New Roman" w:hAnsi="Times New Roman" w:cs="Times New Roman"/>
          <w:sz w:val="18"/>
          <w:szCs w:val="18"/>
        </w:rPr>
        <w:t>主营业务分析</w:t>
      </w:r>
      <w:r w:rsidRPr="005B5EC1">
        <w:rPr>
          <w:rFonts w:ascii="Times New Roman" w:hAnsi="Times New Roman" w:cs="Times New Roman"/>
          <w:sz w:val="18"/>
          <w:szCs w:val="18"/>
        </w:rPr>
        <w:t>”</w:t>
      </w:r>
      <w:r w:rsidRPr="005B5EC1">
        <w:rPr>
          <w:rFonts w:ascii="Times New Roman" w:hAnsi="Times New Roman" w:cs="Times New Roman"/>
          <w:sz w:val="18"/>
          <w:szCs w:val="18"/>
        </w:rPr>
        <w:t>。</w:t>
      </w:r>
    </w:p>
    <w:p w14:paraId="0C25F631" w14:textId="77777777" w:rsidR="00AF139E" w:rsidRPr="005B5EC1" w:rsidRDefault="00000000">
      <w:pPr>
        <w:pStyle w:val="a3"/>
        <w:spacing w:before="0" w:beforeAutospacing="0" w:after="0" w:afterAutospacing="0"/>
        <w:jc w:val="both"/>
        <w:divId w:val="104426126"/>
        <w:rPr>
          <w:rFonts w:ascii="Times New Roman" w:eastAsia="等线" w:hAnsi="Times New Roman" w:cs="Times New Roman"/>
          <w:sz w:val="21"/>
          <w:szCs w:val="21"/>
        </w:rPr>
      </w:pPr>
      <w:r w:rsidRPr="005B5EC1">
        <w:rPr>
          <w:rFonts w:ascii="Times New Roman" w:hAnsi="Times New Roman" w:cs="Times New Roman"/>
          <w:sz w:val="18"/>
          <w:szCs w:val="18"/>
        </w:rPr>
        <w:t>报告期内经销商变动情况如下：</w:t>
      </w:r>
    </w:p>
    <w:tbl>
      <w:tblPr>
        <w:tblW w:w="9375" w:type="dxa"/>
        <w:jc w:val="center"/>
        <w:tblCellMar>
          <w:left w:w="0" w:type="dxa"/>
          <w:right w:w="0" w:type="dxa"/>
        </w:tblCellMar>
        <w:tblLook w:val="04A0" w:firstRow="1" w:lastRow="0" w:firstColumn="1" w:lastColumn="0" w:noHBand="0" w:noVBand="1"/>
      </w:tblPr>
      <w:tblGrid>
        <w:gridCol w:w="1900"/>
        <w:gridCol w:w="2069"/>
        <w:gridCol w:w="1991"/>
        <w:gridCol w:w="2080"/>
        <w:gridCol w:w="1340"/>
      </w:tblGrid>
      <w:tr w:rsidR="00AF139E" w:rsidRPr="005B5EC1" w14:paraId="3871E70C" w14:textId="77777777">
        <w:trPr>
          <w:divId w:val="104426126"/>
          <w:trHeight w:val="630"/>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2762683B"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分地区</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05455C47"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2024</w:t>
            </w:r>
            <w:r w:rsidRPr="005B5EC1">
              <w:rPr>
                <w:rFonts w:ascii="Times New Roman" w:hAnsi="Times New Roman" w:cs="Times New Roman"/>
                <w:color w:val="000000"/>
                <w:sz w:val="18"/>
                <w:szCs w:val="18"/>
              </w:rPr>
              <w:t>年</w:t>
            </w:r>
            <w:r w:rsidRPr="005B5EC1">
              <w:rPr>
                <w:rFonts w:ascii="Times New Roman" w:hAnsi="Times New Roman" w:cs="Times New Roman"/>
                <w:color w:val="000000"/>
                <w:sz w:val="18"/>
                <w:szCs w:val="18"/>
              </w:rPr>
              <w:t>12</w:t>
            </w:r>
            <w:r w:rsidRPr="005B5EC1">
              <w:rPr>
                <w:rFonts w:ascii="Times New Roman" w:hAnsi="Times New Roman" w:cs="Times New Roman"/>
                <w:color w:val="000000"/>
                <w:sz w:val="18"/>
                <w:szCs w:val="18"/>
              </w:rPr>
              <w:t>月末经销商数量（个）</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50F1D626"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2023</w:t>
            </w:r>
            <w:r w:rsidRPr="005B5EC1">
              <w:rPr>
                <w:rFonts w:ascii="Times New Roman" w:hAnsi="Times New Roman" w:cs="Times New Roman"/>
                <w:color w:val="000000"/>
                <w:sz w:val="18"/>
                <w:szCs w:val="18"/>
              </w:rPr>
              <w:t>年经销商数量（个）</w:t>
            </w:r>
          </w:p>
        </w:tc>
        <w:tc>
          <w:tcPr>
            <w:tcW w:w="20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68B15F25"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报告期内增加、减少数量（个）</w:t>
            </w:r>
          </w:p>
        </w:tc>
        <w:tc>
          <w:tcPr>
            <w:tcW w:w="134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14:paraId="779C0B7E"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本年末比上年末增减</w:t>
            </w:r>
          </w:p>
        </w:tc>
      </w:tr>
      <w:tr w:rsidR="00AF139E" w:rsidRPr="005B5EC1" w14:paraId="412FED2C" w14:textId="77777777">
        <w:trPr>
          <w:divId w:val="104426126"/>
          <w:trHeight w:val="315"/>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04B97E05"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山东省</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5B24444E"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sz w:val="18"/>
                <w:szCs w:val="18"/>
              </w:rPr>
              <w:t>3108</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195D50E9"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3446</w:t>
            </w:r>
          </w:p>
        </w:tc>
        <w:tc>
          <w:tcPr>
            <w:tcW w:w="208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2BF5B5B1"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sz w:val="18"/>
                <w:szCs w:val="18"/>
              </w:rPr>
              <w:t>-338</w:t>
            </w:r>
          </w:p>
        </w:tc>
        <w:tc>
          <w:tcPr>
            <w:tcW w:w="134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0C47FFE0"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sz w:val="18"/>
                <w:szCs w:val="18"/>
              </w:rPr>
              <w:t>-9.81%</w:t>
            </w:r>
          </w:p>
        </w:tc>
      </w:tr>
      <w:tr w:rsidR="00AF139E" w:rsidRPr="005B5EC1" w14:paraId="44E51780" w14:textId="77777777">
        <w:trPr>
          <w:divId w:val="104426126"/>
          <w:trHeight w:val="315"/>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66AA7EAF"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华东其他地区</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35CAE747"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sz w:val="18"/>
                <w:szCs w:val="18"/>
              </w:rPr>
              <w:t>1893</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44175141"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1705</w:t>
            </w:r>
          </w:p>
        </w:tc>
        <w:tc>
          <w:tcPr>
            <w:tcW w:w="208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4D9508DF"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188</w:t>
            </w:r>
          </w:p>
        </w:tc>
        <w:tc>
          <w:tcPr>
            <w:tcW w:w="134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6982402E"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11.03%</w:t>
            </w:r>
          </w:p>
        </w:tc>
      </w:tr>
      <w:tr w:rsidR="00AF139E" w:rsidRPr="005B5EC1" w14:paraId="2A416787" w14:textId="77777777">
        <w:trPr>
          <w:divId w:val="104426126"/>
          <w:trHeight w:val="315"/>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23C36DD5"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华中地区</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1B59402D"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1424</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49FFAFE0"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1665</w:t>
            </w:r>
          </w:p>
        </w:tc>
        <w:tc>
          <w:tcPr>
            <w:tcW w:w="208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710B00AF"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-241</w:t>
            </w:r>
          </w:p>
        </w:tc>
        <w:tc>
          <w:tcPr>
            <w:tcW w:w="134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4E263162"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-14.47%</w:t>
            </w:r>
          </w:p>
        </w:tc>
      </w:tr>
      <w:tr w:rsidR="00AF139E" w:rsidRPr="005B5EC1" w14:paraId="75A06CA5" w14:textId="77777777">
        <w:trPr>
          <w:divId w:val="104426126"/>
          <w:trHeight w:val="315"/>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2A2D613D"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华北地区</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29F827AB"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467</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3016A20A"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582</w:t>
            </w:r>
          </w:p>
        </w:tc>
        <w:tc>
          <w:tcPr>
            <w:tcW w:w="208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6F532815"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-115</w:t>
            </w:r>
          </w:p>
        </w:tc>
        <w:tc>
          <w:tcPr>
            <w:tcW w:w="134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64358E49"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-19.76%</w:t>
            </w:r>
          </w:p>
        </w:tc>
      </w:tr>
      <w:tr w:rsidR="00AF139E" w:rsidRPr="005B5EC1" w14:paraId="19ACCD15" w14:textId="77777777">
        <w:trPr>
          <w:divId w:val="104426126"/>
          <w:trHeight w:val="315"/>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2674E5E3"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华南地区</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6DA3F753"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sz w:val="18"/>
                <w:szCs w:val="18"/>
              </w:rPr>
              <w:t>246</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46541E64"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213</w:t>
            </w:r>
          </w:p>
        </w:tc>
        <w:tc>
          <w:tcPr>
            <w:tcW w:w="208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241ECA41"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33</w:t>
            </w:r>
          </w:p>
        </w:tc>
        <w:tc>
          <w:tcPr>
            <w:tcW w:w="134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4C41F6FB"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15.49%</w:t>
            </w:r>
          </w:p>
        </w:tc>
      </w:tr>
      <w:tr w:rsidR="00AF139E" w:rsidRPr="005B5EC1" w14:paraId="74DBF93D" w14:textId="77777777">
        <w:trPr>
          <w:divId w:val="104426126"/>
          <w:trHeight w:val="315"/>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15446690"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lastRenderedPageBreak/>
              <w:t>东北地区</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7C1F642C"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378</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5B52DF39"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518</w:t>
            </w:r>
          </w:p>
        </w:tc>
        <w:tc>
          <w:tcPr>
            <w:tcW w:w="208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154A75A3"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-140</w:t>
            </w:r>
          </w:p>
        </w:tc>
        <w:tc>
          <w:tcPr>
            <w:tcW w:w="134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648F9F37"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-27.03%</w:t>
            </w:r>
          </w:p>
        </w:tc>
      </w:tr>
      <w:tr w:rsidR="00AF139E" w:rsidRPr="005B5EC1" w14:paraId="7118C576" w14:textId="77777777">
        <w:trPr>
          <w:divId w:val="104426126"/>
          <w:trHeight w:val="315"/>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35F58775"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西南地区</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275A555E"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705</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4F89C406"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935</w:t>
            </w:r>
          </w:p>
        </w:tc>
        <w:tc>
          <w:tcPr>
            <w:tcW w:w="208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733201F4"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-230</w:t>
            </w:r>
          </w:p>
        </w:tc>
        <w:tc>
          <w:tcPr>
            <w:tcW w:w="134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6081DD6F"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-24.60%</w:t>
            </w:r>
          </w:p>
        </w:tc>
      </w:tr>
      <w:tr w:rsidR="00AF139E" w:rsidRPr="005B5EC1" w14:paraId="37D9F893" w14:textId="77777777">
        <w:trPr>
          <w:divId w:val="104426126"/>
          <w:trHeight w:val="315"/>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5E5C2D69"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西北地区及其他</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11470491"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sz w:val="18"/>
                <w:szCs w:val="18"/>
              </w:rPr>
              <w:t>145</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6C86E5F8"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127</w:t>
            </w:r>
          </w:p>
        </w:tc>
        <w:tc>
          <w:tcPr>
            <w:tcW w:w="208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0E315D3F"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18</w:t>
            </w:r>
          </w:p>
        </w:tc>
        <w:tc>
          <w:tcPr>
            <w:tcW w:w="134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16D300FF"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14.17%</w:t>
            </w:r>
          </w:p>
        </w:tc>
      </w:tr>
      <w:tr w:rsidR="00AF139E" w:rsidRPr="005B5EC1" w14:paraId="24519CBA" w14:textId="77777777">
        <w:trPr>
          <w:divId w:val="104426126"/>
          <w:trHeight w:val="315"/>
          <w:jc w:val="center"/>
        </w:trPr>
        <w:tc>
          <w:tcPr>
            <w:tcW w:w="190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4021F33F"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合计</w:t>
            </w:r>
          </w:p>
        </w:tc>
        <w:tc>
          <w:tcPr>
            <w:tcW w:w="2069"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717D9B8A"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8366</w:t>
            </w:r>
          </w:p>
        </w:tc>
        <w:tc>
          <w:tcPr>
            <w:tcW w:w="1991"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7AC4ED4C"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9191</w:t>
            </w:r>
          </w:p>
        </w:tc>
        <w:tc>
          <w:tcPr>
            <w:tcW w:w="208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6FD079A9"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-825</w:t>
            </w:r>
          </w:p>
        </w:tc>
        <w:tc>
          <w:tcPr>
            <w:tcW w:w="134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vAlign w:val="center"/>
            <w:hideMark/>
          </w:tcPr>
          <w:p w14:paraId="2BD84EBE" w14:textId="77777777" w:rsidR="00AF139E" w:rsidRPr="005B5EC1" w:rsidRDefault="00000000">
            <w:pPr>
              <w:pStyle w:val="a3"/>
              <w:spacing w:before="0" w:beforeAutospacing="0" w:after="0" w:afterAutospacing="0"/>
              <w:jc w:val="center"/>
              <w:rPr>
                <w:rFonts w:ascii="Times New Roman" w:hAnsi="Times New Roman" w:cs="Times New Roman"/>
              </w:rPr>
            </w:pPr>
            <w:r w:rsidRPr="005B5EC1">
              <w:rPr>
                <w:rFonts w:ascii="Times New Roman" w:hAnsi="Times New Roman" w:cs="Times New Roman"/>
                <w:color w:val="000000"/>
                <w:sz w:val="18"/>
                <w:szCs w:val="18"/>
              </w:rPr>
              <w:t xml:space="preserve">　</w:t>
            </w:r>
          </w:p>
        </w:tc>
      </w:tr>
    </w:tbl>
    <w:p w14:paraId="4B8E6F11" w14:textId="77777777" w:rsidR="00AF139E" w:rsidRPr="005B5EC1" w:rsidRDefault="00000000">
      <w:pPr>
        <w:pStyle w:val="a3"/>
        <w:spacing w:before="0" w:beforeAutospacing="0" w:after="0" w:afterAutospacing="0"/>
        <w:jc w:val="both"/>
        <w:divId w:val="104426126"/>
        <w:rPr>
          <w:rFonts w:ascii="Times New Roman" w:eastAsia="等线" w:hAnsi="Times New Roman" w:cs="Times New Roman"/>
          <w:sz w:val="21"/>
          <w:szCs w:val="21"/>
        </w:rPr>
      </w:pPr>
      <w:r w:rsidRPr="005B5EC1">
        <w:rPr>
          <w:rFonts w:ascii="Times New Roman" w:hAnsi="Times New Roman" w:cs="Times New Roman"/>
          <w:sz w:val="18"/>
          <w:szCs w:val="18"/>
        </w:rPr>
        <w:t>报告期内，公司前五大经销客户销售总额合计为</w:t>
      </w:r>
      <w:r w:rsidRPr="005B5EC1">
        <w:rPr>
          <w:rFonts w:ascii="Times New Roman" w:hAnsi="Times New Roman" w:cs="Times New Roman"/>
          <w:sz w:val="18"/>
          <w:szCs w:val="18"/>
        </w:rPr>
        <w:t>74,162.83</w:t>
      </w:r>
      <w:r w:rsidRPr="005B5EC1">
        <w:rPr>
          <w:rFonts w:ascii="Times New Roman" w:hAnsi="Times New Roman" w:cs="Times New Roman"/>
          <w:sz w:val="18"/>
          <w:szCs w:val="18"/>
        </w:rPr>
        <w:t>万元，占公司营业收入的</w:t>
      </w:r>
      <w:r w:rsidRPr="005B5EC1">
        <w:rPr>
          <w:rFonts w:ascii="Times New Roman" w:hAnsi="Times New Roman" w:cs="Times New Roman"/>
          <w:sz w:val="18"/>
          <w:szCs w:val="18"/>
        </w:rPr>
        <w:t>6.75%</w:t>
      </w:r>
      <w:r w:rsidRPr="005B5EC1">
        <w:rPr>
          <w:rFonts w:ascii="Times New Roman" w:hAnsi="Times New Roman" w:cs="Times New Roman"/>
          <w:sz w:val="18"/>
          <w:szCs w:val="18"/>
        </w:rPr>
        <w:t>，截至本报告期末，公司前五大经销商客户应收账款合计为</w:t>
      </w:r>
      <w:r w:rsidRPr="005B5EC1">
        <w:rPr>
          <w:rFonts w:ascii="Times New Roman" w:hAnsi="Times New Roman" w:cs="Times New Roman"/>
          <w:sz w:val="18"/>
          <w:szCs w:val="18"/>
        </w:rPr>
        <w:t>7,226.66</w:t>
      </w:r>
      <w:r w:rsidRPr="005B5EC1">
        <w:rPr>
          <w:rFonts w:ascii="Times New Roman" w:hAnsi="Times New Roman" w:cs="Times New Roman"/>
          <w:sz w:val="18"/>
          <w:szCs w:val="18"/>
        </w:rPr>
        <w:t>万元。</w:t>
      </w:r>
    </w:p>
    <w:p w14:paraId="3247CC5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门店销售终端占比超过</w:t>
      </w:r>
      <w:r w:rsidRPr="005B5EC1">
        <w:rPr>
          <w:rFonts w:ascii="Times New Roman" w:eastAsia="宋体" w:hAnsi="Times New Roman" w:cs="Times New Roman"/>
          <w:sz w:val="18"/>
          <w:szCs w:val="18"/>
        </w:rPr>
        <w:t>10%</w:t>
      </w:r>
    </w:p>
    <w:p w14:paraId="07773EC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4AF7CC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线上直销销售</w:t>
      </w:r>
    </w:p>
    <w:p w14:paraId="5B53CCF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38EC042A" w14:textId="536913C6" w:rsidR="00AF139E" w:rsidRPr="005B5EC1" w:rsidRDefault="00000000" w:rsidP="00BB1F9D">
      <w:pPr>
        <w:pStyle w:val="a3"/>
        <w:spacing w:before="0" w:beforeAutospacing="0" w:after="0" w:afterAutospacing="0" w:line="276" w:lineRule="auto"/>
        <w:ind w:firstLineChars="200" w:firstLine="360"/>
        <w:divId w:val="2102599206"/>
        <w:rPr>
          <w:rFonts w:ascii="Times New Roman" w:hAnsi="Times New Roman" w:cs="Times New Roman"/>
          <w:sz w:val="18"/>
          <w:szCs w:val="18"/>
        </w:rPr>
      </w:pPr>
      <w:r w:rsidRPr="005B5EC1">
        <w:rPr>
          <w:rFonts w:ascii="Times New Roman" w:hAnsi="Times New Roman" w:cs="Times New Roman"/>
          <w:sz w:val="18"/>
          <w:szCs w:val="18"/>
        </w:rPr>
        <w:t>报告期内，公司持续深耕京东、抖音、快手等优势平台业务，优化线上销售平台的运营模式，保持线上销售收入的稳定增长。</w:t>
      </w:r>
      <w:r w:rsidRPr="005B5EC1">
        <w:rPr>
          <w:rFonts w:ascii="Times New Roman" w:hAnsi="Times New Roman" w:cs="Times New Roman"/>
          <w:sz w:val="18"/>
          <w:szCs w:val="18"/>
        </w:rPr>
        <w:t>2024</w:t>
      </w:r>
      <w:r w:rsidRPr="005B5EC1">
        <w:rPr>
          <w:rFonts w:ascii="Times New Roman" w:hAnsi="Times New Roman" w:cs="Times New Roman"/>
          <w:sz w:val="18"/>
          <w:szCs w:val="18"/>
        </w:rPr>
        <w:t>年京东销售</w:t>
      </w:r>
      <w:r w:rsidR="00901425">
        <w:rPr>
          <w:rFonts w:ascii="Times New Roman" w:hAnsi="Times New Roman" w:cs="Times New Roman" w:hint="eastAsia"/>
          <w:sz w:val="18"/>
          <w:szCs w:val="18"/>
        </w:rPr>
        <w:t>额</w:t>
      </w:r>
      <w:r w:rsidRPr="005B5EC1">
        <w:rPr>
          <w:rFonts w:ascii="Times New Roman" w:hAnsi="Times New Roman" w:cs="Times New Roman"/>
          <w:sz w:val="18"/>
          <w:szCs w:val="18"/>
        </w:rPr>
        <w:t>为</w:t>
      </w:r>
      <w:r w:rsidRPr="005B5EC1">
        <w:rPr>
          <w:rFonts w:ascii="Times New Roman" w:hAnsi="Times New Roman" w:cs="Times New Roman"/>
          <w:sz w:val="18"/>
          <w:szCs w:val="18"/>
        </w:rPr>
        <w:t>8,607</w:t>
      </w:r>
      <w:r w:rsidRPr="005B5EC1">
        <w:rPr>
          <w:rFonts w:ascii="Times New Roman" w:hAnsi="Times New Roman" w:cs="Times New Roman"/>
          <w:sz w:val="18"/>
          <w:szCs w:val="18"/>
        </w:rPr>
        <w:t>万元，抖音销售</w:t>
      </w:r>
      <w:r w:rsidR="00901425">
        <w:rPr>
          <w:rFonts w:ascii="Times New Roman" w:hAnsi="Times New Roman" w:cs="Times New Roman" w:hint="eastAsia"/>
          <w:sz w:val="18"/>
          <w:szCs w:val="18"/>
        </w:rPr>
        <w:t>额</w:t>
      </w:r>
      <w:r w:rsidRPr="005B5EC1">
        <w:rPr>
          <w:rFonts w:ascii="Times New Roman" w:hAnsi="Times New Roman" w:cs="Times New Roman"/>
          <w:sz w:val="18"/>
          <w:szCs w:val="18"/>
        </w:rPr>
        <w:t>为</w:t>
      </w:r>
      <w:r w:rsidRPr="005B5EC1">
        <w:rPr>
          <w:rFonts w:ascii="Times New Roman" w:hAnsi="Times New Roman" w:cs="Times New Roman"/>
          <w:sz w:val="18"/>
          <w:szCs w:val="18"/>
        </w:rPr>
        <w:t>2,748</w:t>
      </w:r>
      <w:r w:rsidRPr="005B5EC1">
        <w:rPr>
          <w:rFonts w:ascii="Times New Roman" w:hAnsi="Times New Roman" w:cs="Times New Roman"/>
          <w:sz w:val="18"/>
          <w:szCs w:val="18"/>
        </w:rPr>
        <w:t>万元，此外快手、美团买菜、美团优选等平台销售额也在逐步上升。各平台销售产品主要包括冻肋排块、冻猪蹄块等生食产品以及轻卤肥肠、龙大鲜食记爆汁鲜肉肠、里昂火腿、龙大鲜食记鲜肉灌肠、龙大干香肠、慕尼黑烤香肠等熟食产品。</w:t>
      </w:r>
    </w:p>
    <w:p w14:paraId="51689B9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占当期营业收入总额</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以上的主要产品销售价格较上一报告期的变动幅度超过</w:t>
      </w:r>
      <w:r w:rsidRPr="005B5EC1">
        <w:rPr>
          <w:rFonts w:ascii="Times New Roman" w:eastAsia="宋体" w:hAnsi="Times New Roman" w:cs="Times New Roman"/>
          <w:sz w:val="18"/>
          <w:szCs w:val="18"/>
        </w:rPr>
        <w:t>30%</w:t>
      </w:r>
    </w:p>
    <w:p w14:paraId="3525017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7B6DCE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采购模式及采购内容</w:t>
      </w:r>
    </w:p>
    <w:p w14:paraId="6D4517C7"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0948BD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AE1E4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采购模式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CCAD1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采购内容</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1810C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主要采购内容的金额</w:t>
            </w:r>
          </w:p>
        </w:tc>
      </w:tr>
      <w:tr w:rsidR="00E32FE0" w:rsidRPr="005B5EC1" w14:paraId="62A24AA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6AAC48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合同</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按需采购</w:t>
            </w:r>
          </w:p>
        </w:tc>
        <w:tc>
          <w:tcPr>
            <w:tcW w:w="3213" w:type="dxa"/>
            <w:tcBorders>
              <w:top w:val="single" w:sz="2" w:space="0" w:color="auto"/>
              <w:left w:val="single" w:sz="2" w:space="0" w:color="auto"/>
              <w:bottom w:val="single" w:sz="2" w:space="0" w:color="auto"/>
              <w:right w:val="single" w:sz="2" w:space="0" w:color="auto"/>
            </w:tcBorders>
            <w:vAlign w:val="center"/>
          </w:tcPr>
          <w:p w14:paraId="2043297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原材料</w:t>
            </w:r>
          </w:p>
        </w:tc>
        <w:tc>
          <w:tcPr>
            <w:tcW w:w="3213" w:type="dxa"/>
            <w:tcBorders>
              <w:top w:val="single" w:sz="2" w:space="0" w:color="auto"/>
              <w:left w:val="single" w:sz="2" w:space="0" w:color="auto"/>
              <w:bottom w:val="single" w:sz="2" w:space="0" w:color="auto"/>
              <w:right w:val="single" w:sz="2" w:space="0" w:color="auto"/>
            </w:tcBorders>
            <w:vAlign w:val="center"/>
          </w:tcPr>
          <w:p w14:paraId="4B99B4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9,926,936,868.05</w:t>
            </w:r>
          </w:p>
        </w:tc>
      </w:tr>
      <w:tr w:rsidR="00E32FE0" w:rsidRPr="005B5EC1" w14:paraId="0CDB554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71627B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合同</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按需采购</w:t>
            </w:r>
          </w:p>
        </w:tc>
        <w:tc>
          <w:tcPr>
            <w:tcW w:w="3213" w:type="dxa"/>
            <w:tcBorders>
              <w:top w:val="single" w:sz="2" w:space="0" w:color="auto"/>
              <w:left w:val="single" w:sz="2" w:space="0" w:color="auto"/>
              <w:bottom w:val="single" w:sz="2" w:space="0" w:color="auto"/>
              <w:right w:val="single" w:sz="2" w:space="0" w:color="auto"/>
            </w:tcBorders>
            <w:vAlign w:val="center"/>
          </w:tcPr>
          <w:p w14:paraId="77FE12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燃料和动力</w:t>
            </w:r>
          </w:p>
        </w:tc>
        <w:tc>
          <w:tcPr>
            <w:tcW w:w="3213" w:type="dxa"/>
            <w:tcBorders>
              <w:top w:val="single" w:sz="2" w:space="0" w:color="auto"/>
              <w:left w:val="single" w:sz="2" w:space="0" w:color="auto"/>
              <w:bottom w:val="single" w:sz="2" w:space="0" w:color="auto"/>
              <w:right w:val="single" w:sz="2" w:space="0" w:color="auto"/>
            </w:tcBorders>
            <w:vAlign w:val="center"/>
          </w:tcPr>
          <w:p w14:paraId="6908AC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99,321,153.23</w:t>
            </w:r>
          </w:p>
        </w:tc>
      </w:tr>
    </w:tbl>
    <w:p w14:paraId="5564305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向合作社或农户采购原材料占采购总金额比例超过</w:t>
      </w:r>
      <w:r w:rsidRPr="005B5EC1">
        <w:rPr>
          <w:rFonts w:ascii="Times New Roman" w:eastAsia="宋体" w:hAnsi="Times New Roman" w:cs="Times New Roman"/>
          <w:sz w:val="18"/>
          <w:szCs w:val="18"/>
        </w:rPr>
        <w:t>30%</w:t>
      </w:r>
    </w:p>
    <w:p w14:paraId="7F9FF48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675380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主要外购原材料价格同比变动超过</w:t>
      </w:r>
      <w:r w:rsidRPr="005B5EC1">
        <w:rPr>
          <w:rFonts w:ascii="Times New Roman" w:eastAsia="宋体" w:hAnsi="Times New Roman" w:cs="Times New Roman"/>
          <w:sz w:val="18"/>
          <w:szCs w:val="18"/>
        </w:rPr>
        <w:t>30%</w:t>
      </w:r>
    </w:p>
    <w:p w14:paraId="49F38C4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F5A80C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主要生产模式</w:t>
      </w:r>
    </w:p>
    <w:p w14:paraId="6E0B101B" w14:textId="77777777" w:rsidR="00AF139E" w:rsidRPr="005B5EC1" w:rsidRDefault="00000000" w:rsidP="00BB1F9D">
      <w:pPr>
        <w:pStyle w:val="a3"/>
        <w:spacing w:before="0" w:beforeAutospacing="0" w:after="0" w:afterAutospacing="0" w:line="276" w:lineRule="auto"/>
        <w:ind w:firstLineChars="200" w:firstLine="360"/>
        <w:jc w:val="both"/>
        <w:divId w:val="570237922"/>
        <w:rPr>
          <w:rFonts w:ascii="Times New Roman" w:hAnsi="Times New Roman" w:cs="Times New Roman"/>
          <w:sz w:val="18"/>
          <w:szCs w:val="18"/>
        </w:rPr>
      </w:pPr>
      <w:r w:rsidRPr="005B5EC1">
        <w:rPr>
          <w:rFonts w:ascii="Times New Roman" w:hAnsi="Times New Roman" w:cs="Times New Roman"/>
          <w:sz w:val="18"/>
          <w:szCs w:val="18"/>
        </w:rPr>
        <w:t>公司实行</w:t>
      </w:r>
      <w:r w:rsidRPr="005B5EC1">
        <w:rPr>
          <w:rFonts w:ascii="Times New Roman" w:hAnsi="Times New Roman" w:cs="Times New Roman"/>
          <w:sz w:val="18"/>
          <w:szCs w:val="18"/>
        </w:rPr>
        <w:t>“</w:t>
      </w:r>
      <w:r w:rsidRPr="005B5EC1">
        <w:rPr>
          <w:rFonts w:ascii="Times New Roman" w:hAnsi="Times New Roman" w:cs="Times New Roman"/>
          <w:sz w:val="18"/>
          <w:szCs w:val="18"/>
        </w:rPr>
        <w:t>以销定产</w:t>
      </w:r>
      <w:r w:rsidRPr="005B5EC1">
        <w:rPr>
          <w:rFonts w:ascii="Times New Roman" w:hAnsi="Times New Roman" w:cs="Times New Roman"/>
          <w:sz w:val="18"/>
          <w:szCs w:val="18"/>
        </w:rPr>
        <w:t>”</w:t>
      </w:r>
      <w:r w:rsidRPr="005B5EC1">
        <w:rPr>
          <w:rFonts w:ascii="Times New Roman" w:hAnsi="Times New Roman" w:cs="Times New Roman"/>
          <w:sz w:val="18"/>
          <w:szCs w:val="18"/>
        </w:rPr>
        <w:t>经营模式，主要涉及预制食品、肉制品和鲜冻肉生产等板块，并根据市场订单、产品库存及市场预测情况等合理制定生产计划。公司主要产品以自产为主，由公司采购原辅料、包材等，在自有厂区生产加工。在实际生产过程中，基于对市场的把控和客户的实际需求进行订单预测，由销售部门提报产品需求，通过系统计算用料需求，导出理论采购量，同时分析原辅料库存、各车间领用及请购情况，下达原辅物料采购计划给采购部，下达生产计划给生产部。</w:t>
      </w:r>
    </w:p>
    <w:p w14:paraId="3975D66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委托加工生产</w:t>
      </w:r>
    </w:p>
    <w:p w14:paraId="78AE9A7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D687C6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营业成本的主要构成项目</w:t>
      </w:r>
    </w:p>
    <w:p w14:paraId="0C7A609B" w14:textId="77777777" w:rsidR="00AF139E" w:rsidRPr="005B5EC1" w:rsidRDefault="00000000">
      <w:pPr>
        <w:pStyle w:val="a3"/>
        <w:divId w:val="604774747"/>
        <w:rPr>
          <w:rFonts w:ascii="Times New Roman" w:hAnsi="Times New Roman" w:cs="Times New Roman"/>
          <w:sz w:val="18"/>
          <w:szCs w:val="18"/>
        </w:rPr>
      </w:pPr>
      <w:r w:rsidRPr="005B5EC1">
        <w:rPr>
          <w:rFonts w:ascii="Times New Roman" w:hAnsi="Times New Roman" w:cs="Times New Roman"/>
          <w:sz w:val="18"/>
          <w:szCs w:val="18"/>
        </w:rPr>
        <w:t>参见本节</w:t>
      </w:r>
      <w:r w:rsidRPr="005B5EC1">
        <w:rPr>
          <w:rFonts w:ascii="Times New Roman" w:hAnsi="Times New Roman" w:cs="Times New Roman"/>
          <w:sz w:val="18"/>
          <w:szCs w:val="18"/>
        </w:rPr>
        <w:t>“</w:t>
      </w:r>
      <w:r w:rsidRPr="005B5EC1">
        <w:rPr>
          <w:rFonts w:ascii="Times New Roman" w:hAnsi="Times New Roman" w:cs="Times New Roman"/>
          <w:sz w:val="18"/>
          <w:szCs w:val="18"/>
        </w:rPr>
        <w:t>四、主营业务分析</w:t>
      </w:r>
      <w:r w:rsidRPr="005B5EC1">
        <w:rPr>
          <w:rFonts w:ascii="Times New Roman" w:hAnsi="Times New Roman" w:cs="Times New Roman"/>
          <w:sz w:val="18"/>
          <w:szCs w:val="18"/>
        </w:rPr>
        <w:t>——2</w:t>
      </w:r>
      <w:r w:rsidRPr="005B5EC1">
        <w:rPr>
          <w:rFonts w:ascii="Times New Roman" w:hAnsi="Times New Roman" w:cs="Times New Roman"/>
          <w:sz w:val="18"/>
          <w:szCs w:val="18"/>
        </w:rPr>
        <w:t>、收入与成本</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5</w:t>
      </w:r>
      <w:r w:rsidRPr="005B5EC1">
        <w:rPr>
          <w:rFonts w:ascii="Times New Roman" w:hAnsi="Times New Roman" w:cs="Times New Roman"/>
          <w:sz w:val="18"/>
          <w:szCs w:val="18"/>
        </w:rPr>
        <w:t>）营业成本构成</w:t>
      </w:r>
      <w:r w:rsidRPr="005B5EC1">
        <w:rPr>
          <w:rFonts w:ascii="Times New Roman" w:hAnsi="Times New Roman" w:cs="Times New Roman"/>
          <w:sz w:val="18"/>
          <w:szCs w:val="18"/>
        </w:rPr>
        <w:t>”</w:t>
      </w:r>
      <w:r w:rsidRPr="005B5EC1">
        <w:rPr>
          <w:rFonts w:ascii="Times New Roman" w:hAnsi="Times New Roman" w:cs="Times New Roman"/>
          <w:sz w:val="18"/>
          <w:szCs w:val="18"/>
        </w:rPr>
        <w:t>相关内容。</w:t>
      </w:r>
    </w:p>
    <w:p w14:paraId="4DD8C93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产量与库存量</w:t>
      </w:r>
    </w:p>
    <w:p w14:paraId="10AC1195" w14:textId="77777777" w:rsidR="00AF139E" w:rsidRPr="005B5EC1" w:rsidRDefault="00000000">
      <w:pPr>
        <w:pStyle w:val="a3"/>
        <w:divId w:val="518813992"/>
        <w:rPr>
          <w:rFonts w:ascii="Times New Roman" w:hAnsi="Times New Roman" w:cs="Times New Roman"/>
          <w:sz w:val="18"/>
          <w:szCs w:val="18"/>
        </w:rPr>
      </w:pPr>
      <w:r w:rsidRPr="005B5EC1">
        <w:rPr>
          <w:rFonts w:ascii="Times New Roman" w:hAnsi="Times New Roman" w:cs="Times New Roman"/>
          <w:sz w:val="18"/>
          <w:szCs w:val="18"/>
        </w:rPr>
        <w:t>参见本节</w:t>
      </w:r>
      <w:r w:rsidRPr="005B5EC1">
        <w:rPr>
          <w:rFonts w:ascii="Times New Roman" w:hAnsi="Times New Roman" w:cs="Times New Roman"/>
          <w:sz w:val="18"/>
          <w:szCs w:val="18"/>
        </w:rPr>
        <w:t>“</w:t>
      </w:r>
      <w:r w:rsidRPr="005B5EC1">
        <w:rPr>
          <w:rFonts w:ascii="Times New Roman" w:hAnsi="Times New Roman" w:cs="Times New Roman"/>
          <w:sz w:val="18"/>
          <w:szCs w:val="18"/>
        </w:rPr>
        <w:t>四、主营业务分析</w:t>
      </w:r>
      <w:r w:rsidRPr="005B5EC1">
        <w:rPr>
          <w:rFonts w:ascii="Times New Roman" w:hAnsi="Times New Roman" w:cs="Times New Roman"/>
          <w:sz w:val="18"/>
          <w:szCs w:val="18"/>
        </w:rPr>
        <w:t>——2</w:t>
      </w:r>
      <w:r w:rsidRPr="005B5EC1">
        <w:rPr>
          <w:rFonts w:ascii="Times New Roman" w:hAnsi="Times New Roman" w:cs="Times New Roman"/>
          <w:sz w:val="18"/>
          <w:szCs w:val="18"/>
        </w:rPr>
        <w:t>、收入与成本</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3</w:t>
      </w:r>
      <w:r w:rsidRPr="005B5EC1">
        <w:rPr>
          <w:rFonts w:ascii="Times New Roman" w:hAnsi="Times New Roman" w:cs="Times New Roman"/>
          <w:sz w:val="18"/>
          <w:szCs w:val="18"/>
        </w:rPr>
        <w:t>）公司实物销售收入是否大于劳务收入</w:t>
      </w:r>
      <w:r w:rsidRPr="005B5EC1">
        <w:rPr>
          <w:rFonts w:ascii="Times New Roman" w:hAnsi="Times New Roman" w:cs="Times New Roman"/>
          <w:sz w:val="18"/>
          <w:szCs w:val="18"/>
        </w:rPr>
        <w:t>”</w:t>
      </w:r>
      <w:r w:rsidRPr="005B5EC1">
        <w:rPr>
          <w:rFonts w:ascii="Times New Roman" w:hAnsi="Times New Roman" w:cs="Times New Roman"/>
          <w:sz w:val="18"/>
          <w:szCs w:val="18"/>
        </w:rPr>
        <w:t>相关内容。</w:t>
      </w:r>
    </w:p>
    <w:p w14:paraId="342B495C"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6" w:name="_Toc988905"/>
      <w:r w:rsidRPr="005B5EC1">
        <w:rPr>
          <w:rFonts w:ascii="Times New Roman" w:eastAsia="宋体" w:hAnsi="Times New Roman" w:cs="Times New Roman"/>
          <w:b/>
          <w:bCs/>
          <w:sz w:val="24"/>
          <w:szCs w:val="24"/>
        </w:rPr>
        <w:lastRenderedPageBreak/>
        <w:t>三、核心竞争力分析</w:t>
      </w:r>
      <w:bookmarkEnd w:id="16"/>
    </w:p>
    <w:p w14:paraId="7BAA2C27"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公司坚持以食品为主体，以屠宰和养殖为两翼支撑的</w:t>
      </w:r>
      <w:r w:rsidRPr="005B5EC1">
        <w:rPr>
          <w:rFonts w:ascii="Times New Roman" w:hAnsi="Times New Roman" w:cs="Times New Roman"/>
          <w:sz w:val="18"/>
          <w:szCs w:val="18"/>
        </w:rPr>
        <w:t>“</w:t>
      </w:r>
      <w:r w:rsidRPr="005B5EC1">
        <w:rPr>
          <w:rFonts w:ascii="Times New Roman" w:hAnsi="Times New Roman" w:cs="Times New Roman"/>
          <w:sz w:val="18"/>
          <w:szCs w:val="18"/>
        </w:rPr>
        <w:t>一体两翼</w:t>
      </w:r>
      <w:r w:rsidRPr="005B5EC1">
        <w:rPr>
          <w:rFonts w:ascii="Times New Roman" w:hAnsi="Times New Roman" w:cs="Times New Roman"/>
          <w:sz w:val="18"/>
          <w:szCs w:val="18"/>
        </w:rPr>
        <w:t>”</w:t>
      </w:r>
      <w:r w:rsidRPr="005B5EC1">
        <w:rPr>
          <w:rFonts w:ascii="Times New Roman" w:hAnsi="Times New Roman" w:cs="Times New Roman"/>
          <w:sz w:val="18"/>
          <w:szCs w:val="18"/>
        </w:rPr>
        <w:t>总体发展战略，凭借</w:t>
      </w:r>
      <w:r w:rsidRPr="005B5EC1">
        <w:rPr>
          <w:rFonts w:ascii="Times New Roman" w:hAnsi="Times New Roman" w:cs="Times New Roman"/>
          <w:sz w:val="18"/>
          <w:szCs w:val="18"/>
        </w:rPr>
        <w:t>20</w:t>
      </w:r>
      <w:r w:rsidRPr="005B5EC1">
        <w:rPr>
          <w:rFonts w:ascii="Times New Roman" w:hAnsi="Times New Roman" w:cs="Times New Roman"/>
          <w:sz w:val="18"/>
          <w:szCs w:val="18"/>
        </w:rPr>
        <w:t>多年从事食品行业的专业优势积累，形成了差异化的核心竞争力。公司食品业务瞄准万亿预制菜肴市场，养殖和屠宰业务的深厚经验为食品业务发展提供良好的支撑。如今，公司已经拥有全流程的研发生产能力，通过精细化加工工艺，形成众多用于不同渠道、不同市场的产品形态，满足不同客户的需求。主要竞争优势如下：</w:t>
      </w:r>
    </w:p>
    <w:p w14:paraId="4A6CDD49"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（一）品控优势</w:t>
      </w:r>
    </w:p>
    <w:p w14:paraId="4D7222F1"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公司拥有二十多年对日出口的品质保障，严苛的出口品质管控体系锻造了龙大美食品质管理能力。同时，公司建立了质量与安全预警机制，从源头输入、加工过程、市场流通、市场抽检、行业动态全方位进行预警，防患于未然。并且，在多年的生产过程中，公司通过从原料采购、质量检测到冷链存储、即时零售的食品生产安全</w:t>
      </w:r>
      <w:r w:rsidRPr="005B5EC1">
        <w:rPr>
          <w:rFonts w:ascii="Times New Roman" w:hAnsi="Times New Roman" w:cs="Times New Roman"/>
          <w:sz w:val="18"/>
          <w:szCs w:val="18"/>
        </w:rPr>
        <w:t>12</w:t>
      </w:r>
      <w:r w:rsidRPr="005B5EC1">
        <w:rPr>
          <w:rFonts w:ascii="Times New Roman" w:hAnsi="Times New Roman" w:cs="Times New Roman"/>
          <w:sz w:val="18"/>
          <w:szCs w:val="18"/>
        </w:rPr>
        <w:t>道工序，严守食品安全线，打造了以源头控制、质量体系、产品检测为核心的食品安全保证体系。做到批批都检验，全程可追溯，实现对原料、生产、产品的全过程把控。同时，公司品控部门拥有品质问题的一票否决权，严把出厂关。此外，全资子公司杰科检测，是专业从事食品安全检测的国家级检测机构，负责公司原料、半成品、成品和辅料等全方位检测。杰科检测目前可开展</w:t>
      </w:r>
      <w:r w:rsidRPr="005B5EC1">
        <w:rPr>
          <w:rFonts w:ascii="Times New Roman" w:hAnsi="Times New Roman" w:cs="Times New Roman"/>
          <w:sz w:val="18"/>
          <w:szCs w:val="18"/>
        </w:rPr>
        <w:t>8</w:t>
      </w:r>
      <w:r w:rsidRPr="005B5EC1">
        <w:rPr>
          <w:rFonts w:ascii="Times New Roman" w:hAnsi="Times New Roman" w:cs="Times New Roman"/>
          <w:sz w:val="18"/>
          <w:szCs w:val="18"/>
        </w:rPr>
        <w:t>个大类</w:t>
      </w:r>
      <w:r w:rsidRPr="005B5EC1">
        <w:rPr>
          <w:rFonts w:ascii="Times New Roman" w:hAnsi="Times New Roman" w:cs="Times New Roman"/>
          <w:sz w:val="18"/>
          <w:szCs w:val="18"/>
        </w:rPr>
        <w:t>1,111</w:t>
      </w:r>
      <w:r w:rsidRPr="005B5EC1">
        <w:rPr>
          <w:rFonts w:ascii="Times New Roman" w:hAnsi="Times New Roman" w:cs="Times New Roman"/>
          <w:sz w:val="18"/>
          <w:szCs w:val="18"/>
        </w:rPr>
        <w:t>项指标检测，在《色谱》《食品科学》等权威期刊发表论文</w:t>
      </w:r>
      <w:r w:rsidRPr="005B5EC1">
        <w:rPr>
          <w:rFonts w:ascii="Times New Roman" w:hAnsi="Times New Roman" w:cs="Times New Roman"/>
          <w:sz w:val="18"/>
          <w:szCs w:val="18"/>
        </w:rPr>
        <w:t>30</w:t>
      </w:r>
      <w:r w:rsidRPr="005B5EC1">
        <w:rPr>
          <w:rFonts w:ascii="Times New Roman" w:hAnsi="Times New Roman" w:cs="Times New Roman"/>
          <w:sz w:val="18"/>
          <w:szCs w:val="18"/>
        </w:rPr>
        <w:t>余篇，参与了</w:t>
      </w:r>
      <w:r w:rsidRPr="005B5EC1">
        <w:rPr>
          <w:rFonts w:ascii="Times New Roman" w:hAnsi="Times New Roman" w:cs="Times New Roman"/>
          <w:sz w:val="18"/>
          <w:szCs w:val="18"/>
        </w:rPr>
        <w:t>6</w:t>
      </w:r>
      <w:r w:rsidRPr="005B5EC1">
        <w:rPr>
          <w:rFonts w:ascii="Times New Roman" w:hAnsi="Times New Roman" w:cs="Times New Roman"/>
          <w:sz w:val="18"/>
          <w:szCs w:val="18"/>
        </w:rPr>
        <w:t>个标准的制修订。杰科检测依据国家标准、行业标准、进口国标准，为内贸和外贸企业提供专业化检测服务，年检测样品</w:t>
      </w:r>
      <w:r w:rsidRPr="005B5EC1">
        <w:rPr>
          <w:rFonts w:ascii="Times New Roman" w:hAnsi="Times New Roman" w:cs="Times New Roman"/>
          <w:sz w:val="18"/>
          <w:szCs w:val="18"/>
        </w:rPr>
        <w:t>4</w:t>
      </w:r>
      <w:r w:rsidRPr="005B5EC1">
        <w:rPr>
          <w:rFonts w:ascii="Times New Roman" w:hAnsi="Times New Roman" w:cs="Times New Roman"/>
          <w:sz w:val="18"/>
          <w:szCs w:val="18"/>
        </w:rPr>
        <w:t>万余个，进一步为公司食品安全提供了保障。</w:t>
      </w:r>
    </w:p>
    <w:p w14:paraId="2EB36732"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（二）研发优势</w:t>
      </w:r>
    </w:p>
    <w:p w14:paraId="338AB55E" w14:textId="44DD1B6F"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公司立足山东、上海、四川三大国内领先的食品研发中心，形成</w:t>
      </w:r>
      <w:r w:rsidRPr="005B5EC1">
        <w:rPr>
          <w:rFonts w:ascii="Times New Roman" w:hAnsi="Times New Roman" w:cs="Times New Roman"/>
          <w:sz w:val="18"/>
          <w:szCs w:val="18"/>
        </w:rPr>
        <w:t>“</w:t>
      </w:r>
      <w:r w:rsidRPr="005B5EC1">
        <w:rPr>
          <w:rFonts w:ascii="Times New Roman" w:hAnsi="Times New Roman" w:cs="Times New Roman"/>
          <w:sz w:val="18"/>
          <w:szCs w:val="18"/>
        </w:rPr>
        <w:t>三位一体</w:t>
      </w:r>
      <w:r w:rsidRPr="005B5EC1">
        <w:rPr>
          <w:rFonts w:ascii="Times New Roman" w:hAnsi="Times New Roman" w:cs="Times New Roman"/>
          <w:sz w:val="18"/>
          <w:szCs w:val="18"/>
        </w:rPr>
        <w:t>”</w:t>
      </w:r>
      <w:r w:rsidRPr="005B5EC1">
        <w:rPr>
          <w:rFonts w:ascii="Times New Roman" w:hAnsi="Times New Roman" w:cs="Times New Roman"/>
          <w:sz w:val="18"/>
          <w:szCs w:val="18"/>
        </w:rPr>
        <w:t>的研发格局，便于快速掌握当地客户的需求和市场变化趋势，并与当地客户进行近距离沟通和服务，深度把握当地食品口味和客户的喜好程度，持续推进特色食品的主动研发。公司已经与中国农业科学院质量标准与检测技术研究所、西华大学、山东农业大学、山东省农业科学院、济南大学、烟台大学等高校、科研院所开展稳定的产学研合作，实现工业与传统的融合，让中华美食走进千家万户。截</w:t>
      </w:r>
      <w:r w:rsidR="00975D82">
        <w:rPr>
          <w:rFonts w:ascii="Times New Roman" w:hAnsi="Times New Roman" w:cs="Times New Roman" w:hint="eastAsia"/>
          <w:sz w:val="18"/>
          <w:szCs w:val="18"/>
        </w:rPr>
        <w:t>至</w:t>
      </w:r>
      <w:r w:rsidRPr="005B5EC1">
        <w:rPr>
          <w:rFonts w:ascii="Times New Roman" w:hAnsi="Times New Roman" w:cs="Times New Roman"/>
          <w:sz w:val="18"/>
          <w:szCs w:val="18"/>
        </w:rPr>
        <w:t>目前，公司已获得发明专利</w:t>
      </w:r>
      <w:r w:rsidRPr="005B5EC1">
        <w:rPr>
          <w:rFonts w:ascii="Times New Roman" w:hAnsi="Times New Roman" w:cs="Times New Roman"/>
          <w:sz w:val="18"/>
          <w:szCs w:val="18"/>
        </w:rPr>
        <w:t>8</w:t>
      </w:r>
      <w:r w:rsidRPr="005B5EC1">
        <w:rPr>
          <w:rFonts w:ascii="Times New Roman" w:hAnsi="Times New Roman" w:cs="Times New Roman"/>
          <w:sz w:val="18"/>
          <w:szCs w:val="18"/>
        </w:rPr>
        <w:t>项，实用新型专利</w:t>
      </w:r>
      <w:r w:rsidRPr="005B5EC1">
        <w:rPr>
          <w:rFonts w:ascii="Times New Roman" w:hAnsi="Times New Roman" w:cs="Times New Roman"/>
          <w:sz w:val="18"/>
          <w:szCs w:val="18"/>
        </w:rPr>
        <w:t>15</w:t>
      </w:r>
      <w:r w:rsidRPr="005B5EC1">
        <w:rPr>
          <w:rFonts w:ascii="Times New Roman" w:hAnsi="Times New Roman" w:cs="Times New Roman"/>
          <w:sz w:val="18"/>
          <w:szCs w:val="18"/>
        </w:rPr>
        <w:t>项，并参与了部分国家标准及团体标准的制定与修订，同时获得了中国食品工业协会科学技术奖一等奖、中国商业联合会科学技术奖二等奖等重量级奖项。</w:t>
      </w:r>
    </w:p>
    <w:p w14:paraId="6B5CA692"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（三）产能及供应链优势</w:t>
      </w:r>
    </w:p>
    <w:p w14:paraId="5C6F1D8F"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公司屠宰总体设计产能</w:t>
      </w:r>
      <w:r w:rsidRPr="005B5EC1">
        <w:rPr>
          <w:rFonts w:ascii="Times New Roman" w:hAnsi="Times New Roman" w:cs="Times New Roman"/>
          <w:sz w:val="18"/>
          <w:szCs w:val="18"/>
        </w:rPr>
        <w:t>1,500</w:t>
      </w:r>
      <w:r w:rsidRPr="005B5EC1">
        <w:rPr>
          <w:rFonts w:ascii="Times New Roman" w:hAnsi="Times New Roman" w:cs="Times New Roman"/>
          <w:sz w:val="18"/>
          <w:szCs w:val="18"/>
        </w:rPr>
        <w:t>万头，养殖总体设计产能控制在屠宰产能的</w:t>
      </w:r>
      <w:r w:rsidRPr="005B5EC1">
        <w:rPr>
          <w:rFonts w:ascii="Times New Roman" w:hAnsi="Times New Roman" w:cs="Times New Roman"/>
          <w:sz w:val="18"/>
          <w:szCs w:val="18"/>
        </w:rPr>
        <w:t>10%</w:t>
      </w:r>
      <w:r w:rsidRPr="005B5EC1">
        <w:rPr>
          <w:rFonts w:ascii="Times New Roman" w:hAnsi="Times New Roman" w:cs="Times New Roman"/>
          <w:sz w:val="18"/>
          <w:szCs w:val="18"/>
        </w:rPr>
        <w:t>以内；现有食品加工产能</w:t>
      </w:r>
      <w:r w:rsidRPr="005B5EC1">
        <w:rPr>
          <w:rFonts w:ascii="Times New Roman" w:hAnsi="Times New Roman" w:cs="Times New Roman"/>
          <w:sz w:val="18"/>
          <w:szCs w:val="18"/>
        </w:rPr>
        <w:t>33</w:t>
      </w:r>
      <w:r w:rsidRPr="005B5EC1">
        <w:rPr>
          <w:rFonts w:ascii="Times New Roman" w:hAnsi="Times New Roman" w:cs="Times New Roman"/>
          <w:sz w:val="18"/>
          <w:szCs w:val="18"/>
        </w:rPr>
        <w:t>万吨，已基本实现华东、华北、西南、华中、华南等区域的全覆盖及全国化的产能布局。同时，经过多年发展和沉淀，公司在食品、屠宰和养殖领域积累了丰富的经营经验，形成集原材料、生产能力、新产品研发、全国化渠道等为一体的供应链整合和成本控制优势。公司养殖、屠宰业务直接提供肉类原料，缩短原料采购的中间环节，并依托全球直采模式，实现多种动物蛋白补充，平抑原材料成本。物流配送上，公司依托源头基地和食品加工厂的全国化广泛布局，加快物流运输建设，缩短运输距离，保障运输效率和产品新鲜度，节约运输成本。随着全国化供应链布局的深入，公司通过全国化、规模化经营，解决了一般预制菜企业的区域化特征。</w:t>
      </w:r>
    </w:p>
    <w:p w14:paraId="2DCDCDCB"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（四）渠道优势</w:t>
      </w:r>
    </w:p>
    <w:p w14:paraId="4B5CAC3A"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公司采取</w:t>
      </w:r>
      <w:r w:rsidRPr="005B5EC1">
        <w:rPr>
          <w:rFonts w:ascii="Times New Roman" w:hAnsi="Times New Roman" w:cs="Times New Roman"/>
          <w:sz w:val="18"/>
          <w:szCs w:val="18"/>
        </w:rPr>
        <w:t>B</w:t>
      </w:r>
      <w:r w:rsidRPr="005B5EC1">
        <w:rPr>
          <w:rFonts w:ascii="Times New Roman" w:hAnsi="Times New Roman" w:cs="Times New Roman"/>
          <w:sz w:val="18"/>
          <w:szCs w:val="18"/>
        </w:rPr>
        <w:t>端为主，</w:t>
      </w:r>
      <w:r w:rsidRPr="005B5EC1">
        <w:rPr>
          <w:rFonts w:ascii="Times New Roman" w:hAnsi="Times New Roman" w:cs="Times New Roman"/>
          <w:sz w:val="18"/>
          <w:szCs w:val="18"/>
        </w:rPr>
        <w:t>C</w:t>
      </w:r>
      <w:r w:rsidRPr="005B5EC1">
        <w:rPr>
          <w:rFonts w:ascii="Times New Roman" w:hAnsi="Times New Roman" w:cs="Times New Roman"/>
          <w:sz w:val="18"/>
          <w:szCs w:val="18"/>
        </w:rPr>
        <w:t>端为辅的渠道策略，依托二十余年对日出口的品质保障，建立了一套完善的客户服务标准规范。对大客户提供产品全生命周期管理服务，通过专人专班，满足客户对新品研发和产品品质的需求。经过多年发展，公司已经与超过</w:t>
      </w:r>
      <w:r w:rsidRPr="005B5EC1">
        <w:rPr>
          <w:rFonts w:ascii="Times New Roman" w:hAnsi="Times New Roman" w:cs="Times New Roman"/>
          <w:sz w:val="18"/>
          <w:szCs w:val="18"/>
        </w:rPr>
        <w:t>1,000</w:t>
      </w:r>
      <w:r w:rsidRPr="005B5EC1">
        <w:rPr>
          <w:rFonts w:ascii="Times New Roman" w:hAnsi="Times New Roman" w:cs="Times New Roman"/>
          <w:sz w:val="18"/>
          <w:szCs w:val="18"/>
        </w:rPr>
        <w:t>家知名企业客户达成合作，为超过</w:t>
      </w:r>
      <w:r w:rsidRPr="005B5EC1">
        <w:rPr>
          <w:rFonts w:ascii="Times New Roman" w:hAnsi="Times New Roman" w:cs="Times New Roman"/>
          <w:sz w:val="18"/>
          <w:szCs w:val="18"/>
        </w:rPr>
        <w:t>200</w:t>
      </w:r>
      <w:r w:rsidRPr="005B5EC1">
        <w:rPr>
          <w:rFonts w:ascii="Times New Roman" w:hAnsi="Times New Roman" w:cs="Times New Roman"/>
          <w:sz w:val="18"/>
          <w:szCs w:val="18"/>
        </w:rPr>
        <w:t>家大型企业客户提供定制化产品服务。在优质的服务和产品供应体系下，公司形成了一批运营能力强，资金实力雄厚，对公司信赖度高的大客户资源。同时，公司通过积极开拓京东、抖音、拼多多、美团等平台的社区团购及电商直播渠道，</w:t>
      </w:r>
      <w:r w:rsidRPr="005B5EC1">
        <w:rPr>
          <w:rFonts w:ascii="Times New Roman" w:hAnsi="Times New Roman" w:cs="Times New Roman"/>
          <w:sz w:val="18"/>
          <w:szCs w:val="18"/>
        </w:rPr>
        <w:t>C</w:t>
      </w:r>
      <w:r w:rsidRPr="005B5EC1">
        <w:rPr>
          <w:rFonts w:ascii="Times New Roman" w:hAnsi="Times New Roman" w:cs="Times New Roman"/>
          <w:sz w:val="18"/>
          <w:szCs w:val="18"/>
        </w:rPr>
        <w:t>端客户规模实现稳步发展。</w:t>
      </w:r>
    </w:p>
    <w:p w14:paraId="3D4811D9"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hAnsi="Times New Roman" w:cs="Times New Roman"/>
          <w:sz w:val="21"/>
          <w:szCs w:val="21"/>
        </w:rPr>
      </w:pPr>
      <w:r w:rsidRPr="005B5EC1">
        <w:rPr>
          <w:rFonts w:ascii="Times New Roman" w:hAnsi="Times New Roman" w:cs="Times New Roman"/>
          <w:sz w:val="18"/>
          <w:szCs w:val="18"/>
        </w:rPr>
        <w:t>（五）品牌优势</w:t>
      </w:r>
    </w:p>
    <w:p w14:paraId="10E19770" w14:textId="77777777" w:rsidR="00AF139E" w:rsidRPr="005B5EC1" w:rsidRDefault="00000000" w:rsidP="00BB1F9D">
      <w:pPr>
        <w:pStyle w:val="a3"/>
        <w:spacing w:before="0" w:beforeAutospacing="0" w:after="0" w:afterAutospacing="0" w:line="276" w:lineRule="auto"/>
        <w:ind w:firstLine="357"/>
        <w:jc w:val="both"/>
        <w:divId w:val="539780683"/>
        <w:rPr>
          <w:rFonts w:ascii="Times New Roman" w:eastAsia="等线" w:hAnsi="Times New Roman" w:cs="Times New Roman"/>
          <w:sz w:val="21"/>
          <w:szCs w:val="21"/>
        </w:rPr>
      </w:pPr>
      <w:r w:rsidRPr="005B5EC1">
        <w:rPr>
          <w:rFonts w:ascii="Times New Roman" w:hAnsi="Times New Roman" w:cs="Times New Roman"/>
          <w:sz w:val="18"/>
          <w:szCs w:val="18"/>
        </w:rPr>
        <w:lastRenderedPageBreak/>
        <w:t>公司高度重视品牌建设和发展，践行</w:t>
      </w:r>
      <w:r w:rsidRPr="005B5EC1">
        <w:rPr>
          <w:rFonts w:ascii="Times New Roman" w:hAnsi="Times New Roman" w:cs="Times New Roman"/>
          <w:sz w:val="18"/>
          <w:szCs w:val="18"/>
        </w:rPr>
        <w:t>“</w:t>
      </w:r>
      <w:r w:rsidRPr="005B5EC1">
        <w:rPr>
          <w:rFonts w:ascii="Times New Roman" w:hAnsi="Times New Roman" w:cs="Times New Roman"/>
          <w:sz w:val="18"/>
          <w:szCs w:val="18"/>
        </w:rPr>
        <w:t>诚信为本、品控为命、研发为天、销售为王、服务为上</w:t>
      </w:r>
      <w:r w:rsidRPr="005B5EC1">
        <w:rPr>
          <w:rFonts w:ascii="Times New Roman" w:hAnsi="Times New Roman" w:cs="Times New Roman"/>
          <w:sz w:val="18"/>
          <w:szCs w:val="18"/>
        </w:rPr>
        <w:t>”</w:t>
      </w:r>
      <w:r w:rsidRPr="005B5EC1">
        <w:rPr>
          <w:rFonts w:ascii="Times New Roman" w:hAnsi="Times New Roman" w:cs="Times New Roman"/>
          <w:sz w:val="18"/>
          <w:szCs w:val="18"/>
        </w:rPr>
        <w:t>的企业核心价值观，致力于成为国内领先的食品企业。在此基础上，公司持续强化品牌营销能力，创新打造品牌</w:t>
      </w:r>
      <w:r w:rsidRPr="005B5EC1">
        <w:rPr>
          <w:rFonts w:ascii="Times New Roman" w:hAnsi="Times New Roman" w:cs="Times New Roman"/>
          <w:sz w:val="18"/>
          <w:szCs w:val="18"/>
        </w:rPr>
        <w:t>IP“</w:t>
      </w:r>
      <w:r w:rsidRPr="005B5EC1">
        <w:rPr>
          <w:rFonts w:ascii="Times New Roman" w:hAnsi="Times New Roman" w:cs="Times New Roman"/>
          <w:sz w:val="18"/>
          <w:szCs w:val="18"/>
        </w:rPr>
        <w:t>发发龙</w:t>
      </w:r>
      <w:r w:rsidRPr="005B5EC1">
        <w:rPr>
          <w:rFonts w:ascii="Times New Roman" w:hAnsi="Times New Roman" w:cs="Times New Roman"/>
          <w:sz w:val="18"/>
          <w:szCs w:val="18"/>
        </w:rPr>
        <w:t>”</w:t>
      </w:r>
      <w:r w:rsidRPr="005B5EC1">
        <w:rPr>
          <w:rFonts w:ascii="Times New Roman" w:hAnsi="Times New Roman" w:cs="Times New Roman"/>
          <w:sz w:val="18"/>
          <w:szCs w:val="18"/>
        </w:rPr>
        <w:t>，构建品牌与用户间的情感链接，加深品牌印象；参与中国食材电商节、西雅国际食品和饮料展览会等行业展会，增加品牌曝光度，加强与客户的洽谈合作；同时，作为世界肉类组织、中国肉类协会、山东健康肉产业联合会等行业协会的核心成员，积极参与行业标准制修订，推动产业发展。公司先后荣获</w:t>
      </w:r>
      <w:r w:rsidRPr="005B5EC1">
        <w:rPr>
          <w:rFonts w:ascii="Times New Roman" w:hAnsi="Times New Roman" w:cs="Times New Roman"/>
          <w:sz w:val="18"/>
          <w:szCs w:val="18"/>
        </w:rPr>
        <w:t>“</w:t>
      </w:r>
      <w:r w:rsidRPr="005B5EC1">
        <w:rPr>
          <w:rFonts w:ascii="Times New Roman" w:hAnsi="Times New Roman" w:cs="Times New Roman"/>
          <w:sz w:val="18"/>
          <w:szCs w:val="18"/>
        </w:rPr>
        <w:t>农业产业化国家重点龙头企业</w:t>
      </w:r>
      <w:r w:rsidRPr="005B5EC1">
        <w:rPr>
          <w:rFonts w:ascii="Times New Roman" w:hAnsi="Times New Roman" w:cs="Times New Roman"/>
          <w:sz w:val="18"/>
          <w:szCs w:val="18"/>
        </w:rPr>
        <w:t>”“</w:t>
      </w:r>
      <w:r w:rsidRPr="005B5EC1">
        <w:rPr>
          <w:rFonts w:ascii="Times New Roman" w:hAnsi="Times New Roman" w:cs="Times New Roman"/>
          <w:sz w:val="18"/>
          <w:szCs w:val="18"/>
        </w:rPr>
        <w:t>中国农业企业</w:t>
      </w:r>
      <w:r w:rsidRPr="005B5EC1">
        <w:rPr>
          <w:rFonts w:ascii="Times New Roman" w:hAnsi="Times New Roman" w:cs="Times New Roman"/>
          <w:sz w:val="18"/>
          <w:szCs w:val="18"/>
        </w:rPr>
        <w:t>500</w:t>
      </w:r>
      <w:r w:rsidRPr="005B5EC1">
        <w:rPr>
          <w:rFonts w:ascii="Times New Roman" w:hAnsi="Times New Roman" w:cs="Times New Roman"/>
          <w:sz w:val="18"/>
          <w:szCs w:val="18"/>
        </w:rPr>
        <w:t>强</w:t>
      </w:r>
      <w:r w:rsidRPr="005B5EC1">
        <w:rPr>
          <w:rFonts w:ascii="Times New Roman" w:hAnsi="Times New Roman" w:cs="Times New Roman"/>
          <w:sz w:val="18"/>
          <w:szCs w:val="18"/>
        </w:rPr>
        <w:t>”“</w:t>
      </w:r>
      <w:r w:rsidRPr="005B5EC1">
        <w:rPr>
          <w:rFonts w:ascii="Times New Roman" w:hAnsi="Times New Roman" w:cs="Times New Roman"/>
          <w:sz w:val="18"/>
          <w:szCs w:val="18"/>
        </w:rPr>
        <w:t>世界肉类组织双金会员</w:t>
      </w:r>
      <w:r w:rsidRPr="005B5EC1">
        <w:rPr>
          <w:rFonts w:ascii="Times New Roman" w:hAnsi="Times New Roman" w:cs="Times New Roman"/>
          <w:sz w:val="18"/>
          <w:szCs w:val="18"/>
        </w:rPr>
        <w:t>”“</w:t>
      </w:r>
      <w:r w:rsidRPr="005B5EC1">
        <w:rPr>
          <w:rFonts w:ascii="Times New Roman" w:hAnsi="Times New Roman" w:cs="Times New Roman"/>
          <w:sz w:val="18"/>
          <w:szCs w:val="18"/>
        </w:rPr>
        <w:t>中国肉类食品行业先进企业</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“2024</w:t>
      </w:r>
      <w:r w:rsidRPr="005B5EC1">
        <w:rPr>
          <w:rFonts w:ascii="Times New Roman" w:hAnsi="Times New Roman" w:cs="Times New Roman"/>
          <w:sz w:val="18"/>
          <w:szCs w:val="18"/>
        </w:rPr>
        <w:t>山东企业社会责任卓越实践</w:t>
      </w:r>
      <w:r w:rsidRPr="005B5EC1">
        <w:rPr>
          <w:rFonts w:ascii="Times New Roman" w:hAnsi="Times New Roman" w:cs="Times New Roman"/>
          <w:sz w:val="18"/>
          <w:szCs w:val="18"/>
        </w:rPr>
        <w:t>”</w:t>
      </w:r>
      <w:r w:rsidRPr="005B5EC1">
        <w:rPr>
          <w:rFonts w:ascii="Times New Roman" w:hAnsi="Times New Roman" w:cs="Times New Roman"/>
          <w:sz w:val="18"/>
          <w:szCs w:val="18"/>
        </w:rPr>
        <w:t>等多项荣誉。</w:t>
      </w:r>
    </w:p>
    <w:p w14:paraId="4D8C23C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7" w:name="_Toc988906"/>
      <w:r w:rsidRPr="005B5EC1">
        <w:rPr>
          <w:rFonts w:ascii="Times New Roman" w:eastAsia="宋体" w:hAnsi="Times New Roman" w:cs="Times New Roman"/>
          <w:b/>
          <w:bCs/>
          <w:sz w:val="24"/>
          <w:szCs w:val="24"/>
        </w:rPr>
        <w:t>四、主营业务分析</w:t>
      </w:r>
      <w:bookmarkEnd w:id="17"/>
    </w:p>
    <w:p w14:paraId="144485CC" w14:textId="77777777" w:rsidR="00E32FE0" w:rsidRPr="005B5EC1" w:rsidRDefault="00000000" w:rsidP="00BB1F9D">
      <w:pPr>
        <w:pStyle w:val="3"/>
        <w:spacing w:before="0" w:after="0" w:line="276" w:lineRule="auto"/>
        <w:ind w:firstLineChars="200" w:firstLine="422"/>
        <w:jc w:val="left"/>
        <w:rPr>
          <w:rFonts w:ascii="Times New Roman" w:hAnsi="Times New Roman" w:cs="Times New Roman"/>
          <w:b/>
          <w:bCs/>
          <w:sz w:val="18"/>
          <w:szCs w:val="18"/>
        </w:rPr>
      </w:pPr>
      <w:bookmarkStart w:id="18" w:name="_Toc988907"/>
      <w:r w:rsidRPr="005B5EC1">
        <w:rPr>
          <w:rFonts w:ascii="Times New Roman" w:hAnsi="Times New Roman" w:cs="Times New Roman"/>
          <w:b/>
          <w:bCs/>
        </w:rPr>
        <w:t>1</w:t>
      </w:r>
      <w:r w:rsidRPr="005B5EC1">
        <w:rPr>
          <w:rFonts w:ascii="Times New Roman" w:hAnsi="Times New Roman" w:cs="Times New Roman"/>
          <w:b/>
          <w:bCs/>
        </w:rPr>
        <w:t>、</w:t>
      </w:r>
      <w:r w:rsidRPr="005B5EC1">
        <w:rPr>
          <w:rFonts w:ascii="Times New Roman" w:hAnsi="Times New Roman" w:cs="Times New Roman"/>
          <w:b/>
          <w:bCs/>
          <w:sz w:val="18"/>
          <w:szCs w:val="18"/>
        </w:rPr>
        <w:t>概述</w:t>
      </w:r>
      <w:bookmarkEnd w:id="18"/>
    </w:p>
    <w:p w14:paraId="23CD9F0E" w14:textId="473EED00"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报告期内</w:t>
      </w:r>
      <w:r w:rsidR="00975D82">
        <w:rPr>
          <w:rFonts w:ascii="Times New Roman" w:hAnsi="Times New Roman" w:cs="Times New Roman" w:hint="eastAsia"/>
          <w:color w:val="000000"/>
          <w:sz w:val="18"/>
          <w:szCs w:val="18"/>
        </w:rPr>
        <w:t>，</w:t>
      </w:r>
      <w:r w:rsidRPr="005B5EC1">
        <w:rPr>
          <w:rFonts w:ascii="Times New Roman" w:hAnsi="Times New Roman" w:cs="Times New Roman"/>
          <w:color w:val="000000"/>
          <w:sz w:val="18"/>
          <w:szCs w:val="18"/>
        </w:rPr>
        <w:t>公司实现营业收入</w:t>
      </w:r>
      <w:r w:rsidRPr="005B5EC1">
        <w:rPr>
          <w:rFonts w:ascii="Times New Roman" w:hAnsi="Times New Roman" w:cs="Times New Roman"/>
          <w:color w:val="000000"/>
          <w:sz w:val="18"/>
          <w:szCs w:val="18"/>
        </w:rPr>
        <w:t>109.90</w:t>
      </w:r>
      <w:r w:rsidRPr="005B5EC1">
        <w:rPr>
          <w:rFonts w:ascii="Times New Roman" w:hAnsi="Times New Roman" w:cs="Times New Roman"/>
          <w:color w:val="000000"/>
          <w:sz w:val="18"/>
          <w:szCs w:val="18"/>
        </w:rPr>
        <w:t>亿元，与上期同比下降</w:t>
      </w:r>
      <w:r w:rsidRPr="005B5EC1">
        <w:rPr>
          <w:rFonts w:ascii="Times New Roman" w:hAnsi="Times New Roman" w:cs="Times New Roman"/>
          <w:color w:val="000000"/>
          <w:sz w:val="18"/>
          <w:szCs w:val="18"/>
        </w:rPr>
        <w:t>17.49%</w:t>
      </w:r>
      <w:r w:rsidRPr="005B5EC1">
        <w:rPr>
          <w:rFonts w:ascii="Times New Roman" w:hAnsi="Times New Roman" w:cs="Times New Roman"/>
          <w:color w:val="000000"/>
          <w:sz w:val="18"/>
          <w:szCs w:val="18"/>
        </w:rPr>
        <w:t>；实现归属于上市公司股东的净利润为</w:t>
      </w:r>
      <w:r w:rsidRPr="005B5EC1">
        <w:rPr>
          <w:rFonts w:ascii="Times New Roman" w:hAnsi="Times New Roman" w:cs="Times New Roman"/>
          <w:color w:val="000000"/>
          <w:sz w:val="18"/>
          <w:szCs w:val="18"/>
        </w:rPr>
        <w:t>0.22</w:t>
      </w:r>
      <w:r w:rsidRPr="005B5EC1">
        <w:rPr>
          <w:rFonts w:ascii="Times New Roman" w:hAnsi="Times New Roman" w:cs="Times New Roman"/>
          <w:color w:val="000000"/>
          <w:sz w:val="18"/>
          <w:szCs w:val="18"/>
        </w:rPr>
        <w:t>亿元，与上期同比上升</w:t>
      </w:r>
      <w:r w:rsidRPr="005B5EC1">
        <w:rPr>
          <w:rFonts w:ascii="Times New Roman" w:hAnsi="Times New Roman" w:cs="Times New Roman"/>
          <w:color w:val="000000"/>
          <w:sz w:val="18"/>
          <w:szCs w:val="18"/>
        </w:rPr>
        <w:t>101.41%</w:t>
      </w:r>
      <w:r w:rsidRPr="005B5EC1">
        <w:rPr>
          <w:rFonts w:ascii="Times New Roman" w:hAnsi="Times New Roman" w:cs="Times New Roman"/>
          <w:color w:val="000000"/>
          <w:sz w:val="18"/>
          <w:szCs w:val="18"/>
        </w:rPr>
        <w:t>。报告期末，公司总资产为</w:t>
      </w:r>
      <w:r w:rsidRPr="005B5EC1">
        <w:rPr>
          <w:rFonts w:ascii="Times New Roman" w:hAnsi="Times New Roman" w:cs="Times New Roman"/>
          <w:color w:val="000000"/>
          <w:sz w:val="18"/>
          <w:szCs w:val="18"/>
        </w:rPr>
        <w:t>58.79</w:t>
      </w:r>
      <w:r w:rsidRPr="005B5EC1">
        <w:rPr>
          <w:rFonts w:ascii="Times New Roman" w:hAnsi="Times New Roman" w:cs="Times New Roman"/>
          <w:color w:val="000000"/>
          <w:sz w:val="18"/>
          <w:szCs w:val="18"/>
        </w:rPr>
        <w:t>亿元，与上期同比下降</w:t>
      </w:r>
      <w:r w:rsidRPr="005B5EC1">
        <w:rPr>
          <w:rFonts w:ascii="Times New Roman" w:hAnsi="Times New Roman" w:cs="Times New Roman"/>
          <w:color w:val="000000"/>
          <w:sz w:val="18"/>
          <w:szCs w:val="18"/>
        </w:rPr>
        <w:t>6.93%</w:t>
      </w:r>
      <w:r w:rsidRPr="005B5EC1">
        <w:rPr>
          <w:rFonts w:ascii="Times New Roman" w:hAnsi="Times New Roman" w:cs="Times New Roman"/>
          <w:color w:val="000000"/>
          <w:sz w:val="18"/>
          <w:szCs w:val="18"/>
        </w:rPr>
        <w:t>；归属上市公司股东的净资产为</w:t>
      </w:r>
      <w:r w:rsidRPr="005B5EC1">
        <w:rPr>
          <w:rFonts w:ascii="Times New Roman" w:hAnsi="Times New Roman" w:cs="Times New Roman"/>
          <w:color w:val="000000"/>
          <w:sz w:val="18"/>
          <w:szCs w:val="18"/>
        </w:rPr>
        <w:t>15.03</w:t>
      </w:r>
      <w:r w:rsidRPr="005B5EC1">
        <w:rPr>
          <w:rFonts w:ascii="Times New Roman" w:hAnsi="Times New Roman" w:cs="Times New Roman"/>
          <w:color w:val="000000"/>
          <w:sz w:val="18"/>
          <w:szCs w:val="18"/>
        </w:rPr>
        <w:t>亿元，与上期同比上升</w:t>
      </w:r>
      <w:r w:rsidRPr="005B5EC1">
        <w:rPr>
          <w:rFonts w:ascii="Times New Roman" w:hAnsi="Times New Roman" w:cs="Times New Roman"/>
          <w:color w:val="000000"/>
          <w:sz w:val="18"/>
          <w:szCs w:val="18"/>
        </w:rPr>
        <w:t>1.44%</w:t>
      </w:r>
      <w:r w:rsidRPr="005B5EC1">
        <w:rPr>
          <w:rFonts w:ascii="Times New Roman" w:hAnsi="Times New Roman" w:cs="Times New Roman"/>
          <w:color w:val="000000"/>
          <w:sz w:val="18"/>
          <w:szCs w:val="18"/>
        </w:rPr>
        <w:t>。本年度公司经营业绩实现扭亏为盈，主要系本年度生猪及猪肉市场价格回暖，公司传统板块同比大幅减亏，同时公司根据战略规划，出售全资子公司通辽金泉食品有限责任公司获得投资收益所致。具体情况如下：</w:t>
      </w:r>
    </w:p>
    <w:p w14:paraId="225B9B8D"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1</w:t>
      </w:r>
      <w:r w:rsidRPr="005B5EC1">
        <w:rPr>
          <w:rFonts w:ascii="Times New Roman" w:hAnsi="Times New Roman" w:cs="Times New Roman"/>
          <w:color w:val="000000"/>
          <w:sz w:val="18"/>
          <w:szCs w:val="18"/>
        </w:rPr>
        <w:t>）聚焦食品业务</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进一步提高板块占比</w:t>
      </w:r>
    </w:p>
    <w:p w14:paraId="2F6B444B"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报告期内，公司持续聚焦食品主体业务，整体以降本增效、强化内控、利润导向为经营方针，持续推进以食品为主体战略。同时进一步优化产品结构，主动缩减低毛利业务规模，毛利率有所提升。报告期内，公司食品板块实现收入</w:t>
      </w:r>
      <w:r w:rsidRPr="005B5EC1">
        <w:rPr>
          <w:rFonts w:ascii="Times New Roman" w:hAnsi="Times New Roman" w:cs="Times New Roman"/>
          <w:color w:val="000000"/>
          <w:sz w:val="18"/>
          <w:szCs w:val="18"/>
        </w:rPr>
        <w:t>19.02</w:t>
      </w:r>
      <w:r w:rsidRPr="005B5EC1">
        <w:rPr>
          <w:rFonts w:ascii="Times New Roman" w:hAnsi="Times New Roman" w:cs="Times New Roman"/>
          <w:color w:val="000000"/>
          <w:sz w:val="18"/>
          <w:szCs w:val="18"/>
        </w:rPr>
        <w:t>亿元，较上年同期下降</w:t>
      </w:r>
      <w:r w:rsidRPr="005B5EC1">
        <w:rPr>
          <w:rFonts w:ascii="Times New Roman" w:hAnsi="Times New Roman" w:cs="Times New Roman"/>
          <w:color w:val="000000"/>
          <w:sz w:val="18"/>
          <w:szCs w:val="18"/>
        </w:rPr>
        <w:t>14.45%</w:t>
      </w:r>
      <w:r w:rsidRPr="005B5EC1">
        <w:rPr>
          <w:rFonts w:ascii="Times New Roman" w:hAnsi="Times New Roman" w:cs="Times New Roman"/>
          <w:color w:val="000000"/>
          <w:sz w:val="18"/>
          <w:szCs w:val="18"/>
        </w:rPr>
        <w:t>，占公司营业收入的比例由</w:t>
      </w:r>
      <w:r w:rsidRPr="005B5EC1">
        <w:rPr>
          <w:rFonts w:ascii="Times New Roman" w:hAnsi="Times New Roman" w:cs="Times New Roman"/>
          <w:color w:val="000000"/>
          <w:sz w:val="18"/>
          <w:szCs w:val="18"/>
        </w:rPr>
        <w:t>16.69%</w:t>
      </w:r>
      <w:r w:rsidRPr="005B5EC1">
        <w:rPr>
          <w:rFonts w:ascii="Times New Roman" w:hAnsi="Times New Roman" w:cs="Times New Roman"/>
          <w:color w:val="000000"/>
          <w:sz w:val="18"/>
          <w:szCs w:val="18"/>
        </w:rPr>
        <w:t>提升至</w:t>
      </w:r>
      <w:r w:rsidRPr="005B5EC1">
        <w:rPr>
          <w:rFonts w:ascii="Times New Roman" w:hAnsi="Times New Roman" w:cs="Times New Roman"/>
          <w:color w:val="000000"/>
          <w:sz w:val="18"/>
          <w:szCs w:val="18"/>
        </w:rPr>
        <w:t>17.31%</w:t>
      </w:r>
      <w:r w:rsidRPr="005B5EC1">
        <w:rPr>
          <w:rFonts w:ascii="Times New Roman" w:hAnsi="Times New Roman" w:cs="Times New Roman"/>
          <w:color w:val="000000"/>
          <w:sz w:val="18"/>
          <w:szCs w:val="18"/>
        </w:rPr>
        <w:t>；食品板块毛利率整体为</w:t>
      </w:r>
      <w:r w:rsidRPr="005B5EC1">
        <w:rPr>
          <w:rFonts w:ascii="Times New Roman" w:hAnsi="Times New Roman" w:cs="Times New Roman"/>
          <w:color w:val="000000"/>
          <w:sz w:val="18"/>
          <w:szCs w:val="18"/>
        </w:rPr>
        <w:t>11.23%</w:t>
      </w:r>
      <w:r w:rsidRPr="005B5EC1">
        <w:rPr>
          <w:rFonts w:ascii="Times New Roman" w:hAnsi="Times New Roman" w:cs="Times New Roman"/>
          <w:color w:val="000000"/>
          <w:sz w:val="18"/>
          <w:szCs w:val="18"/>
        </w:rPr>
        <w:t>，较上年同期增长</w:t>
      </w:r>
      <w:r w:rsidRPr="005B5EC1">
        <w:rPr>
          <w:rFonts w:ascii="Times New Roman" w:hAnsi="Times New Roman" w:cs="Times New Roman"/>
          <w:color w:val="000000"/>
          <w:sz w:val="18"/>
          <w:szCs w:val="18"/>
        </w:rPr>
        <w:t>1.11%</w:t>
      </w:r>
      <w:r w:rsidRPr="005B5EC1">
        <w:rPr>
          <w:rFonts w:ascii="Times New Roman" w:hAnsi="Times New Roman" w:cs="Times New Roman"/>
          <w:color w:val="000000"/>
          <w:sz w:val="18"/>
          <w:szCs w:val="18"/>
        </w:rPr>
        <w:t>。</w:t>
      </w:r>
    </w:p>
    <w:p w14:paraId="4127C371"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2</w:t>
      </w:r>
      <w:r w:rsidRPr="005B5EC1">
        <w:rPr>
          <w:rFonts w:ascii="Times New Roman" w:hAnsi="Times New Roman" w:cs="Times New Roman"/>
          <w:color w:val="000000"/>
          <w:sz w:val="18"/>
          <w:szCs w:val="18"/>
        </w:rPr>
        <w:t>）持续优化传统业务</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做好战略支撑</w:t>
      </w:r>
    </w:p>
    <w:p w14:paraId="2D81A9DB" w14:textId="68051103"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报告期内，公司屠宰业务实现收入</w:t>
      </w:r>
      <w:r w:rsidRPr="005B5EC1">
        <w:rPr>
          <w:rFonts w:ascii="Times New Roman" w:hAnsi="Times New Roman" w:cs="Times New Roman"/>
          <w:color w:val="000000"/>
          <w:sz w:val="18"/>
          <w:szCs w:val="18"/>
        </w:rPr>
        <w:t>89.91</w:t>
      </w:r>
      <w:r w:rsidRPr="005B5EC1">
        <w:rPr>
          <w:rFonts w:ascii="Times New Roman" w:hAnsi="Times New Roman" w:cs="Times New Roman"/>
          <w:color w:val="000000"/>
          <w:sz w:val="18"/>
          <w:szCs w:val="18"/>
        </w:rPr>
        <w:t>亿元，较上年同期下降</w:t>
      </w:r>
      <w:r w:rsidRPr="005B5EC1">
        <w:rPr>
          <w:rFonts w:ascii="Times New Roman" w:hAnsi="Times New Roman" w:cs="Times New Roman"/>
          <w:color w:val="000000"/>
          <w:sz w:val="18"/>
          <w:szCs w:val="18"/>
        </w:rPr>
        <w:t>6.65%</w:t>
      </w:r>
      <w:r w:rsidRPr="005B5EC1">
        <w:rPr>
          <w:rFonts w:ascii="Times New Roman" w:hAnsi="Times New Roman" w:cs="Times New Roman"/>
          <w:color w:val="000000"/>
          <w:sz w:val="18"/>
          <w:szCs w:val="18"/>
        </w:rPr>
        <w:t>，屠宰数量</w:t>
      </w:r>
      <w:r w:rsidRPr="005B5EC1">
        <w:rPr>
          <w:rFonts w:ascii="Times New Roman" w:hAnsi="Times New Roman" w:cs="Times New Roman"/>
          <w:color w:val="000000"/>
          <w:sz w:val="18"/>
          <w:szCs w:val="18"/>
        </w:rPr>
        <w:t>501.89</w:t>
      </w:r>
      <w:r w:rsidRPr="005B5EC1">
        <w:rPr>
          <w:rFonts w:ascii="Times New Roman" w:hAnsi="Times New Roman" w:cs="Times New Roman"/>
          <w:color w:val="000000"/>
          <w:sz w:val="18"/>
          <w:szCs w:val="18"/>
        </w:rPr>
        <w:t>万头，同比下降</w:t>
      </w:r>
      <w:r w:rsidRPr="005B5EC1">
        <w:rPr>
          <w:rFonts w:ascii="Times New Roman" w:hAnsi="Times New Roman" w:cs="Times New Roman"/>
          <w:color w:val="000000"/>
          <w:sz w:val="18"/>
          <w:szCs w:val="18"/>
        </w:rPr>
        <w:t>22.01%</w:t>
      </w:r>
      <w:r w:rsidRPr="005B5EC1">
        <w:rPr>
          <w:rFonts w:ascii="Times New Roman" w:hAnsi="Times New Roman" w:cs="Times New Roman"/>
          <w:color w:val="000000"/>
          <w:sz w:val="18"/>
          <w:szCs w:val="18"/>
        </w:rPr>
        <w:t>；生猪出栏量为</w:t>
      </w:r>
      <w:r w:rsidRPr="005B5EC1">
        <w:rPr>
          <w:rFonts w:ascii="Times New Roman" w:hAnsi="Times New Roman" w:cs="Times New Roman"/>
          <w:color w:val="000000"/>
          <w:sz w:val="18"/>
          <w:szCs w:val="18"/>
        </w:rPr>
        <w:t>38.24</w:t>
      </w:r>
      <w:r w:rsidRPr="005B5EC1">
        <w:rPr>
          <w:rFonts w:ascii="Times New Roman" w:hAnsi="Times New Roman" w:cs="Times New Roman"/>
          <w:color w:val="000000"/>
          <w:sz w:val="18"/>
          <w:szCs w:val="18"/>
        </w:rPr>
        <w:t>万头，同比下降</w:t>
      </w:r>
      <w:r w:rsidRPr="005B5EC1">
        <w:rPr>
          <w:rFonts w:ascii="Times New Roman" w:hAnsi="Times New Roman" w:cs="Times New Roman"/>
          <w:color w:val="000000"/>
          <w:sz w:val="18"/>
          <w:szCs w:val="18"/>
        </w:rPr>
        <w:t>41.17%</w:t>
      </w:r>
      <w:r w:rsidRPr="005B5EC1">
        <w:rPr>
          <w:rFonts w:ascii="Times New Roman" w:hAnsi="Times New Roman" w:cs="Times New Roman"/>
          <w:color w:val="000000"/>
          <w:sz w:val="18"/>
          <w:szCs w:val="18"/>
        </w:rPr>
        <w:t>，主要受市场行情波动和公司战略调整影响，公司对传统业务进行了持续的优化和调整。屠宰业务方面，公司主动缩减了部分产能利用率低及亏损严重的工厂的业务规模，提高盈利能力较好的单厂产能利用率，将资源集中到了华东及西南等优势区域。同时，公司通过加大自动化设备的投入，提高了产品</w:t>
      </w:r>
      <w:r w:rsidR="00204E98">
        <w:rPr>
          <w:rFonts w:ascii="Times New Roman" w:hAnsi="Times New Roman" w:cs="Times New Roman" w:hint="eastAsia"/>
          <w:color w:val="000000"/>
          <w:sz w:val="18"/>
          <w:szCs w:val="18"/>
        </w:rPr>
        <w:t>产</w:t>
      </w:r>
      <w:r w:rsidRPr="005B5EC1">
        <w:rPr>
          <w:rFonts w:ascii="Times New Roman" w:hAnsi="Times New Roman" w:cs="Times New Roman"/>
          <w:color w:val="000000"/>
          <w:sz w:val="18"/>
          <w:szCs w:val="18"/>
        </w:rPr>
        <w:t>出率，提升人工劳效，优化产品品质等方式为食品板块提供更好的基础支撑；养殖业务方面，公司主动淘汰了部分生产效率低、设施较老旧的养殖场，陆续投入以募投项目为基础的规模化、标准化、智能化养殖场，同时布局黑猪养殖，提升板块毛利水平。上述调整有效降低了公司运营成本，优化了资源配置，为食品业务的快速发展提供了有力支撑。</w:t>
      </w:r>
    </w:p>
    <w:p w14:paraId="625E0E4C"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3</w:t>
      </w:r>
      <w:r w:rsidRPr="005B5EC1">
        <w:rPr>
          <w:rFonts w:ascii="Times New Roman" w:hAnsi="Times New Roman" w:cs="Times New Roman"/>
          <w:color w:val="000000"/>
          <w:sz w:val="18"/>
          <w:szCs w:val="18"/>
        </w:rPr>
        <w:t>）优化产品体系，开创新增长曲线</w:t>
      </w:r>
    </w:p>
    <w:p w14:paraId="4D576E59"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报告期内，公司紧跟市场变化及消费者需求的多样性，依托山东、上海、四川三大研发中心。在以客户为中心的前提下，对新品需求进行评估，配合公司制定产品管理制度，不断对原有产品进行升级迭代的同时持续打造新产品，进一步优化公司的产品体系，提升产品市场竞争力。报告期内，公司通过以大单品为核心，以差异化为主打的策略，全年在产品端做了大量的推陈出新，从</w:t>
      </w:r>
      <w:r w:rsidRPr="005B5EC1">
        <w:rPr>
          <w:rFonts w:ascii="Times New Roman" w:hAnsi="Times New Roman" w:cs="Times New Roman"/>
          <w:color w:val="000000"/>
          <w:sz w:val="18"/>
          <w:szCs w:val="18"/>
        </w:rPr>
        <w:t>3</w:t>
      </w:r>
      <w:r w:rsidRPr="005B5EC1">
        <w:rPr>
          <w:rFonts w:ascii="Times New Roman" w:hAnsi="Times New Roman" w:cs="Times New Roman"/>
          <w:color w:val="000000"/>
          <w:sz w:val="18"/>
          <w:szCs w:val="18"/>
        </w:rPr>
        <w:t>月的</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龙大老火腿</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升级上新，到</w:t>
      </w:r>
      <w:r w:rsidRPr="005B5EC1">
        <w:rPr>
          <w:rFonts w:ascii="Times New Roman" w:hAnsi="Times New Roman" w:cs="Times New Roman"/>
          <w:color w:val="000000"/>
          <w:sz w:val="18"/>
          <w:szCs w:val="18"/>
        </w:rPr>
        <w:t>11</w:t>
      </w:r>
      <w:r w:rsidRPr="005B5EC1">
        <w:rPr>
          <w:rFonts w:ascii="Times New Roman" w:hAnsi="Times New Roman" w:cs="Times New Roman"/>
          <w:color w:val="000000"/>
          <w:sz w:val="18"/>
          <w:szCs w:val="18"/>
        </w:rPr>
        <w:t>月的</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龙大鲜食记</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爆汁鲜肉肠</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新品上市，基本维持了以月为频率的推新速度，</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炸货新势力</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新中式酱卤</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龙大黑天蓬</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等多个系列在</w:t>
      </w:r>
      <w:r w:rsidRPr="005B5EC1">
        <w:rPr>
          <w:rFonts w:ascii="Times New Roman" w:hAnsi="Times New Roman" w:cs="Times New Roman"/>
          <w:color w:val="000000"/>
          <w:sz w:val="18"/>
          <w:szCs w:val="18"/>
        </w:rPr>
        <w:t>B</w:t>
      </w:r>
      <w:r w:rsidRPr="005B5EC1">
        <w:rPr>
          <w:rFonts w:ascii="Times New Roman" w:hAnsi="Times New Roman" w:cs="Times New Roman"/>
          <w:color w:val="000000"/>
          <w:sz w:val="18"/>
          <w:szCs w:val="18"/>
        </w:rPr>
        <w:t>端市场、</w:t>
      </w:r>
      <w:r w:rsidRPr="005B5EC1">
        <w:rPr>
          <w:rFonts w:ascii="Times New Roman" w:hAnsi="Times New Roman" w:cs="Times New Roman"/>
          <w:color w:val="000000"/>
          <w:sz w:val="18"/>
          <w:szCs w:val="18"/>
        </w:rPr>
        <w:t>C</w:t>
      </w:r>
      <w:r w:rsidRPr="005B5EC1">
        <w:rPr>
          <w:rFonts w:ascii="Times New Roman" w:hAnsi="Times New Roman" w:cs="Times New Roman"/>
          <w:color w:val="000000"/>
          <w:sz w:val="18"/>
          <w:szCs w:val="18"/>
        </w:rPr>
        <w:t>端消费者群体中获得较好反馈。其中，新品轻卤肥肠上市后仅一个半月实现</w:t>
      </w:r>
      <w:r w:rsidRPr="005B5EC1">
        <w:rPr>
          <w:rFonts w:ascii="Times New Roman" w:hAnsi="Times New Roman" w:cs="Times New Roman"/>
          <w:color w:val="000000"/>
          <w:sz w:val="18"/>
          <w:szCs w:val="18"/>
        </w:rPr>
        <w:t>1,000</w:t>
      </w:r>
      <w:r w:rsidRPr="005B5EC1">
        <w:rPr>
          <w:rFonts w:ascii="Times New Roman" w:hAnsi="Times New Roman" w:cs="Times New Roman"/>
          <w:color w:val="000000"/>
          <w:sz w:val="18"/>
          <w:szCs w:val="18"/>
        </w:rPr>
        <w:t>万元的销售额，并在</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与辉同行</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山东行</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直播活动中实现</w:t>
      </w:r>
      <w:r w:rsidRPr="005B5EC1">
        <w:rPr>
          <w:rFonts w:ascii="Times New Roman" w:hAnsi="Times New Roman" w:cs="Times New Roman"/>
          <w:color w:val="000000"/>
          <w:sz w:val="18"/>
          <w:szCs w:val="18"/>
        </w:rPr>
        <w:t>GMV420</w:t>
      </w:r>
      <w:r w:rsidRPr="005B5EC1">
        <w:rPr>
          <w:rFonts w:ascii="Times New Roman" w:hAnsi="Times New Roman" w:cs="Times New Roman"/>
          <w:color w:val="000000"/>
          <w:sz w:val="18"/>
          <w:szCs w:val="18"/>
        </w:rPr>
        <w:t>万元；新品酱香牛肉上市以来月均销额突破</w:t>
      </w:r>
      <w:r w:rsidRPr="005B5EC1">
        <w:rPr>
          <w:rFonts w:ascii="Times New Roman" w:hAnsi="Times New Roman" w:cs="Times New Roman"/>
          <w:color w:val="000000"/>
          <w:sz w:val="18"/>
          <w:szCs w:val="18"/>
        </w:rPr>
        <w:t>200</w:t>
      </w:r>
      <w:r w:rsidRPr="005B5EC1">
        <w:rPr>
          <w:rFonts w:ascii="Times New Roman" w:hAnsi="Times New Roman" w:cs="Times New Roman"/>
          <w:color w:val="000000"/>
          <w:sz w:val="18"/>
          <w:szCs w:val="18"/>
        </w:rPr>
        <w:t>万元，整体销售额超</w:t>
      </w:r>
      <w:r w:rsidRPr="005B5EC1">
        <w:rPr>
          <w:rFonts w:ascii="Times New Roman" w:hAnsi="Times New Roman" w:cs="Times New Roman"/>
          <w:color w:val="000000"/>
          <w:sz w:val="18"/>
          <w:szCs w:val="18"/>
        </w:rPr>
        <w:t>1,000</w:t>
      </w:r>
      <w:r w:rsidRPr="005B5EC1">
        <w:rPr>
          <w:rFonts w:ascii="Times New Roman" w:hAnsi="Times New Roman" w:cs="Times New Roman"/>
          <w:color w:val="000000"/>
          <w:sz w:val="18"/>
          <w:szCs w:val="18"/>
        </w:rPr>
        <w:t>万元；</w:t>
      </w:r>
      <w:r w:rsidRPr="005B5EC1">
        <w:rPr>
          <w:rFonts w:ascii="Times New Roman" w:hAnsi="Times New Roman" w:cs="Times New Roman"/>
          <w:color w:val="000000"/>
          <w:sz w:val="18"/>
          <w:szCs w:val="18"/>
        </w:rPr>
        <w:t>24</w:t>
      </w:r>
      <w:r w:rsidRPr="005B5EC1">
        <w:rPr>
          <w:rFonts w:ascii="Times New Roman" w:hAnsi="Times New Roman" w:cs="Times New Roman"/>
          <w:color w:val="000000"/>
          <w:sz w:val="18"/>
          <w:szCs w:val="18"/>
        </w:rPr>
        <w:t>年</w:t>
      </w:r>
      <w:r w:rsidRPr="005B5EC1">
        <w:rPr>
          <w:rFonts w:ascii="Times New Roman" w:hAnsi="Times New Roman" w:cs="Times New Roman"/>
          <w:color w:val="000000"/>
          <w:sz w:val="18"/>
          <w:szCs w:val="18"/>
        </w:rPr>
        <w:t>12</w:t>
      </w:r>
      <w:r w:rsidRPr="005B5EC1">
        <w:rPr>
          <w:rFonts w:ascii="Times New Roman" w:hAnsi="Times New Roman" w:cs="Times New Roman"/>
          <w:color w:val="000000"/>
          <w:sz w:val="18"/>
          <w:szCs w:val="18"/>
        </w:rPr>
        <w:t>月初上市的</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鲜食记爆汁鲜肉肠</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上市首日线上直播销额突破</w:t>
      </w:r>
      <w:r w:rsidRPr="005B5EC1">
        <w:rPr>
          <w:rFonts w:ascii="Times New Roman" w:hAnsi="Times New Roman" w:cs="Times New Roman"/>
          <w:color w:val="000000"/>
          <w:sz w:val="18"/>
          <w:szCs w:val="18"/>
        </w:rPr>
        <w:t>1</w:t>
      </w:r>
      <w:r w:rsidRPr="005B5EC1">
        <w:rPr>
          <w:rFonts w:ascii="Times New Roman" w:hAnsi="Times New Roman" w:cs="Times New Roman"/>
          <w:color w:val="000000"/>
          <w:sz w:val="18"/>
          <w:szCs w:val="18"/>
        </w:rPr>
        <w:t>万单，并获得</w:t>
      </w:r>
      <w:proofErr w:type="spellStart"/>
      <w:r w:rsidRPr="005B5EC1">
        <w:rPr>
          <w:rFonts w:ascii="Times New Roman" w:hAnsi="Times New Roman" w:cs="Times New Roman"/>
          <w:color w:val="000000"/>
          <w:sz w:val="18"/>
          <w:szCs w:val="18"/>
        </w:rPr>
        <w:t>iSEE</w:t>
      </w:r>
      <w:proofErr w:type="spellEnd"/>
      <w:r w:rsidRPr="005B5EC1">
        <w:rPr>
          <w:rFonts w:ascii="Times New Roman" w:hAnsi="Times New Roman" w:cs="Times New Roman"/>
          <w:color w:val="000000"/>
          <w:sz w:val="18"/>
          <w:szCs w:val="18"/>
        </w:rPr>
        <w:t>全球食品创新奖。同时公司开创</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炸货</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卤货</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新增长曲线，利用油炸产品迅速建立渠道，酱卤作为公司特色产品植入推广，全年整体贡献额超</w:t>
      </w:r>
      <w:r w:rsidRPr="005B5EC1">
        <w:rPr>
          <w:rFonts w:ascii="Times New Roman" w:hAnsi="Times New Roman" w:cs="Times New Roman"/>
          <w:color w:val="000000"/>
          <w:sz w:val="18"/>
          <w:szCs w:val="18"/>
        </w:rPr>
        <w:t>5,000</w:t>
      </w:r>
      <w:r w:rsidRPr="005B5EC1">
        <w:rPr>
          <w:rFonts w:ascii="Times New Roman" w:hAnsi="Times New Roman" w:cs="Times New Roman"/>
          <w:color w:val="000000"/>
          <w:sz w:val="18"/>
          <w:szCs w:val="18"/>
        </w:rPr>
        <w:t>万元。</w:t>
      </w:r>
    </w:p>
    <w:p w14:paraId="2E312606"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4</w:t>
      </w:r>
      <w:r w:rsidRPr="005B5EC1">
        <w:rPr>
          <w:rFonts w:ascii="Times New Roman" w:hAnsi="Times New Roman" w:cs="Times New Roman"/>
          <w:color w:val="000000"/>
          <w:sz w:val="18"/>
          <w:szCs w:val="18"/>
        </w:rPr>
        <w:t>）实施渠道结构优化，加强新零售渠道建设</w:t>
      </w:r>
    </w:p>
    <w:p w14:paraId="2E8C77EB" w14:textId="05D91F24"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lastRenderedPageBreak/>
        <w:t>报告期内，公司始终坚持</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固老开新</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的渠道策略，以大客户为核心，通过</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勤拜访、强客情</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保产品、留存量</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扩品类、提增量</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等策略，积极了解产品销售情况，掌握市场一手信息，积极响应客户及市场需求；在稳定现有品项占比的前提下，积极应对竞争，依托客户场景、拓展品相提升合作粘性；同时通过与荷美尔、古龙食品、鑫博海、西贝餐饮集团、紫燕食品、巴比食品、振华集团、半天妖、韩宴餐饮等知名企业签订战略合作协议的方式，不断强化与核心大客户的业务关系，增加客户粘性。此外，不断加大新优质客户的开发，优化客户结构，扩充优质客户数量，实现客户数量规模增长的同时向质量转变</w:t>
      </w:r>
      <w:r w:rsidR="00901425">
        <w:rPr>
          <w:rFonts w:ascii="Times New Roman" w:hAnsi="Times New Roman" w:cs="Times New Roman" w:hint="eastAsia"/>
          <w:color w:val="000000"/>
          <w:sz w:val="18"/>
          <w:szCs w:val="18"/>
        </w:rPr>
        <w:t>。</w:t>
      </w:r>
      <w:r w:rsidRPr="005B5EC1">
        <w:rPr>
          <w:rFonts w:ascii="Times New Roman" w:hAnsi="Times New Roman" w:cs="Times New Roman"/>
          <w:color w:val="000000"/>
          <w:sz w:val="18"/>
          <w:szCs w:val="18"/>
        </w:rPr>
        <w:t>报告期内，公司聚焦西快渠道，累计新开发上百家客户，部分已实现订单转化，为公司食品业务增长提供新的动力。</w:t>
      </w:r>
    </w:p>
    <w:p w14:paraId="5DE12DA3" w14:textId="77777777" w:rsidR="00AF139E" w:rsidRPr="005B5EC1" w:rsidRDefault="00000000" w:rsidP="00BB1F9D">
      <w:pPr>
        <w:pStyle w:val="a3"/>
        <w:shd w:val="clear" w:color="auto" w:fill="FFFFFF"/>
        <w:spacing w:before="0" w:beforeAutospacing="0" w:after="0" w:afterAutospacing="0" w:line="276" w:lineRule="auto"/>
        <w:ind w:firstLineChars="200" w:firstLine="360"/>
        <w:divId w:val="2095710825"/>
        <w:rPr>
          <w:rFonts w:ascii="Times New Roman" w:hAnsi="Times New Roman" w:cs="Times New Roman"/>
          <w:sz w:val="18"/>
          <w:szCs w:val="18"/>
        </w:rPr>
      </w:pPr>
      <w:r w:rsidRPr="005B5EC1">
        <w:rPr>
          <w:rFonts w:ascii="Times New Roman" w:hAnsi="Times New Roman" w:cs="Times New Roman"/>
          <w:color w:val="000000"/>
          <w:sz w:val="18"/>
          <w:szCs w:val="18"/>
        </w:rPr>
        <w:t>此外，在新零售方面，公司持续强化品牌露出，深耕新零售渠道，以产品为主体，深挖产品潜力</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持续打造爆款产品，并构建了主播达人矩阵，依托各类短视频、直播进行线上推广，同时聚焦京东、拼多多等头部平台，深化私域业务。</w:t>
      </w:r>
    </w:p>
    <w:p w14:paraId="22A0BA0E"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报告期内公司线上销售收入突破</w:t>
      </w:r>
      <w:r w:rsidRPr="005B5EC1">
        <w:rPr>
          <w:rFonts w:ascii="Times New Roman" w:hAnsi="Times New Roman" w:cs="Times New Roman"/>
          <w:color w:val="000000"/>
          <w:sz w:val="18"/>
          <w:szCs w:val="18"/>
        </w:rPr>
        <w:t>1.59</w:t>
      </w:r>
      <w:r w:rsidRPr="005B5EC1">
        <w:rPr>
          <w:rFonts w:ascii="Times New Roman" w:hAnsi="Times New Roman" w:cs="Times New Roman"/>
          <w:color w:val="000000"/>
          <w:sz w:val="18"/>
          <w:szCs w:val="18"/>
        </w:rPr>
        <w:t>亿元，同比增长</w:t>
      </w:r>
      <w:r w:rsidRPr="005B5EC1">
        <w:rPr>
          <w:rFonts w:ascii="Times New Roman" w:hAnsi="Times New Roman" w:cs="Times New Roman"/>
          <w:color w:val="000000"/>
          <w:sz w:val="18"/>
          <w:szCs w:val="18"/>
        </w:rPr>
        <w:t>7.64%</w:t>
      </w:r>
      <w:r w:rsidRPr="005B5EC1">
        <w:rPr>
          <w:rFonts w:ascii="Times New Roman" w:hAnsi="Times New Roman" w:cs="Times New Roman"/>
          <w:color w:val="000000"/>
          <w:sz w:val="18"/>
          <w:szCs w:val="18"/>
        </w:rPr>
        <w:t>。</w:t>
      </w:r>
    </w:p>
    <w:p w14:paraId="0B0E7DE3"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5</w:t>
      </w:r>
      <w:r w:rsidRPr="005B5EC1">
        <w:rPr>
          <w:rFonts w:ascii="Times New Roman" w:hAnsi="Times New Roman" w:cs="Times New Roman"/>
          <w:color w:val="000000"/>
          <w:sz w:val="18"/>
          <w:szCs w:val="18"/>
        </w:rPr>
        <w:t>）加大品控管理，提升产品质量，保障食品安全</w:t>
      </w:r>
    </w:p>
    <w:p w14:paraId="460015ED"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报告期内，公司始终坚持把食品安全放在第一位，持续强化食品安全管控力度，制定了严格的操作程序和监控制度，对原材料和产成品的出入库进行标签管理。并进一步完善采购控制程序、过程和产品的测量程序、不合格品控制程序等质量保障程序。同时，不断提升产品质量抽检频率和抽检数量，对药残、食品添加剂、微生物三大风险进行严格把控，有效确保了食品生产加工的安全。报告期内，公司未发生重大食品安全事故。</w:t>
      </w:r>
    </w:p>
    <w:p w14:paraId="0C56023D" w14:textId="77777777"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6</w:t>
      </w:r>
      <w:r w:rsidRPr="005B5EC1">
        <w:rPr>
          <w:rFonts w:ascii="Times New Roman" w:hAnsi="Times New Roman" w:cs="Times New Roman"/>
          <w:color w:val="000000"/>
          <w:sz w:val="18"/>
          <w:szCs w:val="18"/>
        </w:rPr>
        <w:t>）打造全新</w:t>
      </w:r>
      <w:r w:rsidRPr="005B5EC1">
        <w:rPr>
          <w:rFonts w:ascii="Times New Roman" w:hAnsi="Times New Roman" w:cs="Times New Roman"/>
          <w:color w:val="000000"/>
          <w:sz w:val="18"/>
          <w:szCs w:val="18"/>
        </w:rPr>
        <w:t>IP</w:t>
      </w:r>
      <w:r w:rsidRPr="005B5EC1">
        <w:rPr>
          <w:rFonts w:ascii="Times New Roman" w:hAnsi="Times New Roman" w:cs="Times New Roman"/>
          <w:color w:val="000000"/>
          <w:sz w:val="18"/>
          <w:szCs w:val="18"/>
        </w:rPr>
        <w:t>，推进品牌升级</w:t>
      </w:r>
    </w:p>
    <w:p w14:paraId="5AA0892B" w14:textId="106BE866" w:rsidR="00AF139E" w:rsidRPr="005B5EC1" w:rsidRDefault="00000000" w:rsidP="00BB1F9D">
      <w:pPr>
        <w:pStyle w:val="a3"/>
        <w:spacing w:before="0" w:beforeAutospacing="0" w:after="0" w:afterAutospacing="0" w:line="276" w:lineRule="auto"/>
        <w:ind w:firstLineChars="200" w:firstLine="360"/>
        <w:jc w:val="both"/>
        <w:divId w:val="2095710825"/>
        <w:rPr>
          <w:rFonts w:ascii="Times New Roman" w:hAnsi="Times New Roman" w:cs="Times New Roman"/>
          <w:sz w:val="18"/>
          <w:szCs w:val="18"/>
        </w:rPr>
      </w:pPr>
      <w:r w:rsidRPr="005B5EC1">
        <w:rPr>
          <w:rFonts w:ascii="Times New Roman" w:hAnsi="Times New Roman" w:cs="Times New Roman"/>
          <w:color w:val="000000"/>
          <w:sz w:val="18"/>
          <w:szCs w:val="18"/>
        </w:rPr>
        <w:t>报告期内，公司坚持企业品牌</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龙大美食</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和产品品牌</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龙大肉食</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双品牌战略，积极维护品牌形象，不断推进品牌价值的传播。公司积极参加各类行业展会及交流活动，如</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良之隆</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第十二届中国食材电商节</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现代农业大健康产业发展大会</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烟台海派国际美食嘉年华</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“SIAL</w:t>
      </w:r>
      <w:r w:rsidRPr="005B5EC1">
        <w:rPr>
          <w:rFonts w:ascii="Times New Roman" w:hAnsi="Times New Roman" w:cs="Times New Roman"/>
          <w:color w:val="000000"/>
          <w:sz w:val="18"/>
          <w:szCs w:val="18"/>
        </w:rPr>
        <w:t>西雅国际食品和饮料展览会</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等，进一步提升公司行业影响力。同时，全新打造公司品牌</w:t>
      </w:r>
      <w:r w:rsidRPr="005B5EC1">
        <w:rPr>
          <w:rFonts w:ascii="Times New Roman" w:hAnsi="Times New Roman" w:cs="Times New Roman"/>
          <w:color w:val="000000"/>
          <w:sz w:val="18"/>
          <w:szCs w:val="18"/>
        </w:rPr>
        <w:t>IP“</w:t>
      </w:r>
      <w:r w:rsidRPr="005B5EC1">
        <w:rPr>
          <w:rFonts w:ascii="Times New Roman" w:hAnsi="Times New Roman" w:cs="Times New Roman"/>
          <w:color w:val="000000"/>
          <w:sz w:val="18"/>
          <w:szCs w:val="18"/>
        </w:rPr>
        <w:t>发发龙</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，融合</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让天下没有难做的美食</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的理念，打造了一个可爱、富有个性的品牌形象，在增强品牌亲和力，拉近与消费者的距离，传递出公司积极向上、品质发展的价值观。此外，公司在</w:t>
      </w:r>
      <w:r w:rsidRPr="005B5EC1">
        <w:rPr>
          <w:rFonts w:ascii="Times New Roman" w:hAnsi="Times New Roman" w:cs="Times New Roman"/>
          <w:color w:val="000000"/>
          <w:sz w:val="18"/>
          <w:szCs w:val="18"/>
        </w:rPr>
        <w:t>2024</w:t>
      </w:r>
      <w:r w:rsidRPr="005B5EC1">
        <w:rPr>
          <w:rFonts w:ascii="Times New Roman" w:hAnsi="Times New Roman" w:cs="Times New Roman"/>
          <w:color w:val="000000"/>
          <w:sz w:val="18"/>
          <w:szCs w:val="18"/>
        </w:rPr>
        <w:t>年布局黑猪产业，实施开展以黑猪养殖，打造多品类、差异化的产品模式，</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龙大黑天蓬</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黑猪肉上市得到广大消费者的认可。在公司品牌战略的推动下，品牌形象不断升级，并获得行业和市场的认可。报告期内，公司先后获得</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农业产业化国家重点龙头企业</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中国肉类食品安全信用体系建设示范项目</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“2024</w:t>
      </w:r>
      <w:r w:rsidRPr="005B5EC1">
        <w:rPr>
          <w:rFonts w:ascii="Times New Roman" w:hAnsi="Times New Roman" w:cs="Times New Roman"/>
          <w:color w:val="000000"/>
          <w:sz w:val="18"/>
          <w:szCs w:val="18"/>
        </w:rPr>
        <w:t>年中国农业企业</w:t>
      </w:r>
      <w:r w:rsidRPr="005B5EC1">
        <w:rPr>
          <w:rFonts w:ascii="Times New Roman" w:hAnsi="Times New Roman" w:cs="Times New Roman"/>
          <w:color w:val="000000"/>
          <w:sz w:val="18"/>
          <w:szCs w:val="18"/>
        </w:rPr>
        <w:t>500</w:t>
      </w:r>
      <w:r w:rsidRPr="005B5EC1">
        <w:rPr>
          <w:rFonts w:ascii="Times New Roman" w:hAnsi="Times New Roman" w:cs="Times New Roman"/>
          <w:color w:val="000000"/>
          <w:sz w:val="18"/>
          <w:szCs w:val="18"/>
        </w:rPr>
        <w:t>强</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世界肉类组织双金会员</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中国肉类食品行业先进企业</w:t>
      </w:r>
      <w:r w:rsidRPr="005B5EC1">
        <w:rPr>
          <w:rFonts w:ascii="Times New Roman" w:hAnsi="Times New Roman" w:cs="Times New Roman"/>
          <w:color w:val="000000"/>
          <w:sz w:val="18"/>
          <w:szCs w:val="18"/>
        </w:rPr>
        <w:t>”“2024</w:t>
      </w:r>
      <w:r w:rsidRPr="005B5EC1">
        <w:rPr>
          <w:rFonts w:ascii="Times New Roman" w:hAnsi="Times New Roman" w:cs="Times New Roman"/>
          <w:color w:val="000000"/>
          <w:sz w:val="18"/>
          <w:szCs w:val="18"/>
        </w:rPr>
        <w:t>山东企业社会责任卓越实践</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等荣誉。</w:t>
      </w:r>
    </w:p>
    <w:p w14:paraId="5BBB1A80" w14:textId="77777777" w:rsidR="00E32FE0" w:rsidRPr="005B5EC1" w:rsidRDefault="00000000">
      <w:pPr>
        <w:pStyle w:val="3"/>
        <w:spacing w:line="280" w:lineRule="exact"/>
        <w:jc w:val="left"/>
        <w:rPr>
          <w:rFonts w:ascii="Times New Roman" w:hAnsi="Times New Roman" w:cs="Times New Roman"/>
          <w:b/>
          <w:bCs/>
        </w:rPr>
      </w:pPr>
      <w:bookmarkStart w:id="19" w:name="_Toc988908"/>
      <w:r w:rsidRPr="005B5EC1">
        <w:rPr>
          <w:rFonts w:ascii="Times New Roman" w:hAnsi="Times New Roman" w:cs="Times New Roman"/>
          <w:b/>
          <w:bCs/>
        </w:rPr>
        <w:t>2</w:t>
      </w:r>
      <w:r w:rsidRPr="005B5EC1">
        <w:rPr>
          <w:rFonts w:ascii="Times New Roman" w:hAnsi="Times New Roman" w:cs="Times New Roman"/>
          <w:b/>
          <w:bCs/>
        </w:rPr>
        <w:t>、收入与成本</w:t>
      </w:r>
      <w:bookmarkEnd w:id="19"/>
    </w:p>
    <w:p w14:paraId="33F47F36"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0" w:name="_Toc988909"/>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营业收入构成</w:t>
      </w:r>
      <w:bookmarkEnd w:id="20"/>
    </w:p>
    <w:p w14:paraId="45C104DF"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7"/>
        <w:gridCol w:w="1606"/>
        <w:gridCol w:w="1607"/>
        <w:gridCol w:w="1607"/>
      </w:tblGrid>
      <w:tr w:rsidR="00E32FE0" w:rsidRPr="005B5EC1" w14:paraId="059174C9"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E4B914" w14:textId="77777777" w:rsidR="00E32FE0" w:rsidRPr="005B5EC1" w:rsidRDefault="00E32FE0">
            <w:pPr>
              <w:rPr>
                <w:rFonts w:ascii="Times New Roman" w:hAnsi="Times New Roman" w:cs="Times New Roman"/>
              </w:rPr>
            </w:pP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99CF47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55BDFB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A2187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同比增减</w:t>
            </w:r>
          </w:p>
        </w:tc>
      </w:tr>
      <w:tr w:rsidR="00E32FE0" w:rsidRPr="005B5EC1" w14:paraId="40E0CCD0"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39F78C"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2DA760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1EDA40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4BBA6E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DFF6C8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F41545" w14:textId="77777777" w:rsidR="00E32FE0" w:rsidRPr="005B5EC1" w:rsidRDefault="00E32FE0">
            <w:pPr>
              <w:rPr>
                <w:rFonts w:ascii="Times New Roman" w:hAnsi="Times New Roman" w:cs="Times New Roman"/>
              </w:rPr>
            </w:pPr>
          </w:p>
        </w:tc>
      </w:tr>
      <w:tr w:rsidR="00E32FE0" w:rsidRPr="005B5EC1" w14:paraId="38FE0EAB"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B1E0BC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14:paraId="1AB583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10,989,671,145.22</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081475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3A9AD0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13,318,473,211.90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02AE325"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6858FD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-17.49%</w:t>
            </w:r>
          </w:p>
        </w:tc>
      </w:tr>
      <w:tr w:rsidR="00E32FE0" w:rsidRPr="005B5EC1" w14:paraId="6D1C42A0"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05857D1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分行业</w:t>
            </w:r>
          </w:p>
        </w:tc>
      </w:tr>
      <w:tr w:rsidR="00E32FE0" w:rsidRPr="005B5EC1" w14:paraId="429CC35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034F69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屠宰行业</w:t>
            </w:r>
          </w:p>
        </w:tc>
        <w:tc>
          <w:tcPr>
            <w:tcW w:w="1606" w:type="dxa"/>
            <w:tcBorders>
              <w:top w:val="single" w:sz="2" w:space="0" w:color="auto"/>
              <w:left w:val="single" w:sz="2" w:space="0" w:color="auto"/>
              <w:bottom w:val="single" w:sz="2" w:space="0" w:color="auto"/>
              <w:right w:val="single" w:sz="2" w:space="0" w:color="auto"/>
            </w:tcBorders>
            <w:vAlign w:val="center"/>
          </w:tcPr>
          <w:p w14:paraId="3AE448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8,991,161,187.79</w:t>
            </w:r>
          </w:p>
        </w:tc>
        <w:tc>
          <w:tcPr>
            <w:tcW w:w="1606" w:type="dxa"/>
            <w:tcBorders>
              <w:top w:val="single" w:sz="2" w:space="0" w:color="auto"/>
              <w:left w:val="single" w:sz="2" w:space="0" w:color="auto"/>
              <w:bottom w:val="single" w:sz="2" w:space="0" w:color="auto"/>
              <w:right w:val="single" w:sz="2" w:space="0" w:color="auto"/>
            </w:tcBorders>
            <w:vAlign w:val="center"/>
          </w:tcPr>
          <w:p w14:paraId="62B9AF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81.81%</w:t>
            </w:r>
          </w:p>
        </w:tc>
        <w:tc>
          <w:tcPr>
            <w:tcW w:w="1606" w:type="dxa"/>
            <w:tcBorders>
              <w:top w:val="single" w:sz="2" w:space="0" w:color="auto"/>
              <w:left w:val="single" w:sz="2" w:space="0" w:color="auto"/>
              <w:bottom w:val="single" w:sz="2" w:space="0" w:color="auto"/>
              <w:right w:val="single" w:sz="2" w:space="0" w:color="auto"/>
            </w:tcBorders>
            <w:vAlign w:val="center"/>
          </w:tcPr>
          <w:p w14:paraId="088E51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9,631,433,952.20</w:t>
            </w:r>
          </w:p>
        </w:tc>
        <w:tc>
          <w:tcPr>
            <w:tcW w:w="1606" w:type="dxa"/>
            <w:tcBorders>
              <w:top w:val="single" w:sz="2" w:space="0" w:color="auto"/>
              <w:left w:val="single" w:sz="2" w:space="0" w:color="auto"/>
              <w:bottom w:val="single" w:sz="2" w:space="0" w:color="auto"/>
              <w:right w:val="single" w:sz="2" w:space="0" w:color="auto"/>
            </w:tcBorders>
            <w:vAlign w:val="center"/>
          </w:tcPr>
          <w:p w14:paraId="56C98A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72.32%</w:t>
            </w:r>
          </w:p>
        </w:tc>
        <w:tc>
          <w:tcPr>
            <w:tcW w:w="1606" w:type="dxa"/>
            <w:tcBorders>
              <w:top w:val="single" w:sz="2" w:space="0" w:color="auto"/>
              <w:left w:val="single" w:sz="2" w:space="0" w:color="auto"/>
              <w:bottom w:val="single" w:sz="2" w:space="0" w:color="auto"/>
              <w:right w:val="single" w:sz="2" w:space="0" w:color="auto"/>
            </w:tcBorders>
            <w:vAlign w:val="center"/>
          </w:tcPr>
          <w:p w14:paraId="0CD0D5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-6.65%</w:t>
            </w:r>
          </w:p>
        </w:tc>
      </w:tr>
      <w:tr w:rsidR="00E32FE0" w:rsidRPr="005B5EC1" w14:paraId="5E5613B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2FF6B0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食品行业</w:t>
            </w:r>
          </w:p>
        </w:tc>
        <w:tc>
          <w:tcPr>
            <w:tcW w:w="1606" w:type="dxa"/>
            <w:tcBorders>
              <w:top w:val="single" w:sz="2" w:space="0" w:color="auto"/>
              <w:left w:val="single" w:sz="2" w:space="0" w:color="auto"/>
              <w:bottom w:val="single" w:sz="2" w:space="0" w:color="auto"/>
              <w:right w:val="single" w:sz="2" w:space="0" w:color="auto"/>
            </w:tcBorders>
            <w:vAlign w:val="center"/>
          </w:tcPr>
          <w:p w14:paraId="6BBAA8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1,901,860,796.14</w:t>
            </w:r>
          </w:p>
        </w:tc>
        <w:tc>
          <w:tcPr>
            <w:tcW w:w="1606" w:type="dxa"/>
            <w:tcBorders>
              <w:top w:val="single" w:sz="2" w:space="0" w:color="auto"/>
              <w:left w:val="single" w:sz="2" w:space="0" w:color="auto"/>
              <w:bottom w:val="single" w:sz="2" w:space="0" w:color="auto"/>
              <w:right w:val="single" w:sz="2" w:space="0" w:color="auto"/>
            </w:tcBorders>
            <w:vAlign w:val="center"/>
          </w:tcPr>
          <w:p w14:paraId="72D60A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17.31%</w:t>
            </w:r>
          </w:p>
        </w:tc>
        <w:tc>
          <w:tcPr>
            <w:tcW w:w="1606" w:type="dxa"/>
            <w:tcBorders>
              <w:top w:val="single" w:sz="2" w:space="0" w:color="auto"/>
              <w:left w:val="single" w:sz="2" w:space="0" w:color="auto"/>
              <w:bottom w:val="single" w:sz="2" w:space="0" w:color="auto"/>
              <w:right w:val="single" w:sz="2" w:space="0" w:color="auto"/>
            </w:tcBorders>
            <w:vAlign w:val="center"/>
          </w:tcPr>
          <w:p w14:paraId="18645DE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2,223,116,880.36</w:t>
            </w:r>
          </w:p>
        </w:tc>
        <w:tc>
          <w:tcPr>
            <w:tcW w:w="1606" w:type="dxa"/>
            <w:tcBorders>
              <w:top w:val="single" w:sz="2" w:space="0" w:color="auto"/>
              <w:left w:val="single" w:sz="2" w:space="0" w:color="auto"/>
              <w:bottom w:val="single" w:sz="2" w:space="0" w:color="auto"/>
              <w:right w:val="single" w:sz="2" w:space="0" w:color="auto"/>
            </w:tcBorders>
            <w:vAlign w:val="center"/>
          </w:tcPr>
          <w:p w14:paraId="5D730C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16.69%</w:t>
            </w:r>
          </w:p>
        </w:tc>
        <w:tc>
          <w:tcPr>
            <w:tcW w:w="1606" w:type="dxa"/>
            <w:tcBorders>
              <w:top w:val="single" w:sz="2" w:space="0" w:color="auto"/>
              <w:left w:val="single" w:sz="2" w:space="0" w:color="auto"/>
              <w:bottom w:val="single" w:sz="2" w:space="0" w:color="auto"/>
              <w:right w:val="single" w:sz="2" w:space="0" w:color="auto"/>
            </w:tcBorders>
            <w:vAlign w:val="center"/>
          </w:tcPr>
          <w:p w14:paraId="21ABFE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-14.45%</w:t>
            </w:r>
          </w:p>
        </w:tc>
      </w:tr>
      <w:tr w:rsidR="00E32FE0" w:rsidRPr="005B5EC1" w14:paraId="3CAB069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73FC17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进口贸易</w:t>
            </w:r>
          </w:p>
        </w:tc>
        <w:tc>
          <w:tcPr>
            <w:tcW w:w="1606" w:type="dxa"/>
            <w:tcBorders>
              <w:top w:val="single" w:sz="2" w:space="0" w:color="auto"/>
              <w:left w:val="single" w:sz="2" w:space="0" w:color="auto"/>
              <w:bottom w:val="single" w:sz="2" w:space="0" w:color="auto"/>
              <w:right w:val="single" w:sz="2" w:space="0" w:color="auto"/>
            </w:tcBorders>
            <w:vAlign w:val="center"/>
          </w:tcPr>
          <w:p w14:paraId="53ED54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17,694,799.22</w:t>
            </w:r>
          </w:p>
        </w:tc>
        <w:tc>
          <w:tcPr>
            <w:tcW w:w="1606" w:type="dxa"/>
            <w:tcBorders>
              <w:top w:val="single" w:sz="2" w:space="0" w:color="auto"/>
              <w:left w:val="single" w:sz="2" w:space="0" w:color="auto"/>
              <w:bottom w:val="single" w:sz="2" w:space="0" w:color="auto"/>
              <w:right w:val="single" w:sz="2" w:space="0" w:color="auto"/>
            </w:tcBorders>
            <w:vAlign w:val="center"/>
          </w:tcPr>
          <w:p w14:paraId="52DA6E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0.16%</w:t>
            </w:r>
          </w:p>
        </w:tc>
        <w:tc>
          <w:tcPr>
            <w:tcW w:w="1606" w:type="dxa"/>
            <w:tcBorders>
              <w:top w:val="single" w:sz="2" w:space="0" w:color="auto"/>
              <w:left w:val="single" w:sz="2" w:space="0" w:color="auto"/>
              <w:bottom w:val="single" w:sz="2" w:space="0" w:color="auto"/>
              <w:right w:val="single" w:sz="2" w:space="0" w:color="auto"/>
            </w:tcBorders>
            <w:vAlign w:val="center"/>
          </w:tcPr>
          <w:p w14:paraId="20BE8F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1,123,029,725.45</w:t>
            </w:r>
          </w:p>
        </w:tc>
        <w:tc>
          <w:tcPr>
            <w:tcW w:w="1606" w:type="dxa"/>
            <w:tcBorders>
              <w:top w:val="single" w:sz="2" w:space="0" w:color="auto"/>
              <w:left w:val="single" w:sz="2" w:space="0" w:color="auto"/>
              <w:bottom w:val="single" w:sz="2" w:space="0" w:color="auto"/>
              <w:right w:val="single" w:sz="2" w:space="0" w:color="auto"/>
            </w:tcBorders>
            <w:vAlign w:val="center"/>
          </w:tcPr>
          <w:p w14:paraId="498385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8.43%</w:t>
            </w:r>
          </w:p>
        </w:tc>
        <w:tc>
          <w:tcPr>
            <w:tcW w:w="1606" w:type="dxa"/>
            <w:tcBorders>
              <w:top w:val="single" w:sz="2" w:space="0" w:color="auto"/>
              <w:left w:val="single" w:sz="2" w:space="0" w:color="auto"/>
              <w:bottom w:val="single" w:sz="2" w:space="0" w:color="auto"/>
              <w:right w:val="single" w:sz="2" w:space="0" w:color="auto"/>
            </w:tcBorders>
            <w:vAlign w:val="center"/>
          </w:tcPr>
          <w:p w14:paraId="5597D3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-98.42%</w:t>
            </w:r>
          </w:p>
        </w:tc>
      </w:tr>
      <w:tr w:rsidR="00E32FE0" w:rsidRPr="005B5EC1" w14:paraId="6789736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829A01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3FF01B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78,954,362.07</w:t>
            </w:r>
          </w:p>
        </w:tc>
        <w:tc>
          <w:tcPr>
            <w:tcW w:w="1606" w:type="dxa"/>
            <w:tcBorders>
              <w:top w:val="single" w:sz="2" w:space="0" w:color="auto"/>
              <w:left w:val="single" w:sz="2" w:space="0" w:color="auto"/>
              <w:bottom w:val="single" w:sz="2" w:space="0" w:color="auto"/>
              <w:right w:val="single" w:sz="2" w:space="0" w:color="auto"/>
            </w:tcBorders>
            <w:vAlign w:val="center"/>
          </w:tcPr>
          <w:p w14:paraId="79543D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0.72%</w:t>
            </w:r>
          </w:p>
        </w:tc>
        <w:tc>
          <w:tcPr>
            <w:tcW w:w="1606" w:type="dxa"/>
            <w:tcBorders>
              <w:top w:val="single" w:sz="2" w:space="0" w:color="auto"/>
              <w:left w:val="single" w:sz="2" w:space="0" w:color="auto"/>
              <w:bottom w:val="single" w:sz="2" w:space="0" w:color="auto"/>
              <w:right w:val="single" w:sz="2" w:space="0" w:color="auto"/>
            </w:tcBorders>
            <w:vAlign w:val="center"/>
          </w:tcPr>
          <w:p w14:paraId="2FCC149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340,892,653.89</w:t>
            </w:r>
          </w:p>
        </w:tc>
        <w:tc>
          <w:tcPr>
            <w:tcW w:w="1606" w:type="dxa"/>
            <w:tcBorders>
              <w:top w:val="single" w:sz="2" w:space="0" w:color="auto"/>
              <w:left w:val="single" w:sz="2" w:space="0" w:color="auto"/>
              <w:bottom w:val="single" w:sz="2" w:space="0" w:color="auto"/>
              <w:right w:val="single" w:sz="2" w:space="0" w:color="auto"/>
            </w:tcBorders>
            <w:vAlign w:val="center"/>
          </w:tcPr>
          <w:p w14:paraId="433F92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2.56%</w:t>
            </w:r>
          </w:p>
        </w:tc>
        <w:tc>
          <w:tcPr>
            <w:tcW w:w="1606" w:type="dxa"/>
            <w:tcBorders>
              <w:top w:val="single" w:sz="2" w:space="0" w:color="auto"/>
              <w:left w:val="single" w:sz="2" w:space="0" w:color="auto"/>
              <w:bottom w:val="single" w:sz="2" w:space="0" w:color="auto"/>
              <w:right w:val="single" w:sz="2" w:space="0" w:color="auto"/>
            </w:tcBorders>
            <w:vAlign w:val="center"/>
          </w:tcPr>
          <w:p w14:paraId="78E796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-76.84%</w:t>
            </w:r>
          </w:p>
        </w:tc>
      </w:tr>
      <w:tr w:rsidR="00E32FE0" w:rsidRPr="005B5EC1" w14:paraId="5D55A368"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1F1E029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分产品</w:t>
            </w:r>
          </w:p>
        </w:tc>
      </w:tr>
      <w:tr w:rsidR="00E32FE0" w:rsidRPr="005B5EC1" w14:paraId="6F8D8BFA"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96ABD1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鲜冻肉</w:t>
            </w:r>
          </w:p>
        </w:tc>
        <w:tc>
          <w:tcPr>
            <w:tcW w:w="1606" w:type="dxa"/>
            <w:tcBorders>
              <w:top w:val="single" w:sz="2" w:space="0" w:color="auto"/>
              <w:left w:val="single" w:sz="2" w:space="0" w:color="auto"/>
              <w:bottom w:val="single" w:sz="2" w:space="0" w:color="auto"/>
              <w:right w:val="single" w:sz="2" w:space="0" w:color="auto"/>
            </w:tcBorders>
            <w:vAlign w:val="center"/>
          </w:tcPr>
          <w:p w14:paraId="4EE54C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8,991,161,187.79</w:t>
            </w:r>
          </w:p>
        </w:tc>
        <w:tc>
          <w:tcPr>
            <w:tcW w:w="1606" w:type="dxa"/>
            <w:tcBorders>
              <w:top w:val="single" w:sz="2" w:space="0" w:color="auto"/>
              <w:left w:val="single" w:sz="2" w:space="0" w:color="auto"/>
              <w:bottom w:val="single" w:sz="2" w:space="0" w:color="auto"/>
              <w:right w:val="single" w:sz="2" w:space="0" w:color="auto"/>
            </w:tcBorders>
            <w:vAlign w:val="center"/>
          </w:tcPr>
          <w:p w14:paraId="4DB9D9E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81.81%</w:t>
            </w:r>
          </w:p>
        </w:tc>
        <w:tc>
          <w:tcPr>
            <w:tcW w:w="1606" w:type="dxa"/>
            <w:tcBorders>
              <w:top w:val="single" w:sz="2" w:space="0" w:color="auto"/>
              <w:left w:val="single" w:sz="2" w:space="0" w:color="auto"/>
              <w:bottom w:val="single" w:sz="2" w:space="0" w:color="auto"/>
              <w:right w:val="single" w:sz="2" w:space="0" w:color="auto"/>
            </w:tcBorders>
            <w:vAlign w:val="center"/>
          </w:tcPr>
          <w:p w14:paraId="6DE9B1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9,631,433,952.20</w:t>
            </w:r>
          </w:p>
        </w:tc>
        <w:tc>
          <w:tcPr>
            <w:tcW w:w="1606" w:type="dxa"/>
            <w:tcBorders>
              <w:top w:val="single" w:sz="2" w:space="0" w:color="auto"/>
              <w:left w:val="single" w:sz="2" w:space="0" w:color="auto"/>
              <w:bottom w:val="single" w:sz="2" w:space="0" w:color="auto"/>
              <w:right w:val="single" w:sz="2" w:space="0" w:color="auto"/>
            </w:tcBorders>
            <w:vAlign w:val="center"/>
          </w:tcPr>
          <w:p w14:paraId="394CB2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72.32%</w:t>
            </w:r>
          </w:p>
        </w:tc>
        <w:tc>
          <w:tcPr>
            <w:tcW w:w="1606" w:type="dxa"/>
            <w:tcBorders>
              <w:top w:val="single" w:sz="2" w:space="0" w:color="auto"/>
              <w:left w:val="single" w:sz="2" w:space="0" w:color="auto"/>
              <w:bottom w:val="single" w:sz="2" w:space="0" w:color="auto"/>
              <w:right w:val="single" w:sz="2" w:space="0" w:color="auto"/>
            </w:tcBorders>
            <w:vAlign w:val="center"/>
          </w:tcPr>
          <w:p w14:paraId="4E5D62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-6.65%</w:t>
            </w:r>
          </w:p>
        </w:tc>
      </w:tr>
      <w:tr w:rsidR="00E32FE0" w:rsidRPr="005B5EC1" w14:paraId="7BE9B65E"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43FF8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熟食制品</w:t>
            </w:r>
          </w:p>
        </w:tc>
        <w:tc>
          <w:tcPr>
            <w:tcW w:w="1606" w:type="dxa"/>
            <w:tcBorders>
              <w:top w:val="single" w:sz="2" w:space="0" w:color="auto"/>
              <w:left w:val="single" w:sz="2" w:space="0" w:color="auto"/>
              <w:bottom w:val="single" w:sz="2" w:space="0" w:color="auto"/>
              <w:right w:val="single" w:sz="2" w:space="0" w:color="auto"/>
            </w:tcBorders>
            <w:vAlign w:val="center"/>
          </w:tcPr>
          <w:p w14:paraId="452452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215,242,047.27</w:t>
            </w:r>
          </w:p>
        </w:tc>
        <w:tc>
          <w:tcPr>
            <w:tcW w:w="1606" w:type="dxa"/>
            <w:tcBorders>
              <w:top w:val="single" w:sz="2" w:space="0" w:color="auto"/>
              <w:left w:val="single" w:sz="2" w:space="0" w:color="auto"/>
              <w:bottom w:val="single" w:sz="2" w:space="0" w:color="auto"/>
              <w:right w:val="single" w:sz="2" w:space="0" w:color="auto"/>
            </w:tcBorders>
            <w:vAlign w:val="center"/>
          </w:tcPr>
          <w:p w14:paraId="1D6C6E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1.96%</w:t>
            </w:r>
          </w:p>
        </w:tc>
        <w:tc>
          <w:tcPr>
            <w:tcW w:w="1606" w:type="dxa"/>
            <w:tcBorders>
              <w:top w:val="single" w:sz="2" w:space="0" w:color="auto"/>
              <w:left w:val="single" w:sz="2" w:space="0" w:color="auto"/>
              <w:bottom w:val="single" w:sz="2" w:space="0" w:color="auto"/>
              <w:right w:val="single" w:sz="2" w:space="0" w:color="auto"/>
            </w:tcBorders>
            <w:vAlign w:val="center"/>
          </w:tcPr>
          <w:p w14:paraId="63CB89B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239,312,078.33</w:t>
            </w:r>
          </w:p>
        </w:tc>
        <w:tc>
          <w:tcPr>
            <w:tcW w:w="1606" w:type="dxa"/>
            <w:tcBorders>
              <w:top w:val="single" w:sz="2" w:space="0" w:color="auto"/>
              <w:left w:val="single" w:sz="2" w:space="0" w:color="auto"/>
              <w:bottom w:val="single" w:sz="2" w:space="0" w:color="auto"/>
              <w:right w:val="single" w:sz="2" w:space="0" w:color="auto"/>
            </w:tcBorders>
            <w:vAlign w:val="center"/>
          </w:tcPr>
          <w:p w14:paraId="126E20D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w:t>
            </w:r>
          </w:p>
        </w:tc>
        <w:tc>
          <w:tcPr>
            <w:tcW w:w="1606" w:type="dxa"/>
            <w:tcBorders>
              <w:top w:val="single" w:sz="2" w:space="0" w:color="auto"/>
              <w:left w:val="single" w:sz="2" w:space="0" w:color="auto"/>
              <w:bottom w:val="single" w:sz="2" w:space="0" w:color="auto"/>
              <w:right w:val="single" w:sz="2" w:space="0" w:color="auto"/>
            </w:tcBorders>
            <w:vAlign w:val="center"/>
          </w:tcPr>
          <w:p w14:paraId="25EFCF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-10.06%</w:t>
            </w:r>
          </w:p>
        </w:tc>
      </w:tr>
      <w:tr w:rsidR="00E32FE0" w:rsidRPr="005B5EC1" w14:paraId="57F5932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00639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预制食品</w:t>
            </w:r>
          </w:p>
        </w:tc>
        <w:tc>
          <w:tcPr>
            <w:tcW w:w="1606" w:type="dxa"/>
            <w:tcBorders>
              <w:top w:val="single" w:sz="2" w:space="0" w:color="auto"/>
              <w:left w:val="single" w:sz="2" w:space="0" w:color="auto"/>
              <w:bottom w:val="single" w:sz="2" w:space="0" w:color="auto"/>
              <w:right w:val="single" w:sz="2" w:space="0" w:color="auto"/>
            </w:tcBorders>
            <w:vAlign w:val="center"/>
          </w:tcPr>
          <w:p w14:paraId="19E2292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1,686,618,748.87</w:t>
            </w:r>
          </w:p>
        </w:tc>
        <w:tc>
          <w:tcPr>
            <w:tcW w:w="1606" w:type="dxa"/>
            <w:tcBorders>
              <w:top w:val="single" w:sz="2" w:space="0" w:color="auto"/>
              <w:left w:val="single" w:sz="2" w:space="0" w:color="auto"/>
              <w:bottom w:val="single" w:sz="2" w:space="0" w:color="auto"/>
              <w:right w:val="single" w:sz="2" w:space="0" w:color="auto"/>
            </w:tcBorders>
            <w:vAlign w:val="center"/>
          </w:tcPr>
          <w:p w14:paraId="1450C1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15.35%</w:t>
            </w:r>
          </w:p>
        </w:tc>
        <w:tc>
          <w:tcPr>
            <w:tcW w:w="1606" w:type="dxa"/>
            <w:tcBorders>
              <w:top w:val="single" w:sz="2" w:space="0" w:color="auto"/>
              <w:left w:val="single" w:sz="2" w:space="0" w:color="auto"/>
              <w:bottom w:val="single" w:sz="2" w:space="0" w:color="auto"/>
              <w:right w:val="single" w:sz="2" w:space="0" w:color="auto"/>
            </w:tcBorders>
            <w:vAlign w:val="center"/>
          </w:tcPr>
          <w:p w14:paraId="791D89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1,983,804,802.03</w:t>
            </w:r>
          </w:p>
        </w:tc>
        <w:tc>
          <w:tcPr>
            <w:tcW w:w="1606" w:type="dxa"/>
            <w:tcBorders>
              <w:top w:val="single" w:sz="2" w:space="0" w:color="auto"/>
              <w:left w:val="single" w:sz="2" w:space="0" w:color="auto"/>
              <w:bottom w:val="single" w:sz="2" w:space="0" w:color="auto"/>
              <w:right w:val="single" w:sz="2" w:space="0" w:color="auto"/>
            </w:tcBorders>
            <w:vAlign w:val="center"/>
          </w:tcPr>
          <w:p w14:paraId="7D3E24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14.89%</w:t>
            </w:r>
          </w:p>
        </w:tc>
        <w:tc>
          <w:tcPr>
            <w:tcW w:w="1606" w:type="dxa"/>
            <w:tcBorders>
              <w:top w:val="single" w:sz="2" w:space="0" w:color="auto"/>
              <w:left w:val="single" w:sz="2" w:space="0" w:color="auto"/>
              <w:bottom w:val="single" w:sz="2" w:space="0" w:color="auto"/>
              <w:right w:val="single" w:sz="2" w:space="0" w:color="auto"/>
            </w:tcBorders>
            <w:vAlign w:val="center"/>
          </w:tcPr>
          <w:p w14:paraId="541C2C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-14.98%</w:t>
            </w:r>
          </w:p>
        </w:tc>
      </w:tr>
      <w:tr w:rsidR="00E32FE0" w:rsidRPr="005B5EC1" w14:paraId="71344EE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31A814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进口贸易</w:t>
            </w:r>
          </w:p>
        </w:tc>
        <w:tc>
          <w:tcPr>
            <w:tcW w:w="1606" w:type="dxa"/>
            <w:tcBorders>
              <w:top w:val="single" w:sz="2" w:space="0" w:color="auto"/>
              <w:left w:val="single" w:sz="2" w:space="0" w:color="auto"/>
              <w:bottom w:val="single" w:sz="2" w:space="0" w:color="auto"/>
              <w:right w:val="single" w:sz="2" w:space="0" w:color="auto"/>
            </w:tcBorders>
            <w:vAlign w:val="center"/>
          </w:tcPr>
          <w:p w14:paraId="2ADE594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17,694,799.22</w:t>
            </w:r>
          </w:p>
        </w:tc>
        <w:tc>
          <w:tcPr>
            <w:tcW w:w="1606" w:type="dxa"/>
            <w:tcBorders>
              <w:top w:val="single" w:sz="2" w:space="0" w:color="auto"/>
              <w:left w:val="single" w:sz="2" w:space="0" w:color="auto"/>
              <w:bottom w:val="single" w:sz="2" w:space="0" w:color="auto"/>
              <w:right w:val="single" w:sz="2" w:space="0" w:color="auto"/>
            </w:tcBorders>
            <w:vAlign w:val="center"/>
          </w:tcPr>
          <w:p w14:paraId="2F140C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0.16%</w:t>
            </w:r>
          </w:p>
        </w:tc>
        <w:tc>
          <w:tcPr>
            <w:tcW w:w="1606" w:type="dxa"/>
            <w:tcBorders>
              <w:top w:val="single" w:sz="2" w:space="0" w:color="auto"/>
              <w:left w:val="single" w:sz="2" w:space="0" w:color="auto"/>
              <w:bottom w:val="single" w:sz="2" w:space="0" w:color="auto"/>
              <w:right w:val="single" w:sz="2" w:space="0" w:color="auto"/>
            </w:tcBorders>
            <w:vAlign w:val="center"/>
          </w:tcPr>
          <w:p w14:paraId="2F3DF5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1,123,029,725.45</w:t>
            </w:r>
          </w:p>
        </w:tc>
        <w:tc>
          <w:tcPr>
            <w:tcW w:w="1606" w:type="dxa"/>
            <w:tcBorders>
              <w:top w:val="single" w:sz="2" w:space="0" w:color="auto"/>
              <w:left w:val="single" w:sz="2" w:space="0" w:color="auto"/>
              <w:bottom w:val="single" w:sz="2" w:space="0" w:color="auto"/>
              <w:right w:val="single" w:sz="2" w:space="0" w:color="auto"/>
            </w:tcBorders>
            <w:vAlign w:val="center"/>
          </w:tcPr>
          <w:p w14:paraId="76EE65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8.43%</w:t>
            </w:r>
          </w:p>
        </w:tc>
        <w:tc>
          <w:tcPr>
            <w:tcW w:w="1606" w:type="dxa"/>
            <w:tcBorders>
              <w:top w:val="single" w:sz="2" w:space="0" w:color="auto"/>
              <w:left w:val="single" w:sz="2" w:space="0" w:color="auto"/>
              <w:bottom w:val="single" w:sz="2" w:space="0" w:color="auto"/>
              <w:right w:val="single" w:sz="2" w:space="0" w:color="auto"/>
            </w:tcBorders>
            <w:vAlign w:val="center"/>
          </w:tcPr>
          <w:p w14:paraId="32B552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-98.42%</w:t>
            </w:r>
          </w:p>
        </w:tc>
      </w:tr>
      <w:tr w:rsidR="00E32FE0" w:rsidRPr="005B5EC1" w14:paraId="7FF6343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EC4459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4AADAE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78,954,362.07</w:t>
            </w:r>
          </w:p>
        </w:tc>
        <w:tc>
          <w:tcPr>
            <w:tcW w:w="1606" w:type="dxa"/>
            <w:tcBorders>
              <w:top w:val="single" w:sz="2" w:space="0" w:color="auto"/>
              <w:left w:val="single" w:sz="2" w:space="0" w:color="auto"/>
              <w:bottom w:val="single" w:sz="2" w:space="0" w:color="auto"/>
              <w:right w:val="single" w:sz="2" w:space="0" w:color="auto"/>
            </w:tcBorders>
            <w:vAlign w:val="center"/>
          </w:tcPr>
          <w:p w14:paraId="040C7B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0.72%</w:t>
            </w:r>
          </w:p>
        </w:tc>
        <w:tc>
          <w:tcPr>
            <w:tcW w:w="1606" w:type="dxa"/>
            <w:tcBorders>
              <w:top w:val="single" w:sz="2" w:space="0" w:color="auto"/>
              <w:left w:val="single" w:sz="2" w:space="0" w:color="auto"/>
              <w:bottom w:val="single" w:sz="2" w:space="0" w:color="auto"/>
              <w:right w:val="single" w:sz="2" w:space="0" w:color="auto"/>
            </w:tcBorders>
            <w:vAlign w:val="center"/>
          </w:tcPr>
          <w:p w14:paraId="6DDE78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340,892,653.89</w:t>
            </w:r>
          </w:p>
        </w:tc>
        <w:tc>
          <w:tcPr>
            <w:tcW w:w="1606" w:type="dxa"/>
            <w:tcBorders>
              <w:top w:val="single" w:sz="2" w:space="0" w:color="auto"/>
              <w:left w:val="single" w:sz="2" w:space="0" w:color="auto"/>
              <w:bottom w:val="single" w:sz="2" w:space="0" w:color="auto"/>
              <w:right w:val="single" w:sz="2" w:space="0" w:color="auto"/>
            </w:tcBorders>
            <w:vAlign w:val="center"/>
          </w:tcPr>
          <w:p w14:paraId="0AB8996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2.56%</w:t>
            </w:r>
          </w:p>
        </w:tc>
        <w:tc>
          <w:tcPr>
            <w:tcW w:w="1606" w:type="dxa"/>
            <w:tcBorders>
              <w:top w:val="single" w:sz="2" w:space="0" w:color="auto"/>
              <w:left w:val="single" w:sz="2" w:space="0" w:color="auto"/>
              <w:bottom w:val="single" w:sz="2" w:space="0" w:color="auto"/>
              <w:right w:val="single" w:sz="2" w:space="0" w:color="auto"/>
            </w:tcBorders>
            <w:vAlign w:val="center"/>
          </w:tcPr>
          <w:p w14:paraId="66E1D0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-76.84%</w:t>
            </w:r>
          </w:p>
        </w:tc>
      </w:tr>
      <w:tr w:rsidR="00E32FE0" w:rsidRPr="005B5EC1" w14:paraId="23FC9C71"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33E317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分地区</w:t>
            </w:r>
          </w:p>
        </w:tc>
      </w:tr>
      <w:tr w:rsidR="00E32FE0" w:rsidRPr="005B5EC1" w14:paraId="1205EBB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D0A58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山东省内</w:t>
            </w:r>
          </w:p>
        </w:tc>
        <w:tc>
          <w:tcPr>
            <w:tcW w:w="1606" w:type="dxa"/>
            <w:tcBorders>
              <w:top w:val="single" w:sz="2" w:space="0" w:color="auto"/>
              <w:left w:val="single" w:sz="2" w:space="0" w:color="auto"/>
              <w:bottom w:val="single" w:sz="2" w:space="0" w:color="auto"/>
              <w:right w:val="single" w:sz="2" w:space="0" w:color="auto"/>
            </w:tcBorders>
            <w:vAlign w:val="center"/>
          </w:tcPr>
          <w:p w14:paraId="00EBF1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4,051,103,732.47</w:t>
            </w:r>
          </w:p>
        </w:tc>
        <w:tc>
          <w:tcPr>
            <w:tcW w:w="1606" w:type="dxa"/>
            <w:tcBorders>
              <w:top w:val="single" w:sz="2" w:space="0" w:color="auto"/>
              <w:left w:val="single" w:sz="2" w:space="0" w:color="auto"/>
              <w:bottom w:val="single" w:sz="2" w:space="0" w:color="auto"/>
              <w:right w:val="single" w:sz="2" w:space="0" w:color="auto"/>
            </w:tcBorders>
            <w:vAlign w:val="center"/>
          </w:tcPr>
          <w:p w14:paraId="76A70F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36.86%</w:t>
            </w:r>
          </w:p>
        </w:tc>
        <w:tc>
          <w:tcPr>
            <w:tcW w:w="1606" w:type="dxa"/>
            <w:tcBorders>
              <w:top w:val="single" w:sz="2" w:space="0" w:color="auto"/>
              <w:left w:val="single" w:sz="2" w:space="0" w:color="auto"/>
              <w:bottom w:val="single" w:sz="2" w:space="0" w:color="auto"/>
              <w:right w:val="single" w:sz="2" w:space="0" w:color="auto"/>
            </w:tcBorders>
            <w:vAlign w:val="center"/>
          </w:tcPr>
          <w:p w14:paraId="020C46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5,077,770,225.48</w:t>
            </w:r>
          </w:p>
        </w:tc>
        <w:tc>
          <w:tcPr>
            <w:tcW w:w="1606" w:type="dxa"/>
            <w:tcBorders>
              <w:top w:val="single" w:sz="2" w:space="0" w:color="auto"/>
              <w:left w:val="single" w:sz="2" w:space="0" w:color="auto"/>
              <w:bottom w:val="single" w:sz="2" w:space="0" w:color="auto"/>
              <w:right w:val="single" w:sz="2" w:space="0" w:color="auto"/>
            </w:tcBorders>
            <w:vAlign w:val="center"/>
          </w:tcPr>
          <w:p w14:paraId="2C04FC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38.13%</w:t>
            </w:r>
          </w:p>
        </w:tc>
        <w:tc>
          <w:tcPr>
            <w:tcW w:w="1606" w:type="dxa"/>
            <w:tcBorders>
              <w:top w:val="single" w:sz="2" w:space="0" w:color="auto"/>
              <w:left w:val="single" w:sz="2" w:space="0" w:color="auto"/>
              <w:bottom w:val="single" w:sz="2" w:space="0" w:color="auto"/>
              <w:right w:val="single" w:sz="2" w:space="0" w:color="auto"/>
            </w:tcBorders>
            <w:vAlign w:val="center"/>
          </w:tcPr>
          <w:p w14:paraId="566594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p>
        </w:tc>
      </w:tr>
      <w:tr w:rsidR="00E32FE0" w:rsidRPr="005B5EC1" w14:paraId="467C9D43"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830CC2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华东其他地区</w:t>
            </w:r>
          </w:p>
        </w:tc>
        <w:tc>
          <w:tcPr>
            <w:tcW w:w="1606" w:type="dxa"/>
            <w:tcBorders>
              <w:top w:val="single" w:sz="2" w:space="0" w:color="auto"/>
              <w:left w:val="single" w:sz="2" w:space="0" w:color="auto"/>
              <w:bottom w:val="single" w:sz="2" w:space="0" w:color="auto"/>
              <w:right w:val="single" w:sz="2" w:space="0" w:color="auto"/>
            </w:tcBorders>
            <w:vAlign w:val="center"/>
          </w:tcPr>
          <w:p w14:paraId="531409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3,001,781,612.48</w:t>
            </w:r>
          </w:p>
        </w:tc>
        <w:tc>
          <w:tcPr>
            <w:tcW w:w="1606" w:type="dxa"/>
            <w:tcBorders>
              <w:top w:val="single" w:sz="2" w:space="0" w:color="auto"/>
              <w:left w:val="single" w:sz="2" w:space="0" w:color="auto"/>
              <w:bottom w:val="single" w:sz="2" w:space="0" w:color="auto"/>
              <w:right w:val="single" w:sz="2" w:space="0" w:color="auto"/>
            </w:tcBorders>
            <w:vAlign w:val="center"/>
          </w:tcPr>
          <w:p w14:paraId="42BC27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27.32%</w:t>
            </w:r>
          </w:p>
        </w:tc>
        <w:tc>
          <w:tcPr>
            <w:tcW w:w="1606" w:type="dxa"/>
            <w:tcBorders>
              <w:top w:val="single" w:sz="2" w:space="0" w:color="auto"/>
              <w:left w:val="single" w:sz="2" w:space="0" w:color="auto"/>
              <w:bottom w:val="single" w:sz="2" w:space="0" w:color="auto"/>
              <w:right w:val="single" w:sz="2" w:space="0" w:color="auto"/>
            </w:tcBorders>
            <w:vAlign w:val="center"/>
          </w:tcPr>
          <w:p w14:paraId="4748CF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3,825,477,417.59</w:t>
            </w:r>
          </w:p>
        </w:tc>
        <w:tc>
          <w:tcPr>
            <w:tcW w:w="1606" w:type="dxa"/>
            <w:tcBorders>
              <w:top w:val="single" w:sz="2" w:space="0" w:color="auto"/>
              <w:left w:val="single" w:sz="2" w:space="0" w:color="auto"/>
              <w:bottom w:val="single" w:sz="2" w:space="0" w:color="auto"/>
              <w:right w:val="single" w:sz="2" w:space="0" w:color="auto"/>
            </w:tcBorders>
            <w:vAlign w:val="center"/>
          </w:tcPr>
          <w:p w14:paraId="4F430D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28.72%</w:t>
            </w:r>
          </w:p>
        </w:tc>
        <w:tc>
          <w:tcPr>
            <w:tcW w:w="1606" w:type="dxa"/>
            <w:tcBorders>
              <w:top w:val="single" w:sz="2" w:space="0" w:color="auto"/>
              <w:left w:val="single" w:sz="2" w:space="0" w:color="auto"/>
              <w:bottom w:val="single" w:sz="2" w:space="0" w:color="auto"/>
              <w:right w:val="single" w:sz="2" w:space="0" w:color="auto"/>
            </w:tcBorders>
            <w:vAlign w:val="center"/>
          </w:tcPr>
          <w:p w14:paraId="5A749B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-21.53%</w:t>
            </w:r>
          </w:p>
        </w:tc>
      </w:tr>
      <w:tr w:rsidR="00E32FE0" w:rsidRPr="005B5EC1" w14:paraId="3AC523F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5A9F1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华中地区</w:t>
            </w:r>
          </w:p>
        </w:tc>
        <w:tc>
          <w:tcPr>
            <w:tcW w:w="1606" w:type="dxa"/>
            <w:tcBorders>
              <w:top w:val="single" w:sz="2" w:space="0" w:color="auto"/>
              <w:left w:val="single" w:sz="2" w:space="0" w:color="auto"/>
              <w:bottom w:val="single" w:sz="2" w:space="0" w:color="auto"/>
              <w:right w:val="single" w:sz="2" w:space="0" w:color="auto"/>
            </w:tcBorders>
            <w:vAlign w:val="center"/>
          </w:tcPr>
          <w:p w14:paraId="539AE8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1,596,771,366.22</w:t>
            </w:r>
          </w:p>
        </w:tc>
        <w:tc>
          <w:tcPr>
            <w:tcW w:w="1606" w:type="dxa"/>
            <w:tcBorders>
              <w:top w:val="single" w:sz="2" w:space="0" w:color="auto"/>
              <w:left w:val="single" w:sz="2" w:space="0" w:color="auto"/>
              <w:bottom w:val="single" w:sz="2" w:space="0" w:color="auto"/>
              <w:right w:val="single" w:sz="2" w:space="0" w:color="auto"/>
            </w:tcBorders>
            <w:vAlign w:val="center"/>
          </w:tcPr>
          <w:p w14:paraId="78CD7B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14.53%</w:t>
            </w:r>
          </w:p>
        </w:tc>
        <w:tc>
          <w:tcPr>
            <w:tcW w:w="1606" w:type="dxa"/>
            <w:tcBorders>
              <w:top w:val="single" w:sz="2" w:space="0" w:color="auto"/>
              <w:left w:val="single" w:sz="2" w:space="0" w:color="auto"/>
              <w:bottom w:val="single" w:sz="2" w:space="0" w:color="auto"/>
              <w:right w:val="single" w:sz="2" w:space="0" w:color="auto"/>
            </w:tcBorders>
            <w:vAlign w:val="center"/>
          </w:tcPr>
          <w:p w14:paraId="7E1A08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1,737,411,639.64</w:t>
            </w:r>
          </w:p>
        </w:tc>
        <w:tc>
          <w:tcPr>
            <w:tcW w:w="1606" w:type="dxa"/>
            <w:tcBorders>
              <w:top w:val="single" w:sz="2" w:space="0" w:color="auto"/>
              <w:left w:val="single" w:sz="2" w:space="0" w:color="auto"/>
              <w:bottom w:val="single" w:sz="2" w:space="0" w:color="auto"/>
              <w:right w:val="single" w:sz="2" w:space="0" w:color="auto"/>
            </w:tcBorders>
            <w:vAlign w:val="center"/>
          </w:tcPr>
          <w:p w14:paraId="47CAB8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13.05%</w:t>
            </w:r>
          </w:p>
        </w:tc>
        <w:tc>
          <w:tcPr>
            <w:tcW w:w="1606" w:type="dxa"/>
            <w:tcBorders>
              <w:top w:val="single" w:sz="2" w:space="0" w:color="auto"/>
              <w:left w:val="single" w:sz="2" w:space="0" w:color="auto"/>
              <w:bottom w:val="single" w:sz="2" w:space="0" w:color="auto"/>
              <w:right w:val="single" w:sz="2" w:space="0" w:color="auto"/>
            </w:tcBorders>
            <w:vAlign w:val="center"/>
          </w:tcPr>
          <w:p w14:paraId="471990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-8.09%</w:t>
            </w:r>
          </w:p>
        </w:tc>
      </w:tr>
      <w:tr w:rsidR="00E32FE0" w:rsidRPr="005B5EC1" w14:paraId="7A9CFD2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802B50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华北地区</w:t>
            </w:r>
          </w:p>
        </w:tc>
        <w:tc>
          <w:tcPr>
            <w:tcW w:w="1606" w:type="dxa"/>
            <w:tcBorders>
              <w:top w:val="single" w:sz="2" w:space="0" w:color="auto"/>
              <w:left w:val="single" w:sz="2" w:space="0" w:color="auto"/>
              <w:bottom w:val="single" w:sz="2" w:space="0" w:color="auto"/>
              <w:right w:val="single" w:sz="2" w:space="0" w:color="auto"/>
            </w:tcBorders>
            <w:vAlign w:val="center"/>
          </w:tcPr>
          <w:p w14:paraId="5AE844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551,915,369.93</w:t>
            </w:r>
          </w:p>
        </w:tc>
        <w:tc>
          <w:tcPr>
            <w:tcW w:w="1606" w:type="dxa"/>
            <w:tcBorders>
              <w:top w:val="single" w:sz="2" w:space="0" w:color="auto"/>
              <w:left w:val="single" w:sz="2" w:space="0" w:color="auto"/>
              <w:bottom w:val="single" w:sz="2" w:space="0" w:color="auto"/>
              <w:right w:val="single" w:sz="2" w:space="0" w:color="auto"/>
            </w:tcBorders>
            <w:vAlign w:val="center"/>
          </w:tcPr>
          <w:p w14:paraId="1BA47C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5.02%</w:t>
            </w:r>
          </w:p>
        </w:tc>
        <w:tc>
          <w:tcPr>
            <w:tcW w:w="1606" w:type="dxa"/>
            <w:tcBorders>
              <w:top w:val="single" w:sz="2" w:space="0" w:color="auto"/>
              <w:left w:val="single" w:sz="2" w:space="0" w:color="auto"/>
              <w:bottom w:val="single" w:sz="2" w:space="0" w:color="auto"/>
              <w:right w:val="single" w:sz="2" w:space="0" w:color="auto"/>
            </w:tcBorders>
            <w:vAlign w:val="center"/>
          </w:tcPr>
          <w:p w14:paraId="104B5F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658,460,825.64</w:t>
            </w:r>
          </w:p>
        </w:tc>
        <w:tc>
          <w:tcPr>
            <w:tcW w:w="1606" w:type="dxa"/>
            <w:tcBorders>
              <w:top w:val="single" w:sz="2" w:space="0" w:color="auto"/>
              <w:left w:val="single" w:sz="2" w:space="0" w:color="auto"/>
              <w:bottom w:val="single" w:sz="2" w:space="0" w:color="auto"/>
              <w:right w:val="single" w:sz="2" w:space="0" w:color="auto"/>
            </w:tcBorders>
            <w:vAlign w:val="center"/>
          </w:tcPr>
          <w:p w14:paraId="368C4A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4.94%</w:t>
            </w:r>
          </w:p>
        </w:tc>
        <w:tc>
          <w:tcPr>
            <w:tcW w:w="1606" w:type="dxa"/>
            <w:tcBorders>
              <w:top w:val="single" w:sz="2" w:space="0" w:color="auto"/>
              <w:left w:val="single" w:sz="2" w:space="0" w:color="auto"/>
              <w:bottom w:val="single" w:sz="2" w:space="0" w:color="auto"/>
              <w:right w:val="single" w:sz="2" w:space="0" w:color="auto"/>
            </w:tcBorders>
            <w:vAlign w:val="center"/>
          </w:tcPr>
          <w:p w14:paraId="3F13EDF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-16.18%</w:t>
            </w:r>
          </w:p>
        </w:tc>
      </w:tr>
      <w:tr w:rsidR="00E32FE0" w:rsidRPr="005B5EC1" w14:paraId="68B843CC"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3A9055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华南地区</w:t>
            </w:r>
          </w:p>
        </w:tc>
        <w:tc>
          <w:tcPr>
            <w:tcW w:w="1606" w:type="dxa"/>
            <w:tcBorders>
              <w:top w:val="single" w:sz="2" w:space="0" w:color="auto"/>
              <w:left w:val="single" w:sz="2" w:space="0" w:color="auto"/>
              <w:bottom w:val="single" w:sz="2" w:space="0" w:color="auto"/>
              <w:right w:val="single" w:sz="2" w:space="0" w:color="auto"/>
            </w:tcBorders>
            <w:vAlign w:val="center"/>
          </w:tcPr>
          <w:p w14:paraId="363E56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222,832,027.76</w:t>
            </w:r>
          </w:p>
        </w:tc>
        <w:tc>
          <w:tcPr>
            <w:tcW w:w="1606" w:type="dxa"/>
            <w:tcBorders>
              <w:top w:val="single" w:sz="2" w:space="0" w:color="auto"/>
              <w:left w:val="single" w:sz="2" w:space="0" w:color="auto"/>
              <w:bottom w:val="single" w:sz="2" w:space="0" w:color="auto"/>
              <w:right w:val="single" w:sz="2" w:space="0" w:color="auto"/>
            </w:tcBorders>
            <w:vAlign w:val="center"/>
          </w:tcPr>
          <w:p w14:paraId="10776E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2.03%</w:t>
            </w:r>
          </w:p>
        </w:tc>
        <w:tc>
          <w:tcPr>
            <w:tcW w:w="1606" w:type="dxa"/>
            <w:tcBorders>
              <w:top w:val="single" w:sz="2" w:space="0" w:color="auto"/>
              <w:left w:val="single" w:sz="2" w:space="0" w:color="auto"/>
              <w:bottom w:val="single" w:sz="2" w:space="0" w:color="auto"/>
              <w:right w:val="single" w:sz="2" w:space="0" w:color="auto"/>
            </w:tcBorders>
            <w:vAlign w:val="center"/>
          </w:tcPr>
          <w:p w14:paraId="50C8160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358,544,517.87</w:t>
            </w:r>
          </w:p>
        </w:tc>
        <w:tc>
          <w:tcPr>
            <w:tcW w:w="1606" w:type="dxa"/>
            <w:tcBorders>
              <w:top w:val="single" w:sz="2" w:space="0" w:color="auto"/>
              <w:left w:val="single" w:sz="2" w:space="0" w:color="auto"/>
              <w:bottom w:val="single" w:sz="2" w:space="0" w:color="auto"/>
              <w:right w:val="single" w:sz="2" w:space="0" w:color="auto"/>
            </w:tcBorders>
            <w:vAlign w:val="center"/>
          </w:tcPr>
          <w:p w14:paraId="27017C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2.69%</w:t>
            </w:r>
          </w:p>
        </w:tc>
        <w:tc>
          <w:tcPr>
            <w:tcW w:w="1606" w:type="dxa"/>
            <w:tcBorders>
              <w:top w:val="single" w:sz="2" w:space="0" w:color="auto"/>
              <w:left w:val="single" w:sz="2" w:space="0" w:color="auto"/>
              <w:bottom w:val="single" w:sz="2" w:space="0" w:color="auto"/>
              <w:right w:val="single" w:sz="2" w:space="0" w:color="auto"/>
            </w:tcBorders>
            <w:vAlign w:val="center"/>
          </w:tcPr>
          <w:p w14:paraId="7F07C9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-37.85%</w:t>
            </w:r>
          </w:p>
        </w:tc>
      </w:tr>
      <w:tr w:rsidR="00E32FE0" w:rsidRPr="005B5EC1" w14:paraId="654370B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00DC7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东北地区</w:t>
            </w:r>
          </w:p>
        </w:tc>
        <w:tc>
          <w:tcPr>
            <w:tcW w:w="1606" w:type="dxa"/>
            <w:tcBorders>
              <w:top w:val="single" w:sz="2" w:space="0" w:color="auto"/>
              <w:left w:val="single" w:sz="2" w:space="0" w:color="auto"/>
              <w:bottom w:val="single" w:sz="2" w:space="0" w:color="auto"/>
              <w:right w:val="single" w:sz="2" w:space="0" w:color="auto"/>
            </w:tcBorders>
            <w:vAlign w:val="center"/>
          </w:tcPr>
          <w:p w14:paraId="2BB4AD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802,822,144.06</w:t>
            </w:r>
          </w:p>
        </w:tc>
        <w:tc>
          <w:tcPr>
            <w:tcW w:w="1606" w:type="dxa"/>
            <w:tcBorders>
              <w:top w:val="single" w:sz="2" w:space="0" w:color="auto"/>
              <w:left w:val="single" w:sz="2" w:space="0" w:color="auto"/>
              <w:bottom w:val="single" w:sz="2" w:space="0" w:color="auto"/>
              <w:right w:val="single" w:sz="2" w:space="0" w:color="auto"/>
            </w:tcBorders>
            <w:vAlign w:val="center"/>
          </w:tcPr>
          <w:p w14:paraId="4D777D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7.31%</w:t>
            </w:r>
          </w:p>
        </w:tc>
        <w:tc>
          <w:tcPr>
            <w:tcW w:w="1606" w:type="dxa"/>
            <w:tcBorders>
              <w:top w:val="single" w:sz="2" w:space="0" w:color="auto"/>
              <w:left w:val="single" w:sz="2" w:space="0" w:color="auto"/>
              <w:bottom w:val="single" w:sz="2" w:space="0" w:color="auto"/>
              <w:right w:val="single" w:sz="2" w:space="0" w:color="auto"/>
            </w:tcBorders>
            <w:vAlign w:val="center"/>
          </w:tcPr>
          <w:p w14:paraId="7C1CFC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941,552,814.77</w:t>
            </w:r>
          </w:p>
        </w:tc>
        <w:tc>
          <w:tcPr>
            <w:tcW w:w="1606" w:type="dxa"/>
            <w:tcBorders>
              <w:top w:val="single" w:sz="2" w:space="0" w:color="auto"/>
              <w:left w:val="single" w:sz="2" w:space="0" w:color="auto"/>
              <w:bottom w:val="single" w:sz="2" w:space="0" w:color="auto"/>
              <w:right w:val="single" w:sz="2" w:space="0" w:color="auto"/>
            </w:tcBorders>
            <w:vAlign w:val="center"/>
          </w:tcPr>
          <w:p w14:paraId="7F213C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7.07%</w:t>
            </w:r>
          </w:p>
        </w:tc>
        <w:tc>
          <w:tcPr>
            <w:tcW w:w="1606" w:type="dxa"/>
            <w:tcBorders>
              <w:top w:val="single" w:sz="2" w:space="0" w:color="auto"/>
              <w:left w:val="single" w:sz="2" w:space="0" w:color="auto"/>
              <w:bottom w:val="single" w:sz="2" w:space="0" w:color="auto"/>
              <w:right w:val="single" w:sz="2" w:space="0" w:color="auto"/>
            </w:tcBorders>
            <w:vAlign w:val="center"/>
          </w:tcPr>
          <w:p w14:paraId="390DE6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-14.73%</w:t>
            </w:r>
          </w:p>
        </w:tc>
      </w:tr>
      <w:tr w:rsidR="00E32FE0" w:rsidRPr="005B5EC1" w14:paraId="52021B96"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747CA5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西南地区</w:t>
            </w:r>
          </w:p>
        </w:tc>
        <w:tc>
          <w:tcPr>
            <w:tcW w:w="1606" w:type="dxa"/>
            <w:tcBorders>
              <w:top w:val="single" w:sz="2" w:space="0" w:color="auto"/>
              <w:left w:val="single" w:sz="2" w:space="0" w:color="auto"/>
              <w:bottom w:val="single" w:sz="2" w:space="0" w:color="auto"/>
              <w:right w:val="single" w:sz="2" w:space="0" w:color="auto"/>
            </w:tcBorders>
            <w:vAlign w:val="center"/>
          </w:tcPr>
          <w:p w14:paraId="482A25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715,811,416.89</w:t>
            </w:r>
          </w:p>
        </w:tc>
        <w:tc>
          <w:tcPr>
            <w:tcW w:w="1606" w:type="dxa"/>
            <w:tcBorders>
              <w:top w:val="single" w:sz="2" w:space="0" w:color="auto"/>
              <w:left w:val="single" w:sz="2" w:space="0" w:color="auto"/>
              <w:bottom w:val="single" w:sz="2" w:space="0" w:color="auto"/>
              <w:right w:val="single" w:sz="2" w:space="0" w:color="auto"/>
            </w:tcBorders>
            <w:vAlign w:val="center"/>
          </w:tcPr>
          <w:p w14:paraId="13E8AF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6.51%</w:t>
            </w:r>
          </w:p>
        </w:tc>
        <w:tc>
          <w:tcPr>
            <w:tcW w:w="1606" w:type="dxa"/>
            <w:tcBorders>
              <w:top w:val="single" w:sz="2" w:space="0" w:color="auto"/>
              <w:left w:val="single" w:sz="2" w:space="0" w:color="auto"/>
              <w:bottom w:val="single" w:sz="2" w:space="0" w:color="auto"/>
              <w:right w:val="single" w:sz="2" w:space="0" w:color="auto"/>
            </w:tcBorders>
            <w:vAlign w:val="center"/>
          </w:tcPr>
          <w:p w14:paraId="609F34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645,730,141.35</w:t>
            </w:r>
          </w:p>
        </w:tc>
        <w:tc>
          <w:tcPr>
            <w:tcW w:w="1606" w:type="dxa"/>
            <w:tcBorders>
              <w:top w:val="single" w:sz="2" w:space="0" w:color="auto"/>
              <w:left w:val="single" w:sz="2" w:space="0" w:color="auto"/>
              <w:bottom w:val="single" w:sz="2" w:space="0" w:color="auto"/>
              <w:right w:val="single" w:sz="2" w:space="0" w:color="auto"/>
            </w:tcBorders>
            <w:vAlign w:val="center"/>
          </w:tcPr>
          <w:p w14:paraId="56A190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4.85%</w:t>
            </w:r>
          </w:p>
        </w:tc>
        <w:tc>
          <w:tcPr>
            <w:tcW w:w="1606" w:type="dxa"/>
            <w:tcBorders>
              <w:top w:val="single" w:sz="2" w:space="0" w:color="auto"/>
              <w:left w:val="single" w:sz="2" w:space="0" w:color="auto"/>
              <w:bottom w:val="single" w:sz="2" w:space="0" w:color="auto"/>
              <w:right w:val="single" w:sz="2" w:space="0" w:color="auto"/>
            </w:tcBorders>
            <w:vAlign w:val="center"/>
          </w:tcPr>
          <w:p w14:paraId="0F1FCC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10.85%</w:t>
            </w:r>
          </w:p>
        </w:tc>
      </w:tr>
      <w:tr w:rsidR="00E32FE0" w:rsidRPr="005B5EC1" w14:paraId="254B221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5E92E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西北地区及其他</w:t>
            </w:r>
          </w:p>
        </w:tc>
        <w:tc>
          <w:tcPr>
            <w:tcW w:w="1606" w:type="dxa"/>
            <w:tcBorders>
              <w:top w:val="single" w:sz="2" w:space="0" w:color="auto"/>
              <w:left w:val="single" w:sz="2" w:space="0" w:color="auto"/>
              <w:bottom w:val="single" w:sz="2" w:space="0" w:color="auto"/>
              <w:right w:val="single" w:sz="2" w:space="0" w:color="auto"/>
            </w:tcBorders>
            <w:vAlign w:val="center"/>
          </w:tcPr>
          <w:p w14:paraId="4DA0F2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46,633,475.41</w:t>
            </w:r>
          </w:p>
        </w:tc>
        <w:tc>
          <w:tcPr>
            <w:tcW w:w="1606" w:type="dxa"/>
            <w:tcBorders>
              <w:top w:val="single" w:sz="2" w:space="0" w:color="auto"/>
              <w:left w:val="single" w:sz="2" w:space="0" w:color="auto"/>
              <w:bottom w:val="single" w:sz="2" w:space="0" w:color="auto"/>
              <w:right w:val="single" w:sz="2" w:space="0" w:color="auto"/>
            </w:tcBorders>
            <w:vAlign w:val="center"/>
          </w:tcPr>
          <w:p w14:paraId="328A6F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0.42%</w:t>
            </w:r>
          </w:p>
        </w:tc>
        <w:tc>
          <w:tcPr>
            <w:tcW w:w="1606" w:type="dxa"/>
            <w:tcBorders>
              <w:top w:val="single" w:sz="2" w:space="0" w:color="auto"/>
              <w:left w:val="single" w:sz="2" w:space="0" w:color="auto"/>
              <w:bottom w:val="single" w:sz="2" w:space="0" w:color="auto"/>
              <w:right w:val="single" w:sz="2" w:space="0" w:color="auto"/>
            </w:tcBorders>
            <w:vAlign w:val="center"/>
          </w:tcPr>
          <w:p w14:paraId="03EA11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73,525,629.56</w:t>
            </w:r>
          </w:p>
        </w:tc>
        <w:tc>
          <w:tcPr>
            <w:tcW w:w="1606" w:type="dxa"/>
            <w:tcBorders>
              <w:top w:val="single" w:sz="2" w:space="0" w:color="auto"/>
              <w:left w:val="single" w:sz="2" w:space="0" w:color="auto"/>
              <w:bottom w:val="single" w:sz="2" w:space="0" w:color="auto"/>
              <w:right w:val="single" w:sz="2" w:space="0" w:color="auto"/>
            </w:tcBorders>
            <w:vAlign w:val="center"/>
          </w:tcPr>
          <w:p w14:paraId="45BC2DF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0.55%</w:t>
            </w:r>
          </w:p>
        </w:tc>
        <w:tc>
          <w:tcPr>
            <w:tcW w:w="1606" w:type="dxa"/>
            <w:tcBorders>
              <w:top w:val="single" w:sz="2" w:space="0" w:color="auto"/>
              <w:left w:val="single" w:sz="2" w:space="0" w:color="auto"/>
              <w:bottom w:val="single" w:sz="2" w:space="0" w:color="auto"/>
              <w:right w:val="single" w:sz="2" w:space="0" w:color="auto"/>
            </w:tcBorders>
            <w:vAlign w:val="center"/>
          </w:tcPr>
          <w:p w14:paraId="5F3C3F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-36.58%</w:t>
            </w:r>
          </w:p>
        </w:tc>
      </w:tr>
      <w:tr w:rsidR="00E32FE0" w:rsidRPr="005B5EC1" w14:paraId="0401C35E"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4E67ED2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分销售模式</w:t>
            </w:r>
          </w:p>
        </w:tc>
      </w:tr>
      <w:tr w:rsidR="00E32FE0" w:rsidRPr="005B5EC1" w14:paraId="14C2F64F"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2B0AA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经销</w:t>
            </w:r>
          </w:p>
        </w:tc>
        <w:tc>
          <w:tcPr>
            <w:tcW w:w="1606" w:type="dxa"/>
            <w:tcBorders>
              <w:top w:val="single" w:sz="2" w:space="0" w:color="auto"/>
              <w:left w:val="single" w:sz="2" w:space="0" w:color="auto"/>
              <w:bottom w:val="single" w:sz="2" w:space="0" w:color="auto"/>
              <w:right w:val="single" w:sz="2" w:space="0" w:color="auto"/>
            </w:tcBorders>
            <w:vAlign w:val="center"/>
          </w:tcPr>
          <w:p w14:paraId="5E8D3A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8,769,024,288.99</w:t>
            </w:r>
          </w:p>
        </w:tc>
        <w:tc>
          <w:tcPr>
            <w:tcW w:w="1606" w:type="dxa"/>
            <w:tcBorders>
              <w:top w:val="single" w:sz="2" w:space="0" w:color="auto"/>
              <w:left w:val="single" w:sz="2" w:space="0" w:color="auto"/>
              <w:bottom w:val="single" w:sz="2" w:space="0" w:color="auto"/>
              <w:right w:val="single" w:sz="2" w:space="0" w:color="auto"/>
            </w:tcBorders>
            <w:vAlign w:val="center"/>
          </w:tcPr>
          <w:p w14:paraId="6B0DCD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79.79%</w:t>
            </w:r>
          </w:p>
        </w:tc>
        <w:tc>
          <w:tcPr>
            <w:tcW w:w="1606" w:type="dxa"/>
            <w:tcBorders>
              <w:top w:val="single" w:sz="2" w:space="0" w:color="auto"/>
              <w:left w:val="single" w:sz="2" w:space="0" w:color="auto"/>
              <w:bottom w:val="single" w:sz="2" w:space="0" w:color="auto"/>
              <w:right w:val="single" w:sz="2" w:space="0" w:color="auto"/>
            </w:tcBorders>
            <w:vAlign w:val="center"/>
          </w:tcPr>
          <w:p w14:paraId="0BA309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10,545,111,965.14</w:t>
            </w:r>
          </w:p>
        </w:tc>
        <w:tc>
          <w:tcPr>
            <w:tcW w:w="1606" w:type="dxa"/>
            <w:tcBorders>
              <w:top w:val="single" w:sz="2" w:space="0" w:color="auto"/>
              <w:left w:val="single" w:sz="2" w:space="0" w:color="auto"/>
              <w:bottom w:val="single" w:sz="2" w:space="0" w:color="auto"/>
              <w:right w:val="single" w:sz="2" w:space="0" w:color="auto"/>
            </w:tcBorders>
            <w:vAlign w:val="center"/>
          </w:tcPr>
          <w:p w14:paraId="08B7B5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79.18%</w:t>
            </w:r>
          </w:p>
        </w:tc>
        <w:tc>
          <w:tcPr>
            <w:tcW w:w="1606" w:type="dxa"/>
            <w:tcBorders>
              <w:top w:val="single" w:sz="2" w:space="0" w:color="auto"/>
              <w:left w:val="single" w:sz="2" w:space="0" w:color="auto"/>
              <w:bottom w:val="single" w:sz="2" w:space="0" w:color="auto"/>
              <w:right w:val="single" w:sz="2" w:space="0" w:color="auto"/>
            </w:tcBorders>
            <w:vAlign w:val="center"/>
          </w:tcPr>
          <w:p w14:paraId="0AB9CB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-16.84%</w:t>
            </w:r>
          </w:p>
        </w:tc>
      </w:tr>
      <w:tr w:rsidR="00E32FE0" w:rsidRPr="005B5EC1" w14:paraId="7A8F76F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66FE1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直销</w:t>
            </w:r>
          </w:p>
        </w:tc>
        <w:tc>
          <w:tcPr>
            <w:tcW w:w="1606" w:type="dxa"/>
            <w:tcBorders>
              <w:top w:val="single" w:sz="2" w:space="0" w:color="auto"/>
              <w:left w:val="single" w:sz="2" w:space="0" w:color="auto"/>
              <w:bottom w:val="single" w:sz="2" w:space="0" w:color="auto"/>
              <w:right w:val="single" w:sz="2" w:space="0" w:color="auto"/>
            </w:tcBorders>
            <w:vAlign w:val="center"/>
          </w:tcPr>
          <w:p w14:paraId="5D2B03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2,220,646,856.23</w:t>
            </w:r>
          </w:p>
        </w:tc>
        <w:tc>
          <w:tcPr>
            <w:tcW w:w="1606" w:type="dxa"/>
            <w:tcBorders>
              <w:top w:val="single" w:sz="2" w:space="0" w:color="auto"/>
              <w:left w:val="single" w:sz="2" w:space="0" w:color="auto"/>
              <w:bottom w:val="single" w:sz="2" w:space="0" w:color="auto"/>
              <w:right w:val="single" w:sz="2" w:space="0" w:color="auto"/>
            </w:tcBorders>
            <w:vAlign w:val="center"/>
          </w:tcPr>
          <w:p w14:paraId="563340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p>
        </w:tc>
        <w:tc>
          <w:tcPr>
            <w:tcW w:w="1606" w:type="dxa"/>
            <w:tcBorders>
              <w:top w:val="single" w:sz="2" w:space="0" w:color="auto"/>
              <w:left w:val="single" w:sz="2" w:space="0" w:color="auto"/>
              <w:bottom w:val="single" w:sz="2" w:space="0" w:color="auto"/>
              <w:right w:val="single" w:sz="2" w:space="0" w:color="auto"/>
            </w:tcBorders>
            <w:vAlign w:val="center"/>
          </w:tcPr>
          <w:p w14:paraId="074F0A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2,773,361,246.76</w:t>
            </w:r>
          </w:p>
        </w:tc>
        <w:tc>
          <w:tcPr>
            <w:tcW w:w="1606" w:type="dxa"/>
            <w:tcBorders>
              <w:top w:val="single" w:sz="2" w:space="0" w:color="auto"/>
              <w:left w:val="single" w:sz="2" w:space="0" w:color="auto"/>
              <w:bottom w:val="single" w:sz="2" w:space="0" w:color="auto"/>
              <w:right w:val="single" w:sz="2" w:space="0" w:color="auto"/>
            </w:tcBorders>
            <w:vAlign w:val="center"/>
          </w:tcPr>
          <w:p w14:paraId="7E5016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20.82%</w:t>
            </w:r>
          </w:p>
        </w:tc>
        <w:tc>
          <w:tcPr>
            <w:tcW w:w="1606" w:type="dxa"/>
            <w:tcBorders>
              <w:top w:val="single" w:sz="2" w:space="0" w:color="auto"/>
              <w:left w:val="single" w:sz="2" w:space="0" w:color="auto"/>
              <w:bottom w:val="single" w:sz="2" w:space="0" w:color="auto"/>
              <w:right w:val="single" w:sz="2" w:space="0" w:color="auto"/>
            </w:tcBorders>
            <w:vAlign w:val="center"/>
          </w:tcPr>
          <w:p w14:paraId="617FAF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-19.93%</w:t>
            </w:r>
          </w:p>
        </w:tc>
      </w:tr>
    </w:tbl>
    <w:p w14:paraId="6CD3DDC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1" w:name="_Toc988910"/>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占公司营业收入或营业利润</w:t>
      </w:r>
      <w:r w:rsidRPr="005B5EC1">
        <w:rPr>
          <w:rFonts w:ascii="Times New Roman" w:eastAsia="宋体" w:hAnsi="Times New Roman" w:cs="Times New Roman"/>
          <w:b/>
          <w:bCs/>
          <w:sz w:val="18"/>
          <w:szCs w:val="18"/>
        </w:rPr>
        <w:t>10%</w:t>
      </w:r>
      <w:r w:rsidRPr="005B5EC1">
        <w:rPr>
          <w:rFonts w:ascii="Times New Roman" w:eastAsia="宋体" w:hAnsi="Times New Roman" w:cs="Times New Roman"/>
          <w:b/>
          <w:bCs/>
          <w:sz w:val="18"/>
          <w:szCs w:val="18"/>
        </w:rPr>
        <w:t>以上的行业、产品、地区、销售模式的情况</w:t>
      </w:r>
      <w:bookmarkEnd w:id="21"/>
    </w:p>
    <w:p w14:paraId="16F1469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412EA49D"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742"/>
        <w:gridCol w:w="1559"/>
        <w:gridCol w:w="830"/>
        <w:gridCol w:w="1377"/>
        <w:gridCol w:w="1377"/>
        <w:gridCol w:w="1377"/>
      </w:tblGrid>
      <w:tr w:rsidR="00E32FE0" w:rsidRPr="005B5EC1" w14:paraId="4D89E987"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56E01FD" w14:textId="77777777" w:rsidR="00E32FE0" w:rsidRPr="005B5EC1" w:rsidRDefault="00E32FE0">
            <w:pPr>
              <w:rPr>
                <w:rFonts w:ascii="Times New Roman" w:hAnsi="Times New Roman" w:cs="Times New Roman"/>
              </w:rPr>
            </w:pPr>
          </w:p>
        </w:tc>
        <w:tc>
          <w:tcPr>
            <w:tcW w:w="1742" w:type="dxa"/>
            <w:tcBorders>
              <w:top w:val="single" w:sz="2" w:space="0" w:color="auto"/>
              <w:left w:val="single" w:sz="2" w:space="0" w:color="auto"/>
              <w:bottom w:val="single" w:sz="2" w:space="0" w:color="auto"/>
              <w:right w:val="single" w:sz="2" w:space="0" w:color="auto"/>
            </w:tcBorders>
            <w:shd w:val="clear" w:color="auto" w:fill="D3D3D3"/>
            <w:vAlign w:val="center"/>
          </w:tcPr>
          <w:p w14:paraId="584F106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C35939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830" w:type="dxa"/>
            <w:tcBorders>
              <w:top w:val="single" w:sz="2" w:space="0" w:color="auto"/>
              <w:left w:val="single" w:sz="2" w:space="0" w:color="auto"/>
              <w:bottom w:val="single" w:sz="2" w:space="0" w:color="auto"/>
              <w:right w:val="single" w:sz="2" w:space="0" w:color="auto"/>
            </w:tcBorders>
            <w:shd w:val="clear" w:color="auto" w:fill="D3D3D3"/>
            <w:vAlign w:val="center"/>
          </w:tcPr>
          <w:p w14:paraId="5E6CD77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092933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226C4E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45BB7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毛利率比上年同期增减</w:t>
            </w:r>
          </w:p>
        </w:tc>
      </w:tr>
      <w:tr w:rsidR="00E32FE0" w:rsidRPr="005B5EC1" w14:paraId="677AF027"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3ED0B34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分行业</w:t>
            </w:r>
          </w:p>
        </w:tc>
      </w:tr>
      <w:tr w:rsidR="00E32FE0" w:rsidRPr="005B5EC1" w14:paraId="33A79E99"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25BF2F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w:t>
            </w:r>
            <w:r w:rsidRPr="005B5EC1">
              <w:rPr>
                <w:rFonts w:ascii="Times New Roman" w:eastAsia="宋体" w:hAnsi="Times New Roman" w:cs="Times New Roman"/>
                <w:sz w:val="18"/>
                <w:szCs w:val="18"/>
              </w:rPr>
              <w:t>屠宰行业</w:t>
            </w:r>
          </w:p>
        </w:tc>
        <w:tc>
          <w:tcPr>
            <w:tcW w:w="1742" w:type="dxa"/>
            <w:tcBorders>
              <w:top w:val="single" w:sz="2" w:space="0" w:color="auto"/>
              <w:left w:val="single" w:sz="2" w:space="0" w:color="auto"/>
              <w:bottom w:val="single" w:sz="2" w:space="0" w:color="auto"/>
              <w:right w:val="single" w:sz="2" w:space="0" w:color="auto"/>
            </w:tcBorders>
            <w:vAlign w:val="center"/>
          </w:tcPr>
          <w:p w14:paraId="4C83DB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8,991,161,187.79</w:t>
            </w:r>
          </w:p>
        </w:tc>
        <w:tc>
          <w:tcPr>
            <w:tcW w:w="1559" w:type="dxa"/>
            <w:tcBorders>
              <w:top w:val="single" w:sz="2" w:space="0" w:color="auto"/>
              <w:left w:val="single" w:sz="2" w:space="0" w:color="auto"/>
              <w:bottom w:val="single" w:sz="2" w:space="0" w:color="auto"/>
              <w:right w:val="single" w:sz="2" w:space="0" w:color="auto"/>
            </w:tcBorders>
            <w:vAlign w:val="center"/>
          </w:tcPr>
          <w:p w14:paraId="797BF5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8,789,225,832.69</w:t>
            </w:r>
          </w:p>
        </w:tc>
        <w:tc>
          <w:tcPr>
            <w:tcW w:w="830" w:type="dxa"/>
            <w:tcBorders>
              <w:top w:val="single" w:sz="2" w:space="0" w:color="auto"/>
              <w:left w:val="single" w:sz="2" w:space="0" w:color="auto"/>
              <w:bottom w:val="single" w:sz="2" w:space="0" w:color="auto"/>
              <w:right w:val="single" w:sz="2" w:space="0" w:color="auto"/>
            </w:tcBorders>
            <w:vAlign w:val="center"/>
          </w:tcPr>
          <w:p w14:paraId="238F03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w:t>
            </w:r>
          </w:p>
        </w:tc>
        <w:tc>
          <w:tcPr>
            <w:tcW w:w="1377" w:type="dxa"/>
            <w:tcBorders>
              <w:top w:val="single" w:sz="2" w:space="0" w:color="auto"/>
              <w:left w:val="single" w:sz="2" w:space="0" w:color="auto"/>
              <w:bottom w:val="single" w:sz="2" w:space="0" w:color="auto"/>
              <w:right w:val="single" w:sz="2" w:space="0" w:color="auto"/>
            </w:tcBorders>
            <w:vAlign w:val="center"/>
          </w:tcPr>
          <w:p w14:paraId="4084C1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-6.65%</w:t>
            </w:r>
          </w:p>
        </w:tc>
        <w:tc>
          <w:tcPr>
            <w:tcW w:w="1377" w:type="dxa"/>
            <w:tcBorders>
              <w:top w:val="single" w:sz="2" w:space="0" w:color="auto"/>
              <w:left w:val="single" w:sz="2" w:space="0" w:color="auto"/>
              <w:bottom w:val="single" w:sz="2" w:space="0" w:color="auto"/>
              <w:right w:val="single" w:sz="2" w:space="0" w:color="auto"/>
            </w:tcBorders>
            <w:vAlign w:val="center"/>
          </w:tcPr>
          <w:p w14:paraId="400E79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-10.72%</w:t>
            </w:r>
          </w:p>
        </w:tc>
        <w:tc>
          <w:tcPr>
            <w:tcW w:w="1377" w:type="dxa"/>
            <w:tcBorders>
              <w:top w:val="single" w:sz="2" w:space="0" w:color="auto"/>
              <w:left w:val="single" w:sz="2" w:space="0" w:color="auto"/>
              <w:bottom w:val="single" w:sz="2" w:space="0" w:color="auto"/>
              <w:right w:val="single" w:sz="2" w:space="0" w:color="auto"/>
            </w:tcBorders>
            <w:vAlign w:val="center"/>
          </w:tcPr>
          <w:p w14:paraId="0656312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4.46%</w:t>
            </w:r>
          </w:p>
        </w:tc>
      </w:tr>
      <w:tr w:rsidR="00E32FE0" w:rsidRPr="005B5EC1" w14:paraId="7BAAB78D"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07C24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w:t>
            </w:r>
            <w:r w:rsidRPr="005B5EC1">
              <w:rPr>
                <w:rFonts w:ascii="Times New Roman" w:eastAsia="宋体" w:hAnsi="Times New Roman" w:cs="Times New Roman"/>
                <w:sz w:val="18"/>
                <w:szCs w:val="18"/>
              </w:rPr>
              <w:t>食品行业</w:t>
            </w:r>
          </w:p>
        </w:tc>
        <w:tc>
          <w:tcPr>
            <w:tcW w:w="1742" w:type="dxa"/>
            <w:tcBorders>
              <w:top w:val="single" w:sz="2" w:space="0" w:color="auto"/>
              <w:left w:val="single" w:sz="2" w:space="0" w:color="auto"/>
              <w:bottom w:val="single" w:sz="2" w:space="0" w:color="auto"/>
              <w:right w:val="single" w:sz="2" w:space="0" w:color="auto"/>
            </w:tcBorders>
            <w:vAlign w:val="center"/>
          </w:tcPr>
          <w:p w14:paraId="7599E8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1,901,860,796.14</w:t>
            </w:r>
          </w:p>
        </w:tc>
        <w:tc>
          <w:tcPr>
            <w:tcW w:w="1559" w:type="dxa"/>
            <w:tcBorders>
              <w:top w:val="single" w:sz="2" w:space="0" w:color="auto"/>
              <w:left w:val="single" w:sz="2" w:space="0" w:color="auto"/>
              <w:bottom w:val="single" w:sz="2" w:space="0" w:color="auto"/>
              <w:right w:val="single" w:sz="2" w:space="0" w:color="auto"/>
            </w:tcBorders>
            <w:vAlign w:val="center"/>
          </w:tcPr>
          <w:p w14:paraId="2C88F7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1,688,308,912.11</w:t>
            </w:r>
          </w:p>
        </w:tc>
        <w:tc>
          <w:tcPr>
            <w:tcW w:w="830" w:type="dxa"/>
            <w:tcBorders>
              <w:top w:val="single" w:sz="2" w:space="0" w:color="auto"/>
              <w:left w:val="single" w:sz="2" w:space="0" w:color="auto"/>
              <w:bottom w:val="single" w:sz="2" w:space="0" w:color="auto"/>
              <w:right w:val="single" w:sz="2" w:space="0" w:color="auto"/>
            </w:tcBorders>
            <w:vAlign w:val="center"/>
          </w:tcPr>
          <w:p w14:paraId="1D8627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11.23%</w:t>
            </w:r>
          </w:p>
        </w:tc>
        <w:tc>
          <w:tcPr>
            <w:tcW w:w="1377" w:type="dxa"/>
            <w:tcBorders>
              <w:top w:val="single" w:sz="2" w:space="0" w:color="auto"/>
              <w:left w:val="single" w:sz="2" w:space="0" w:color="auto"/>
              <w:bottom w:val="single" w:sz="2" w:space="0" w:color="auto"/>
              <w:right w:val="single" w:sz="2" w:space="0" w:color="auto"/>
            </w:tcBorders>
            <w:vAlign w:val="center"/>
          </w:tcPr>
          <w:p w14:paraId="3E9D20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-14.45%</w:t>
            </w:r>
          </w:p>
        </w:tc>
        <w:tc>
          <w:tcPr>
            <w:tcW w:w="1377" w:type="dxa"/>
            <w:tcBorders>
              <w:top w:val="single" w:sz="2" w:space="0" w:color="auto"/>
              <w:left w:val="single" w:sz="2" w:space="0" w:color="auto"/>
              <w:bottom w:val="single" w:sz="2" w:space="0" w:color="auto"/>
              <w:right w:val="single" w:sz="2" w:space="0" w:color="auto"/>
            </w:tcBorders>
            <w:vAlign w:val="center"/>
          </w:tcPr>
          <w:p w14:paraId="2D056AB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-15.51%</w:t>
            </w:r>
          </w:p>
        </w:tc>
        <w:tc>
          <w:tcPr>
            <w:tcW w:w="1377" w:type="dxa"/>
            <w:tcBorders>
              <w:top w:val="single" w:sz="2" w:space="0" w:color="auto"/>
              <w:left w:val="single" w:sz="2" w:space="0" w:color="auto"/>
              <w:bottom w:val="single" w:sz="2" w:space="0" w:color="auto"/>
              <w:right w:val="single" w:sz="2" w:space="0" w:color="auto"/>
            </w:tcBorders>
            <w:vAlign w:val="center"/>
          </w:tcPr>
          <w:p w14:paraId="43DC761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1.11%</w:t>
            </w:r>
          </w:p>
        </w:tc>
      </w:tr>
      <w:tr w:rsidR="00E32FE0" w:rsidRPr="005B5EC1" w14:paraId="31D8BB6B"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F5097B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分产品</w:t>
            </w:r>
          </w:p>
        </w:tc>
      </w:tr>
      <w:tr w:rsidR="00E32FE0" w:rsidRPr="005B5EC1" w14:paraId="6E3FEFBA"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29AC8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w:t>
            </w:r>
            <w:r w:rsidRPr="005B5EC1">
              <w:rPr>
                <w:rFonts w:ascii="Times New Roman" w:eastAsia="宋体" w:hAnsi="Times New Roman" w:cs="Times New Roman"/>
                <w:sz w:val="18"/>
                <w:szCs w:val="18"/>
              </w:rPr>
              <w:t>鲜冻肉</w:t>
            </w:r>
          </w:p>
        </w:tc>
        <w:tc>
          <w:tcPr>
            <w:tcW w:w="1742" w:type="dxa"/>
            <w:tcBorders>
              <w:top w:val="single" w:sz="2" w:space="0" w:color="auto"/>
              <w:left w:val="single" w:sz="2" w:space="0" w:color="auto"/>
              <w:bottom w:val="single" w:sz="2" w:space="0" w:color="auto"/>
              <w:right w:val="single" w:sz="2" w:space="0" w:color="auto"/>
            </w:tcBorders>
            <w:vAlign w:val="center"/>
          </w:tcPr>
          <w:p w14:paraId="6704B4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8,991,161,187.79</w:t>
            </w:r>
          </w:p>
        </w:tc>
        <w:tc>
          <w:tcPr>
            <w:tcW w:w="1559" w:type="dxa"/>
            <w:tcBorders>
              <w:top w:val="single" w:sz="2" w:space="0" w:color="auto"/>
              <w:left w:val="single" w:sz="2" w:space="0" w:color="auto"/>
              <w:bottom w:val="single" w:sz="2" w:space="0" w:color="auto"/>
              <w:right w:val="single" w:sz="2" w:space="0" w:color="auto"/>
            </w:tcBorders>
            <w:vAlign w:val="center"/>
          </w:tcPr>
          <w:p w14:paraId="3A9EDE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8,789,225,832.69</w:t>
            </w:r>
          </w:p>
        </w:tc>
        <w:tc>
          <w:tcPr>
            <w:tcW w:w="830" w:type="dxa"/>
            <w:tcBorders>
              <w:top w:val="single" w:sz="2" w:space="0" w:color="auto"/>
              <w:left w:val="single" w:sz="2" w:space="0" w:color="auto"/>
              <w:bottom w:val="single" w:sz="2" w:space="0" w:color="auto"/>
              <w:right w:val="single" w:sz="2" w:space="0" w:color="auto"/>
            </w:tcBorders>
            <w:vAlign w:val="center"/>
          </w:tcPr>
          <w:p w14:paraId="7BC85A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w:t>
            </w:r>
          </w:p>
        </w:tc>
        <w:tc>
          <w:tcPr>
            <w:tcW w:w="1377" w:type="dxa"/>
            <w:tcBorders>
              <w:top w:val="single" w:sz="2" w:space="0" w:color="auto"/>
              <w:left w:val="single" w:sz="2" w:space="0" w:color="auto"/>
              <w:bottom w:val="single" w:sz="2" w:space="0" w:color="auto"/>
              <w:right w:val="single" w:sz="2" w:space="0" w:color="auto"/>
            </w:tcBorders>
            <w:vAlign w:val="center"/>
          </w:tcPr>
          <w:p w14:paraId="505095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-6.65%</w:t>
            </w:r>
          </w:p>
        </w:tc>
        <w:tc>
          <w:tcPr>
            <w:tcW w:w="1377" w:type="dxa"/>
            <w:tcBorders>
              <w:top w:val="single" w:sz="2" w:space="0" w:color="auto"/>
              <w:left w:val="single" w:sz="2" w:space="0" w:color="auto"/>
              <w:bottom w:val="single" w:sz="2" w:space="0" w:color="auto"/>
              <w:right w:val="single" w:sz="2" w:space="0" w:color="auto"/>
            </w:tcBorders>
            <w:vAlign w:val="center"/>
          </w:tcPr>
          <w:p w14:paraId="3E7717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-10.72%</w:t>
            </w:r>
          </w:p>
        </w:tc>
        <w:tc>
          <w:tcPr>
            <w:tcW w:w="1377" w:type="dxa"/>
            <w:tcBorders>
              <w:top w:val="single" w:sz="2" w:space="0" w:color="auto"/>
              <w:left w:val="single" w:sz="2" w:space="0" w:color="auto"/>
              <w:bottom w:val="single" w:sz="2" w:space="0" w:color="auto"/>
              <w:right w:val="single" w:sz="2" w:space="0" w:color="auto"/>
            </w:tcBorders>
            <w:vAlign w:val="center"/>
          </w:tcPr>
          <w:p w14:paraId="79C74F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4.46%</w:t>
            </w:r>
          </w:p>
        </w:tc>
      </w:tr>
      <w:tr w:rsidR="00E32FE0" w:rsidRPr="005B5EC1" w14:paraId="4679131E"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5DCA3A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w:t>
            </w:r>
            <w:r w:rsidRPr="005B5EC1">
              <w:rPr>
                <w:rFonts w:ascii="Times New Roman" w:eastAsia="宋体" w:hAnsi="Times New Roman" w:cs="Times New Roman"/>
                <w:sz w:val="18"/>
                <w:szCs w:val="18"/>
              </w:rPr>
              <w:t>预制食品</w:t>
            </w:r>
          </w:p>
        </w:tc>
        <w:tc>
          <w:tcPr>
            <w:tcW w:w="1742" w:type="dxa"/>
            <w:tcBorders>
              <w:top w:val="single" w:sz="2" w:space="0" w:color="auto"/>
              <w:left w:val="single" w:sz="2" w:space="0" w:color="auto"/>
              <w:bottom w:val="single" w:sz="2" w:space="0" w:color="auto"/>
              <w:right w:val="single" w:sz="2" w:space="0" w:color="auto"/>
            </w:tcBorders>
            <w:vAlign w:val="center"/>
          </w:tcPr>
          <w:p w14:paraId="1C7E81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1,686,618,748.87</w:t>
            </w:r>
          </w:p>
        </w:tc>
        <w:tc>
          <w:tcPr>
            <w:tcW w:w="1559" w:type="dxa"/>
            <w:tcBorders>
              <w:top w:val="single" w:sz="2" w:space="0" w:color="auto"/>
              <w:left w:val="single" w:sz="2" w:space="0" w:color="auto"/>
              <w:bottom w:val="single" w:sz="2" w:space="0" w:color="auto"/>
              <w:right w:val="single" w:sz="2" w:space="0" w:color="auto"/>
            </w:tcBorders>
            <w:vAlign w:val="center"/>
          </w:tcPr>
          <w:p w14:paraId="3C466A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1,527,839,042.70</w:t>
            </w:r>
          </w:p>
        </w:tc>
        <w:tc>
          <w:tcPr>
            <w:tcW w:w="830" w:type="dxa"/>
            <w:tcBorders>
              <w:top w:val="single" w:sz="2" w:space="0" w:color="auto"/>
              <w:left w:val="single" w:sz="2" w:space="0" w:color="auto"/>
              <w:bottom w:val="single" w:sz="2" w:space="0" w:color="auto"/>
              <w:right w:val="single" w:sz="2" w:space="0" w:color="auto"/>
            </w:tcBorders>
            <w:vAlign w:val="center"/>
          </w:tcPr>
          <w:p w14:paraId="74688A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9.41%</w:t>
            </w:r>
          </w:p>
        </w:tc>
        <w:tc>
          <w:tcPr>
            <w:tcW w:w="1377" w:type="dxa"/>
            <w:tcBorders>
              <w:top w:val="single" w:sz="2" w:space="0" w:color="auto"/>
              <w:left w:val="single" w:sz="2" w:space="0" w:color="auto"/>
              <w:bottom w:val="single" w:sz="2" w:space="0" w:color="auto"/>
              <w:right w:val="single" w:sz="2" w:space="0" w:color="auto"/>
            </w:tcBorders>
            <w:vAlign w:val="center"/>
          </w:tcPr>
          <w:p w14:paraId="69924C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-14.98%</w:t>
            </w:r>
          </w:p>
        </w:tc>
        <w:tc>
          <w:tcPr>
            <w:tcW w:w="1377" w:type="dxa"/>
            <w:tcBorders>
              <w:top w:val="single" w:sz="2" w:space="0" w:color="auto"/>
              <w:left w:val="single" w:sz="2" w:space="0" w:color="auto"/>
              <w:bottom w:val="single" w:sz="2" w:space="0" w:color="auto"/>
              <w:right w:val="single" w:sz="2" w:space="0" w:color="auto"/>
            </w:tcBorders>
            <w:vAlign w:val="center"/>
          </w:tcPr>
          <w:p w14:paraId="2C7AEA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-14.70%</w:t>
            </w:r>
          </w:p>
        </w:tc>
        <w:tc>
          <w:tcPr>
            <w:tcW w:w="1377" w:type="dxa"/>
            <w:tcBorders>
              <w:top w:val="single" w:sz="2" w:space="0" w:color="auto"/>
              <w:left w:val="single" w:sz="2" w:space="0" w:color="auto"/>
              <w:bottom w:val="single" w:sz="2" w:space="0" w:color="auto"/>
              <w:right w:val="single" w:sz="2" w:space="0" w:color="auto"/>
            </w:tcBorders>
            <w:vAlign w:val="center"/>
          </w:tcPr>
          <w:p w14:paraId="028BC1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-0.31%</w:t>
            </w:r>
          </w:p>
        </w:tc>
      </w:tr>
      <w:tr w:rsidR="00E32FE0" w:rsidRPr="005B5EC1" w14:paraId="683882DC"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2DDF3D1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分地区</w:t>
            </w:r>
          </w:p>
        </w:tc>
      </w:tr>
      <w:tr w:rsidR="00E32FE0" w:rsidRPr="005B5EC1" w14:paraId="316959B0"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B011F6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w:t>
            </w:r>
            <w:r w:rsidRPr="005B5EC1">
              <w:rPr>
                <w:rFonts w:ascii="Times New Roman" w:eastAsia="宋体" w:hAnsi="Times New Roman" w:cs="Times New Roman"/>
                <w:sz w:val="18"/>
                <w:szCs w:val="18"/>
              </w:rPr>
              <w:t>山东省内</w:t>
            </w:r>
          </w:p>
        </w:tc>
        <w:tc>
          <w:tcPr>
            <w:tcW w:w="1742" w:type="dxa"/>
            <w:tcBorders>
              <w:top w:val="single" w:sz="2" w:space="0" w:color="auto"/>
              <w:left w:val="single" w:sz="2" w:space="0" w:color="auto"/>
              <w:bottom w:val="single" w:sz="2" w:space="0" w:color="auto"/>
              <w:right w:val="single" w:sz="2" w:space="0" w:color="auto"/>
            </w:tcBorders>
            <w:vAlign w:val="center"/>
          </w:tcPr>
          <w:p w14:paraId="551E27A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4,051,103,732.47</w:t>
            </w:r>
          </w:p>
        </w:tc>
        <w:tc>
          <w:tcPr>
            <w:tcW w:w="1559" w:type="dxa"/>
            <w:tcBorders>
              <w:top w:val="single" w:sz="2" w:space="0" w:color="auto"/>
              <w:left w:val="single" w:sz="2" w:space="0" w:color="auto"/>
              <w:bottom w:val="single" w:sz="2" w:space="0" w:color="auto"/>
              <w:right w:val="single" w:sz="2" w:space="0" w:color="auto"/>
            </w:tcBorders>
            <w:vAlign w:val="center"/>
          </w:tcPr>
          <w:p w14:paraId="00E31F5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3,770,379,991.03</w:t>
            </w:r>
          </w:p>
        </w:tc>
        <w:tc>
          <w:tcPr>
            <w:tcW w:w="830" w:type="dxa"/>
            <w:tcBorders>
              <w:top w:val="single" w:sz="2" w:space="0" w:color="auto"/>
              <w:left w:val="single" w:sz="2" w:space="0" w:color="auto"/>
              <w:bottom w:val="single" w:sz="2" w:space="0" w:color="auto"/>
              <w:right w:val="single" w:sz="2" w:space="0" w:color="auto"/>
            </w:tcBorders>
            <w:vAlign w:val="center"/>
          </w:tcPr>
          <w:p w14:paraId="2435E38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6.93%</w:t>
            </w:r>
          </w:p>
        </w:tc>
        <w:tc>
          <w:tcPr>
            <w:tcW w:w="1377" w:type="dxa"/>
            <w:tcBorders>
              <w:top w:val="single" w:sz="2" w:space="0" w:color="auto"/>
              <w:left w:val="single" w:sz="2" w:space="0" w:color="auto"/>
              <w:bottom w:val="single" w:sz="2" w:space="0" w:color="auto"/>
              <w:right w:val="single" w:sz="2" w:space="0" w:color="auto"/>
            </w:tcBorders>
            <w:vAlign w:val="center"/>
          </w:tcPr>
          <w:p w14:paraId="4266C8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p>
        </w:tc>
        <w:tc>
          <w:tcPr>
            <w:tcW w:w="1377" w:type="dxa"/>
            <w:tcBorders>
              <w:top w:val="single" w:sz="2" w:space="0" w:color="auto"/>
              <w:left w:val="single" w:sz="2" w:space="0" w:color="auto"/>
              <w:bottom w:val="single" w:sz="2" w:space="0" w:color="auto"/>
              <w:right w:val="single" w:sz="2" w:space="0" w:color="auto"/>
            </w:tcBorders>
            <w:vAlign w:val="center"/>
          </w:tcPr>
          <w:p w14:paraId="7C2991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-28.88%</w:t>
            </w:r>
          </w:p>
        </w:tc>
        <w:tc>
          <w:tcPr>
            <w:tcW w:w="1377" w:type="dxa"/>
            <w:tcBorders>
              <w:top w:val="single" w:sz="2" w:space="0" w:color="auto"/>
              <w:left w:val="single" w:sz="2" w:space="0" w:color="auto"/>
              <w:bottom w:val="single" w:sz="2" w:space="0" w:color="auto"/>
              <w:right w:val="single" w:sz="2" w:space="0" w:color="auto"/>
            </w:tcBorders>
            <w:vAlign w:val="center"/>
          </w:tcPr>
          <w:p w14:paraId="61C082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11.34%</w:t>
            </w:r>
          </w:p>
        </w:tc>
      </w:tr>
      <w:tr w:rsidR="00E32FE0" w:rsidRPr="005B5EC1" w14:paraId="50383FCD"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1A283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w:t>
            </w:r>
            <w:r w:rsidRPr="005B5EC1">
              <w:rPr>
                <w:rFonts w:ascii="Times New Roman" w:eastAsia="宋体" w:hAnsi="Times New Roman" w:cs="Times New Roman"/>
                <w:sz w:val="18"/>
                <w:szCs w:val="18"/>
              </w:rPr>
              <w:t>华东其他地区</w:t>
            </w:r>
          </w:p>
        </w:tc>
        <w:tc>
          <w:tcPr>
            <w:tcW w:w="1742" w:type="dxa"/>
            <w:tcBorders>
              <w:top w:val="single" w:sz="2" w:space="0" w:color="auto"/>
              <w:left w:val="single" w:sz="2" w:space="0" w:color="auto"/>
              <w:bottom w:val="single" w:sz="2" w:space="0" w:color="auto"/>
              <w:right w:val="single" w:sz="2" w:space="0" w:color="auto"/>
            </w:tcBorders>
            <w:vAlign w:val="center"/>
          </w:tcPr>
          <w:p w14:paraId="4288EE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3,001,781,612.48</w:t>
            </w:r>
          </w:p>
        </w:tc>
        <w:tc>
          <w:tcPr>
            <w:tcW w:w="1559" w:type="dxa"/>
            <w:tcBorders>
              <w:top w:val="single" w:sz="2" w:space="0" w:color="auto"/>
              <w:left w:val="single" w:sz="2" w:space="0" w:color="auto"/>
              <w:bottom w:val="single" w:sz="2" w:space="0" w:color="auto"/>
              <w:right w:val="single" w:sz="2" w:space="0" w:color="auto"/>
            </w:tcBorders>
            <w:vAlign w:val="center"/>
          </w:tcPr>
          <w:p w14:paraId="1A29A1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2,879,376,779.18</w:t>
            </w:r>
          </w:p>
        </w:tc>
        <w:tc>
          <w:tcPr>
            <w:tcW w:w="830" w:type="dxa"/>
            <w:tcBorders>
              <w:top w:val="single" w:sz="2" w:space="0" w:color="auto"/>
              <w:left w:val="single" w:sz="2" w:space="0" w:color="auto"/>
              <w:bottom w:val="single" w:sz="2" w:space="0" w:color="auto"/>
              <w:right w:val="single" w:sz="2" w:space="0" w:color="auto"/>
            </w:tcBorders>
            <w:vAlign w:val="center"/>
          </w:tcPr>
          <w:p w14:paraId="4A1D4D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4.08%</w:t>
            </w:r>
          </w:p>
        </w:tc>
        <w:tc>
          <w:tcPr>
            <w:tcW w:w="1377" w:type="dxa"/>
            <w:tcBorders>
              <w:top w:val="single" w:sz="2" w:space="0" w:color="auto"/>
              <w:left w:val="single" w:sz="2" w:space="0" w:color="auto"/>
              <w:bottom w:val="single" w:sz="2" w:space="0" w:color="auto"/>
              <w:right w:val="single" w:sz="2" w:space="0" w:color="auto"/>
            </w:tcBorders>
            <w:vAlign w:val="center"/>
          </w:tcPr>
          <w:p w14:paraId="6138DB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-21.53%</w:t>
            </w:r>
          </w:p>
        </w:tc>
        <w:tc>
          <w:tcPr>
            <w:tcW w:w="1377" w:type="dxa"/>
            <w:tcBorders>
              <w:top w:val="single" w:sz="2" w:space="0" w:color="auto"/>
              <w:left w:val="single" w:sz="2" w:space="0" w:color="auto"/>
              <w:bottom w:val="single" w:sz="2" w:space="0" w:color="auto"/>
              <w:right w:val="single" w:sz="2" w:space="0" w:color="auto"/>
            </w:tcBorders>
            <w:vAlign w:val="center"/>
          </w:tcPr>
          <w:p w14:paraId="5D3F3E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-23.22%</w:t>
            </w:r>
          </w:p>
        </w:tc>
        <w:tc>
          <w:tcPr>
            <w:tcW w:w="1377" w:type="dxa"/>
            <w:tcBorders>
              <w:top w:val="single" w:sz="2" w:space="0" w:color="auto"/>
              <w:left w:val="single" w:sz="2" w:space="0" w:color="auto"/>
              <w:bottom w:val="single" w:sz="2" w:space="0" w:color="auto"/>
              <w:right w:val="single" w:sz="2" w:space="0" w:color="auto"/>
            </w:tcBorders>
            <w:vAlign w:val="center"/>
          </w:tcPr>
          <w:p w14:paraId="5E5DD1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2.11%</w:t>
            </w:r>
          </w:p>
        </w:tc>
      </w:tr>
      <w:tr w:rsidR="00E32FE0" w:rsidRPr="005B5EC1" w14:paraId="55FBD3DF"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8F489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w:t>
            </w:r>
            <w:r w:rsidRPr="005B5EC1">
              <w:rPr>
                <w:rFonts w:ascii="Times New Roman" w:eastAsia="宋体" w:hAnsi="Times New Roman" w:cs="Times New Roman"/>
                <w:sz w:val="18"/>
                <w:szCs w:val="18"/>
              </w:rPr>
              <w:t>华中地区</w:t>
            </w:r>
          </w:p>
        </w:tc>
        <w:tc>
          <w:tcPr>
            <w:tcW w:w="1742" w:type="dxa"/>
            <w:tcBorders>
              <w:top w:val="single" w:sz="2" w:space="0" w:color="auto"/>
              <w:left w:val="single" w:sz="2" w:space="0" w:color="auto"/>
              <w:bottom w:val="single" w:sz="2" w:space="0" w:color="auto"/>
              <w:right w:val="single" w:sz="2" w:space="0" w:color="auto"/>
            </w:tcBorders>
            <w:vAlign w:val="center"/>
          </w:tcPr>
          <w:p w14:paraId="7844CD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1,596,771,366.22</w:t>
            </w:r>
          </w:p>
        </w:tc>
        <w:tc>
          <w:tcPr>
            <w:tcW w:w="1559" w:type="dxa"/>
            <w:tcBorders>
              <w:top w:val="single" w:sz="2" w:space="0" w:color="auto"/>
              <w:left w:val="single" w:sz="2" w:space="0" w:color="auto"/>
              <w:bottom w:val="single" w:sz="2" w:space="0" w:color="auto"/>
              <w:right w:val="single" w:sz="2" w:space="0" w:color="auto"/>
            </w:tcBorders>
            <w:vAlign w:val="center"/>
          </w:tcPr>
          <w:p w14:paraId="028129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1,605,645,989.15</w:t>
            </w:r>
          </w:p>
        </w:tc>
        <w:tc>
          <w:tcPr>
            <w:tcW w:w="830" w:type="dxa"/>
            <w:tcBorders>
              <w:top w:val="single" w:sz="2" w:space="0" w:color="auto"/>
              <w:left w:val="single" w:sz="2" w:space="0" w:color="auto"/>
              <w:bottom w:val="single" w:sz="2" w:space="0" w:color="auto"/>
              <w:right w:val="single" w:sz="2" w:space="0" w:color="auto"/>
            </w:tcBorders>
            <w:vAlign w:val="center"/>
          </w:tcPr>
          <w:p w14:paraId="3021AC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-0.56%</w:t>
            </w:r>
          </w:p>
        </w:tc>
        <w:tc>
          <w:tcPr>
            <w:tcW w:w="1377" w:type="dxa"/>
            <w:tcBorders>
              <w:top w:val="single" w:sz="2" w:space="0" w:color="auto"/>
              <w:left w:val="single" w:sz="2" w:space="0" w:color="auto"/>
              <w:bottom w:val="single" w:sz="2" w:space="0" w:color="auto"/>
              <w:right w:val="single" w:sz="2" w:space="0" w:color="auto"/>
            </w:tcBorders>
            <w:vAlign w:val="center"/>
          </w:tcPr>
          <w:p w14:paraId="16DBE4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-8.09%</w:t>
            </w:r>
          </w:p>
        </w:tc>
        <w:tc>
          <w:tcPr>
            <w:tcW w:w="1377" w:type="dxa"/>
            <w:tcBorders>
              <w:top w:val="single" w:sz="2" w:space="0" w:color="auto"/>
              <w:left w:val="single" w:sz="2" w:space="0" w:color="auto"/>
              <w:bottom w:val="single" w:sz="2" w:space="0" w:color="auto"/>
              <w:right w:val="single" w:sz="2" w:space="0" w:color="auto"/>
            </w:tcBorders>
            <w:vAlign w:val="center"/>
          </w:tcPr>
          <w:p w14:paraId="0CDB2F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-8.57%</w:t>
            </w:r>
          </w:p>
        </w:tc>
        <w:tc>
          <w:tcPr>
            <w:tcW w:w="1377" w:type="dxa"/>
            <w:tcBorders>
              <w:top w:val="single" w:sz="2" w:space="0" w:color="auto"/>
              <w:left w:val="single" w:sz="2" w:space="0" w:color="auto"/>
              <w:bottom w:val="single" w:sz="2" w:space="0" w:color="auto"/>
              <w:right w:val="single" w:sz="2" w:space="0" w:color="auto"/>
            </w:tcBorders>
            <w:vAlign w:val="center"/>
          </w:tcPr>
          <w:p w14:paraId="4FAA5E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0.52%</w:t>
            </w:r>
          </w:p>
        </w:tc>
      </w:tr>
      <w:tr w:rsidR="00E32FE0" w:rsidRPr="005B5EC1" w14:paraId="32B3A5F5"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38FBE60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分销售模式</w:t>
            </w:r>
          </w:p>
        </w:tc>
      </w:tr>
    </w:tbl>
    <w:p w14:paraId="30F2699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公司主营业务数据统计口径在报告期发生调整的情况下，公司最近</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年按报告期末口径调整后的主营业务数据</w:t>
      </w:r>
    </w:p>
    <w:p w14:paraId="5EC8B70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522F2E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2" w:name="_Toc988911"/>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公司实物销售收入是否大于劳务收入</w:t>
      </w:r>
      <w:bookmarkEnd w:id="22"/>
    </w:p>
    <w:p w14:paraId="38CD032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049DEE72"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BFDA4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行业分类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C9C1C4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BF6044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单位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80FA10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AA1D6C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DB9311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同比增减</w:t>
            </w:r>
          </w:p>
        </w:tc>
      </w:tr>
      <w:tr w:rsidR="00E32FE0" w:rsidRPr="005B5EC1" w14:paraId="3724818D"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14:paraId="39D134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生猪屠宰及肉类加工</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9E273F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销售量</w:t>
            </w:r>
          </w:p>
        </w:tc>
        <w:tc>
          <w:tcPr>
            <w:tcW w:w="1606" w:type="dxa"/>
            <w:tcBorders>
              <w:top w:val="single" w:sz="2" w:space="0" w:color="auto"/>
              <w:left w:val="single" w:sz="2" w:space="0" w:color="auto"/>
              <w:bottom w:val="single" w:sz="2" w:space="0" w:color="auto"/>
              <w:right w:val="single" w:sz="2" w:space="0" w:color="auto"/>
            </w:tcBorders>
            <w:vAlign w:val="center"/>
          </w:tcPr>
          <w:p w14:paraId="6F876AA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14:paraId="39134A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598,312.65</w:t>
            </w:r>
          </w:p>
        </w:tc>
        <w:tc>
          <w:tcPr>
            <w:tcW w:w="1606" w:type="dxa"/>
            <w:tcBorders>
              <w:top w:val="single" w:sz="2" w:space="0" w:color="auto"/>
              <w:left w:val="single" w:sz="2" w:space="0" w:color="auto"/>
              <w:bottom w:val="single" w:sz="2" w:space="0" w:color="auto"/>
              <w:right w:val="single" w:sz="2" w:space="0" w:color="auto"/>
            </w:tcBorders>
            <w:vAlign w:val="center"/>
          </w:tcPr>
          <w:p w14:paraId="3424D0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716,965.19</w:t>
            </w:r>
          </w:p>
        </w:tc>
        <w:tc>
          <w:tcPr>
            <w:tcW w:w="1606" w:type="dxa"/>
            <w:tcBorders>
              <w:top w:val="single" w:sz="2" w:space="0" w:color="auto"/>
              <w:left w:val="single" w:sz="2" w:space="0" w:color="auto"/>
              <w:bottom w:val="single" w:sz="2" w:space="0" w:color="auto"/>
              <w:right w:val="single" w:sz="2" w:space="0" w:color="auto"/>
            </w:tcBorders>
            <w:vAlign w:val="center"/>
          </w:tcPr>
          <w:p w14:paraId="035035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-16.55%</w:t>
            </w:r>
          </w:p>
        </w:tc>
      </w:tr>
      <w:tr w:rsidR="00E32FE0" w:rsidRPr="005B5EC1" w14:paraId="5F49E128" w14:textId="77777777">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0E8AD1B3" w14:textId="77777777" w:rsidR="00E32FE0" w:rsidRPr="005B5EC1" w:rsidRDefault="00E32FE0">
            <w:pPr>
              <w:spacing w:after="0" w:line="240" w:lineRule="exac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E9B717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生产量</w:t>
            </w:r>
          </w:p>
        </w:tc>
        <w:tc>
          <w:tcPr>
            <w:tcW w:w="1606" w:type="dxa"/>
            <w:tcBorders>
              <w:top w:val="single" w:sz="2" w:space="0" w:color="auto"/>
              <w:left w:val="single" w:sz="2" w:space="0" w:color="auto"/>
              <w:bottom w:val="single" w:sz="2" w:space="0" w:color="auto"/>
              <w:right w:val="single" w:sz="2" w:space="0" w:color="auto"/>
            </w:tcBorders>
            <w:vAlign w:val="center"/>
          </w:tcPr>
          <w:p w14:paraId="2C5D510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14:paraId="12FA4F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586,312.26</w:t>
            </w:r>
          </w:p>
        </w:tc>
        <w:tc>
          <w:tcPr>
            <w:tcW w:w="1606" w:type="dxa"/>
            <w:tcBorders>
              <w:top w:val="single" w:sz="2" w:space="0" w:color="auto"/>
              <w:left w:val="single" w:sz="2" w:space="0" w:color="auto"/>
              <w:bottom w:val="single" w:sz="2" w:space="0" w:color="auto"/>
              <w:right w:val="single" w:sz="2" w:space="0" w:color="auto"/>
            </w:tcBorders>
            <w:vAlign w:val="center"/>
          </w:tcPr>
          <w:p w14:paraId="27BCAF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734,140.56</w:t>
            </w:r>
          </w:p>
        </w:tc>
        <w:tc>
          <w:tcPr>
            <w:tcW w:w="1606" w:type="dxa"/>
            <w:tcBorders>
              <w:top w:val="single" w:sz="2" w:space="0" w:color="auto"/>
              <w:left w:val="single" w:sz="2" w:space="0" w:color="auto"/>
              <w:bottom w:val="single" w:sz="2" w:space="0" w:color="auto"/>
              <w:right w:val="single" w:sz="2" w:space="0" w:color="auto"/>
            </w:tcBorders>
            <w:vAlign w:val="center"/>
          </w:tcPr>
          <w:p w14:paraId="0CA634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-20.14%</w:t>
            </w:r>
          </w:p>
        </w:tc>
      </w:tr>
      <w:tr w:rsidR="00E32FE0" w:rsidRPr="005B5EC1" w14:paraId="42B65BE4" w14:textId="77777777">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304FB30B" w14:textId="77777777" w:rsidR="00E32FE0" w:rsidRPr="005B5EC1" w:rsidRDefault="00E32FE0">
            <w:pPr>
              <w:spacing w:after="0" w:line="240" w:lineRule="exac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C947BF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库存量</w:t>
            </w:r>
          </w:p>
        </w:tc>
        <w:tc>
          <w:tcPr>
            <w:tcW w:w="1606" w:type="dxa"/>
            <w:tcBorders>
              <w:top w:val="single" w:sz="2" w:space="0" w:color="auto"/>
              <w:left w:val="single" w:sz="2" w:space="0" w:color="auto"/>
              <w:bottom w:val="single" w:sz="2" w:space="0" w:color="auto"/>
              <w:right w:val="single" w:sz="2" w:space="0" w:color="auto"/>
            </w:tcBorders>
            <w:vAlign w:val="center"/>
          </w:tcPr>
          <w:p w14:paraId="6764C4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吨</w:t>
            </w:r>
          </w:p>
        </w:tc>
        <w:tc>
          <w:tcPr>
            <w:tcW w:w="1606" w:type="dxa"/>
            <w:tcBorders>
              <w:top w:val="single" w:sz="2" w:space="0" w:color="auto"/>
              <w:left w:val="single" w:sz="2" w:space="0" w:color="auto"/>
              <w:bottom w:val="single" w:sz="2" w:space="0" w:color="auto"/>
              <w:right w:val="single" w:sz="2" w:space="0" w:color="auto"/>
            </w:tcBorders>
            <w:vAlign w:val="center"/>
          </w:tcPr>
          <w:p w14:paraId="1FC66ED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25,984.85</w:t>
            </w:r>
          </w:p>
        </w:tc>
        <w:tc>
          <w:tcPr>
            <w:tcW w:w="1606" w:type="dxa"/>
            <w:tcBorders>
              <w:top w:val="single" w:sz="2" w:space="0" w:color="auto"/>
              <w:left w:val="single" w:sz="2" w:space="0" w:color="auto"/>
              <w:bottom w:val="single" w:sz="2" w:space="0" w:color="auto"/>
              <w:right w:val="single" w:sz="2" w:space="0" w:color="auto"/>
            </w:tcBorders>
            <w:vAlign w:val="center"/>
          </w:tcPr>
          <w:p w14:paraId="1A9680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37,985.24</w:t>
            </w:r>
          </w:p>
        </w:tc>
        <w:tc>
          <w:tcPr>
            <w:tcW w:w="1606" w:type="dxa"/>
            <w:tcBorders>
              <w:top w:val="single" w:sz="2" w:space="0" w:color="auto"/>
              <w:left w:val="single" w:sz="2" w:space="0" w:color="auto"/>
              <w:bottom w:val="single" w:sz="2" w:space="0" w:color="auto"/>
              <w:right w:val="single" w:sz="2" w:space="0" w:color="auto"/>
            </w:tcBorders>
            <w:vAlign w:val="center"/>
          </w:tcPr>
          <w:p w14:paraId="1AC2EA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-31.59%</w:t>
            </w:r>
          </w:p>
        </w:tc>
      </w:tr>
      <w:tr w:rsidR="00E32FE0" w:rsidRPr="005B5EC1" w14:paraId="599364DF" w14:textId="77777777">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14:paraId="68F0141D" w14:textId="77777777" w:rsidR="00E32FE0" w:rsidRPr="005B5EC1" w:rsidRDefault="00E32FE0">
            <w:pPr>
              <w:spacing w:after="0" w:line="240" w:lineRule="exac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D409804" w14:textId="77777777" w:rsidR="00E32FE0" w:rsidRPr="005B5EC1" w:rsidRDefault="00E32FE0">
            <w:pPr>
              <w:spacing w:after="0" w:line="240" w:lineRule="exac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1214B87C" w14:textId="77777777" w:rsidR="00E32FE0" w:rsidRPr="005B5EC1" w:rsidRDefault="00E32FE0">
            <w:pPr>
              <w:spacing w:after="0" w:line="240" w:lineRule="exac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FF617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EE336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DAF4FC0"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06919CF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相关数据同比发生变动</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以上的原因说明</w:t>
      </w:r>
    </w:p>
    <w:p w14:paraId="1B3FCDC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79C54205" w14:textId="758C569B" w:rsidR="00AF139E" w:rsidRPr="005B5EC1" w:rsidRDefault="00000000" w:rsidP="00BB1F9D">
      <w:pPr>
        <w:pStyle w:val="a3"/>
        <w:spacing w:before="0" w:beforeAutospacing="0" w:after="0" w:afterAutospacing="0" w:line="276" w:lineRule="auto"/>
        <w:ind w:firstLineChars="200" w:firstLine="360"/>
        <w:divId w:val="211157963"/>
        <w:rPr>
          <w:rFonts w:ascii="Times New Roman" w:hAnsi="Times New Roman" w:cs="Times New Roman"/>
          <w:sz w:val="18"/>
          <w:szCs w:val="18"/>
        </w:rPr>
      </w:pPr>
      <w:r w:rsidRPr="005B5EC1">
        <w:rPr>
          <w:rFonts w:ascii="Times New Roman" w:hAnsi="Times New Roman" w:cs="Times New Roman"/>
          <w:sz w:val="18"/>
          <w:szCs w:val="18"/>
        </w:rPr>
        <w:t>库存量下降</w:t>
      </w:r>
      <w:r w:rsidRPr="005B5EC1">
        <w:rPr>
          <w:rFonts w:ascii="Times New Roman" w:hAnsi="Times New Roman" w:cs="Times New Roman"/>
          <w:sz w:val="18"/>
          <w:szCs w:val="18"/>
        </w:rPr>
        <w:t>12</w:t>
      </w:r>
      <w:r w:rsidR="00901425">
        <w:rPr>
          <w:rFonts w:ascii="Times New Roman" w:hAnsi="Times New Roman" w:cs="Times New Roman" w:hint="eastAsia"/>
          <w:sz w:val="18"/>
          <w:szCs w:val="18"/>
        </w:rPr>
        <w:t>,</w:t>
      </w:r>
      <w:r w:rsidRPr="005B5EC1">
        <w:rPr>
          <w:rFonts w:ascii="Times New Roman" w:hAnsi="Times New Roman" w:cs="Times New Roman"/>
          <w:sz w:val="18"/>
          <w:szCs w:val="18"/>
        </w:rPr>
        <w:t>000.39</w:t>
      </w:r>
      <w:r w:rsidRPr="005B5EC1">
        <w:rPr>
          <w:rFonts w:ascii="Times New Roman" w:hAnsi="Times New Roman" w:cs="Times New Roman"/>
          <w:sz w:val="18"/>
          <w:szCs w:val="18"/>
        </w:rPr>
        <w:t>吨，下降率</w:t>
      </w:r>
      <w:r w:rsidRPr="005B5EC1">
        <w:rPr>
          <w:rFonts w:ascii="Times New Roman" w:hAnsi="Times New Roman" w:cs="Times New Roman"/>
          <w:sz w:val="18"/>
          <w:szCs w:val="18"/>
        </w:rPr>
        <w:t>31.59%</w:t>
      </w:r>
      <w:r w:rsidRPr="005B5EC1">
        <w:rPr>
          <w:rFonts w:ascii="Times New Roman" w:hAnsi="Times New Roman" w:cs="Times New Roman"/>
          <w:sz w:val="18"/>
          <w:szCs w:val="18"/>
        </w:rPr>
        <w:t>，主要原因系公司加强存货管控，优化存货结构，在保障鲜销率的同时减少被动入库，降低资金占用，提升存货周转效率。</w:t>
      </w:r>
    </w:p>
    <w:p w14:paraId="1F82C303"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3" w:name="_Toc988912"/>
      <w:r w:rsidRPr="005B5EC1">
        <w:rPr>
          <w:rFonts w:ascii="Times New Roman" w:eastAsia="宋体" w:hAnsi="Times New Roman" w:cs="Times New Roman"/>
          <w:b/>
          <w:bCs/>
          <w:sz w:val="18"/>
          <w:szCs w:val="18"/>
        </w:rPr>
        <w:lastRenderedPageBreak/>
        <w:t>（</w:t>
      </w:r>
      <w:r w:rsidRPr="005B5EC1">
        <w:rPr>
          <w:rFonts w:ascii="Times New Roman" w:eastAsia="宋体" w:hAnsi="Times New Roman" w:cs="Times New Roman"/>
          <w:b/>
          <w:bCs/>
          <w:sz w:val="18"/>
          <w:szCs w:val="18"/>
        </w:rPr>
        <w:t>4</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公司已签订的重大销售合同、重大采购合同截至本报告期的履行情况</w:t>
      </w:r>
      <w:bookmarkEnd w:id="23"/>
    </w:p>
    <w:p w14:paraId="7680140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A8DCE8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4" w:name="_Toc988913"/>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5</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营业成本构成</w:t>
      </w:r>
      <w:bookmarkEnd w:id="24"/>
    </w:p>
    <w:p w14:paraId="1D39C81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行业和产品分类</w:t>
      </w:r>
    </w:p>
    <w:p w14:paraId="4CBD340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行业和产品分类</w:t>
      </w:r>
    </w:p>
    <w:p w14:paraId="1180DF8F"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033"/>
        <w:gridCol w:w="1721"/>
        <w:gridCol w:w="1256"/>
        <w:gridCol w:w="1701"/>
        <w:gridCol w:w="1134"/>
        <w:gridCol w:w="1417"/>
      </w:tblGrid>
      <w:tr w:rsidR="00E32FE0" w:rsidRPr="005B5EC1" w14:paraId="4AD107BF" w14:textId="77777777" w:rsidTr="00BB1F9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0D389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行业分类</w:t>
            </w:r>
          </w:p>
        </w:tc>
        <w:tc>
          <w:tcPr>
            <w:tcW w:w="103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40787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A5AE4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28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BEB604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D934F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同比增减</w:t>
            </w:r>
          </w:p>
        </w:tc>
      </w:tr>
      <w:tr w:rsidR="00E32FE0" w:rsidRPr="005B5EC1" w14:paraId="3ECBEACB" w14:textId="77777777" w:rsidTr="00BB1F9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0231083" w14:textId="77777777" w:rsidR="00E32FE0" w:rsidRPr="005B5EC1" w:rsidRDefault="00E32FE0">
            <w:pPr>
              <w:rPr>
                <w:rFonts w:ascii="Times New Roman" w:hAnsi="Times New Roman" w:cs="Times New Roman"/>
              </w:rPr>
            </w:pPr>
          </w:p>
        </w:tc>
        <w:tc>
          <w:tcPr>
            <w:tcW w:w="103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C3D6188" w14:textId="77777777" w:rsidR="00E32FE0" w:rsidRPr="005B5EC1" w:rsidRDefault="00E32FE0">
            <w:pPr>
              <w:rPr>
                <w:rFonts w:ascii="Times New Roman" w:hAnsi="Times New Roman" w:cs="Times New Roman"/>
              </w:rPr>
            </w:pPr>
          </w:p>
        </w:tc>
        <w:tc>
          <w:tcPr>
            <w:tcW w:w="1721" w:type="dxa"/>
            <w:tcBorders>
              <w:top w:val="single" w:sz="2" w:space="0" w:color="auto"/>
              <w:left w:val="single" w:sz="2" w:space="0" w:color="auto"/>
              <w:bottom w:val="single" w:sz="2" w:space="0" w:color="auto"/>
              <w:right w:val="single" w:sz="2" w:space="0" w:color="auto"/>
            </w:tcBorders>
            <w:shd w:val="clear" w:color="auto" w:fill="D3D3D3"/>
            <w:vAlign w:val="center"/>
          </w:tcPr>
          <w:p w14:paraId="09D3867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256" w:type="dxa"/>
            <w:tcBorders>
              <w:top w:val="single" w:sz="2" w:space="0" w:color="auto"/>
              <w:left w:val="single" w:sz="2" w:space="0" w:color="auto"/>
              <w:bottom w:val="single" w:sz="2" w:space="0" w:color="auto"/>
              <w:right w:val="single" w:sz="2" w:space="0" w:color="auto"/>
            </w:tcBorders>
            <w:shd w:val="clear" w:color="auto" w:fill="D3D3D3"/>
            <w:vAlign w:val="center"/>
          </w:tcPr>
          <w:p w14:paraId="12DB021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占营业成本比重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76EAF06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E16BD4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占营业成本比重</w:t>
            </w: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966FB85" w14:textId="77777777" w:rsidR="00E32FE0" w:rsidRPr="005B5EC1" w:rsidRDefault="00E32FE0">
            <w:pPr>
              <w:rPr>
                <w:rFonts w:ascii="Times New Roman" w:hAnsi="Times New Roman" w:cs="Times New Roman"/>
              </w:rPr>
            </w:pPr>
          </w:p>
        </w:tc>
      </w:tr>
      <w:tr w:rsidR="00E32FE0" w:rsidRPr="005B5EC1" w14:paraId="15E2D804"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FFB408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屠宰行业</w:t>
            </w:r>
          </w:p>
        </w:tc>
        <w:tc>
          <w:tcPr>
            <w:tcW w:w="1033" w:type="dxa"/>
            <w:tcBorders>
              <w:top w:val="single" w:sz="2" w:space="0" w:color="auto"/>
              <w:left w:val="single" w:sz="2" w:space="0" w:color="auto"/>
              <w:bottom w:val="single" w:sz="2" w:space="0" w:color="auto"/>
              <w:right w:val="single" w:sz="2" w:space="0" w:color="auto"/>
            </w:tcBorders>
            <w:vAlign w:val="center"/>
          </w:tcPr>
          <w:p w14:paraId="54E7E3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721" w:type="dxa"/>
            <w:tcBorders>
              <w:top w:val="single" w:sz="2" w:space="0" w:color="auto"/>
              <w:left w:val="single" w:sz="2" w:space="0" w:color="auto"/>
              <w:bottom w:val="single" w:sz="2" w:space="0" w:color="auto"/>
              <w:right w:val="single" w:sz="2" w:space="0" w:color="auto"/>
            </w:tcBorders>
            <w:vAlign w:val="center"/>
          </w:tcPr>
          <w:p w14:paraId="5F089D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8,789,225,832.69</w:t>
            </w:r>
          </w:p>
        </w:tc>
        <w:tc>
          <w:tcPr>
            <w:tcW w:w="1256" w:type="dxa"/>
            <w:tcBorders>
              <w:top w:val="single" w:sz="2" w:space="0" w:color="auto"/>
              <w:left w:val="single" w:sz="2" w:space="0" w:color="auto"/>
              <w:bottom w:val="single" w:sz="2" w:space="0" w:color="auto"/>
              <w:right w:val="single" w:sz="2" w:space="0" w:color="auto"/>
            </w:tcBorders>
            <w:vAlign w:val="center"/>
          </w:tcPr>
          <w:p w14:paraId="689F5E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83.30%</w:t>
            </w:r>
          </w:p>
        </w:tc>
        <w:tc>
          <w:tcPr>
            <w:tcW w:w="1701" w:type="dxa"/>
            <w:tcBorders>
              <w:top w:val="single" w:sz="2" w:space="0" w:color="auto"/>
              <w:left w:val="single" w:sz="2" w:space="0" w:color="auto"/>
              <w:bottom w:val="single" w:sz="2" w:space="0" w:color="auto"/>
              <w:right w:val="single" w:sz="2" w:space="0" w:color="auto"/>
            </w:tcBorders>
            <w:vAlign w:val="center"/>
          </w:tcPr>
          <w:p w14:paraId="44F805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9,844,332,552.89</w:t>
            </w:r>
          </w:p>
        </w:tc>
        <w:tc>
          <w:tcPr>
            <w:tcW w:w="1134" w:type="dxa"/>
            <w:tcBorders>
              <w:top w:val="single" w:sz="2" w:space="0" w:color="auto"/>
              <w:left w:val="single" w:sz="2" w:space="0" w:color="auto"/>
              <w:bottom w:val="single" w:sz="2" w:space="0" w:color="auto"/>
              <w:right w:val="single" w:sz="2" w:space="0" w:color="auto"/>
            </w:tcBorders>
            <w:vAlign w:val="center"/>
          </w:tcPr>
          <w:p w14:paraId="79F6D1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72.77%</w:t>
            </w:r>
          </w:p>
        </w:tc>
        <w:tc>
          <w:tcPr>
            <w:tcW w:w="1417" w:type="dxa"/>
            <w:tcBorders>
              <w:top w:val="single" w:sz="2" w:space="0" w:color="auto"/>
              <w:left w:val="single" w:sz="2" w:space="0" w:color="auto"/>
              <w:bottom w:val="single" w:sz="2" w:space="0" w:color="auto"/>
              <w:right w:val="single" w:sz="2" w:space="0" w:color="auto"/>
            </w:tcBorders>
            <w:vAlign w:val="center"/>
          </w:tcPr>
          <w:p w14:paraId="0CD657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-10.72%</w:t>
            </w:r>
          </w:p>
        </w:tc>
      </w:tr>
      <w:tr w:rsidR="00E32FE0" w:rsidRPr="005B5EC1" w14:paraId="20CC4DA7"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A85D8A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食品行业</w:t>
            </w:r>
          </w:p>
        </w:tc>
        <w:tc>
          <w:tcPr>
            <w:tcW w:w="1033" w:type="dxa"/>
            <w:tcBorders>
              <w:top w:val="single" w:sz="2" w:space="0" w:color="auto"/>
              <w:left w:val="single" w:sz="2" w:space="0" w:color="auto"/>
              <w:bottom w:val="single" w:sz="2" w:space="0" w:color="auto"/>
              <w:right w:val="single" w:sz="2" w:space="0" w:color="auto"/>
            </w:tcBorders>
            <w:vAlign w:val="center"/>
          </w:tcPr>
          <w:p w14:paraId="3BD4AE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721" w:type="dxa"/>
            <w:tcBorders>
              <w:top w:val="single" w:sz="2" w:space="0" w:color="auto"/>
              <w:left w:val="single" w:sz="2" w:space="0" w:color="auto"/>
              <w:bottom w:val="single" w:sz="2" w:space="0" w:color="auto"/>
              <w:right w:val="single" w:sz="2" w:space="0" w:color="auto"/>
            </w:tcBorders>
            <w:vAlign w:val="center"/>
          </w:tcPr>
          <w:p w14:paraId="6928AA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1,688,308,912.11</w:t>
            </w:r>
          </w:p>
        </w:tc>
        <w:tc>
          <w:tcPr>
            <w:tcW w:w="1256" w:type="dxa"/>
            <w:tcBorders>
              <w:top w:val="single" w:sz="2" w:space="0" w:color="auto"/>
              <w:left w:val="single" w:sz="2" w:space="0" w:color="auto"/>
              <w:bottom w:val="single" w:sz="2" w:space="0" w:color="auto"/>
              <w:right w:val="single" w:sz="2" w:space="0" w:color="auto"/>
            </w:tcBorders>
            <w:vAlign w:val="center"/>
          </w:tcPr>
          <w:p w14:paraId="583469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16.00%</w:t>
            </w:r>
          </w:p>
        </w:tc>
        <w:tc>
          <w:tcPr>
            <w:tcW w:w="1701" w:type="dxa"/>
            <w:tcBorders>
              <w:top w:val="single" w:sz="2" w:space="0" w:color="auto"/>
              <w:left w:val="single" w:sz="2" w:space="0" w:color="auto"/>
              <w:bottom w:val="single" w:sz="2" w:space="0" w:color="auto"/>
              <w:right w:val="single" w:sz="2" w:space="0" w:color="auto"/>
            </w:tcBorders>
            <w:vAlign w:val="center"/>
          </w:tcPr>
          <w:p w14:paraId="6DC319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1,998,231,046.51</w:t>
            </w:r>
          </w:p>
        </w:tc>
        <w:tc>
          <w:tcPr>
            <w:tcW w:w="1134" w:type="dxa"/>
            <w:tcBorders>
              <w:top w:val="single" w:sz="2" w:space="0" w:color="auto"/>
              <w:left w:val="single" w:sz="2" w:space="0" w:color="auto"/>
              <w:bottom w:val="single" w:sz="2" w:space="0" w:color="auto"/>
              <w:right w:val="single" w:sz="2" w:space="0" w:color="auto"/>
            </w:tcBorders>
            <w:vAlign w:val="center"/>
          </w:tcPr>
          <w:p w14:paraId="70A4C9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14.77%</w:t>
            </w:r>
          </w:p>
        </w:tc>
        <w:tc>
          <w:tcPr>
            <w:tcW w:w="1417" w:type="dxa"/>
            <w:tcBorders>
              <w:top w:val="single" w:sz="2" w:space="0" w:color="auto"/>
              <w:left w:val="single" w:sz="2" w:space="0" w:color="auto"/>
              <w:bottom w:val="single" w:sz="2" w:space="0" w:color="auto"/>
              <w:right w:val="single" w:sz="2" w:space="0" w:color="auto"/>
            </w:tcBorders>
            <w:vAlign w:val="center"/>
          </w:tcPr>
          <w:p w14:paraId="7CDC0C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-15.51%</w:t>
            </w:r>
          </w:p>
        </w:tc>
      </w:tr>
      <w:tr w:rsidR="00E32FE0" w:rsidRPr="005B5EC1" w14:paraId="47171A5B"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8CBCCC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进口贸易</w:t>
            </w:r>
          </w:p>
        </w:tc>
        <w:tc>
          <w:tcPr>
            <w:tcW w:w="1033" w:type="dxa"/>
            <w:tcBorders>
              <w:top w:val="single" w:sz="2" w:space="0" w:color="auto"/>
              <w:left w:val="single" w:sz="2" w:space="0" w:color="auto"/>
              <w:bottom w:val="single" w:sz="2" w:space="0" w:color="auto"/>
              <w:right w:val="single" w:sz="2" w:space="0" w:color="auto"/>
            </w:tcBorders>
            <w:vAlign w:val="center"/>
          </w:tcPr>
          <w:p w14:paraId="1D7B77E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721" w:type="dxa"/>
            <w:tcBorders>
              <w:top w:val="single" w:sz="2" w:space="0" w:color="auto"/>
              <w:left w:val="single" w:sz="2" w:space="0" w:color="auto"/>
              <w:bottom w:val="single" w:sz="2" w:space="0" w:color="auto"/>
              <w:right w:val="single" w:sz="2" w:space="0" w:color="auto"/>
            </w:tcBorders>
            <w:vAlign w:val="center"/>
          </w:tcPr>
          <w:p w14:paraId="24B2FC8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18,038,263.05</w:t>
            </w:r>
          </w:p>
        </w:tc>
        <w:tc>
          <w:tcPr>
            <w:tcW w:w="1256" w:type="dxa"/>
            <w:tcBorders>
              <w:top w:val="single" w:sz="2" w:space="0" w:color="auto"/>
              <w:left w:val="single" w:sz="2" w:space="0" w:color="auto"/>
              <w:bottom w:val="single" w:sz="2" w:space="0" w:color="auto"/>
              <w:right w:val="single" w:sz="2" w:space="0" w:color="auto"/>
            </w:tcBorders>
            <w:vAlign w:val="center"/>
          </w:tcPr>
          <w:p w14:paraId="018EC8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0.17%</w:t>
            </w:r>
          </w:p>
        </w:tc>
        <w:tc>
          <w:tcPr>
            <w:tcW w:w="1701" w:type="dxa"/>
            <w:tcBorders>
              <w:top w:val="single" w:sz="2" w:space="0" w:color="auto"/>
              <w:left w:val="single" w:sz="2" w:space="0" w:color="auto"/>
              <w:bottom w:val="single" w:sz="2" w:space="0" w:color="auto"/>
              <w:right w:val="single" w:sz="2" w:space="0" w:color="auto"/>
            </w:tcBorders>
            <w:vAlign w:val="center"/>
          </w:tcPr>
          <w:p w14:paraId="5DB52B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1,263,269,938.20</w:t>
            </w:r>
          </w:p>
        </w:tc>
        <w:tc>
          <w:tcPr>
            <w:tcW w:w="1134" w:type="dxa"/>
            <w:tcBorders>
              <w:top w:val="single" w:sz="2" w:space="0" w:color="auto"/>
              <w:left w:val="single" w:sz="2" w:space="0" w:color="auto"/>
              <w:bottom w:val="single" w:sz="2" w:space="0" w:color="auto"/>
              <w:right w:val="single" w:sz="2" w:space="0" w:color="auto"/>
            </w:tcBorders>
            <w:vAlign w:val="center"/>
          </w:tcPr>
          <w:p w14:paraId="0A435C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9.34%</w:t>
            </w:r>
          </w:p>
        </w:tc>
        <w:tc>
          <w:tcPr>
            <w:tcW w:w="1417" w:type="dxa"/>
            <w:tcBorders>
              <w:top w:val="single" w:sz="2" w:space="0" w:color="auto"/>
              <w:left w:val="single" w:sz="2" w:space="0" w:color="auto"/>
              <w:bottom w:val="single" w:sz="2" w:space="0" w:color="auto"/>
              <w:right w:val="single" w:sz="2" w:space="0" w:color="auto"/>
            </w:tcBorders>
            <w:vAlign w:val="center"/>
          </w:tcPr>
          <w:p w14:paraId="5537572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-98.57%</w:t>
            </w:r>
          </w:p>
        </w:tc>
      </w:tr>
      <w:tr w:rsidR="00E32FE0" w:rsidRPr="005B5EC1" w14:paraId="7B11F338"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C5AEED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033" w:type="dxa"/>
            <w:tcBorders>
              <w:top w:val="single" w:sz="2" w:space="0" w:color="auto"/>
              <w:left w:val="single" w:sz="2" w:space="0" w:color="auto"/>
              <w:bottom w:val="single" w:sz="2" w:space="0" w:color="auto"/>
              <w:right w:val="single" w:sz="2" w:space="0" w:color="auto"/>
            </w:tcBorders>
            <w:vAlign w:val="center"/>
          </w:tcPr>
          <w:p w14:paraId="2788DF5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721" w:type="dxa"/>
            <w:tcBorders>
              <w:top w:val="single" w:sz="2" w:space="0" w:color="auto"/>
              <w:left w:val="single" w:sz="2" w:space="0" w:color="auto"/>
              <w:bottom w:val="single" w:sz="2" w:space="0" w:color="auto"/>
              <w:right w:val="single" w:sz="2" w:space="0" w:color="auto"/>
            </w:tcBorders>
            <w:vAlign w:val="center"/>
          </w:tcPr>
          <w:p w14:paraId="48ED83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56,268,001.75</w:t>
            </w:r>
          </w:p>
        </w:tc>
        <w:tc>
          <w:tcPr>
            <w:tcW w:w="1256" w:type="dxa"/>
            <w:tcBorders>
              <w:top w:val="single" w:sz="2" w:space="0" w:color="auto"/>
              <w:left w:val="single" w:sz="2" w:space="0" w:color="auto"/>
              <w:bottom w:val="single" w:sz="2" w:space="0" w:color="auto"/>
              <w:right w:val="single" w:sz="2" w:space="0" w:color="auto"/>
            </w:tcBorders>
            <w:vAlign w:val="center"/>
          </w:tcPr>
          <w:p w14:paraId="5ADD45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0.53%</w:t>
            </w:r>
          </w:p>
        </w:tc>
        <w:tc>
          <w:tcPr>
            <w:tcW w:w="1701" w:type="dxa"/>
            <w:tcBorders>
              <w:top w:val="single" w:sz="2" w:space="0" w:color="auto"/>
              <w:left w:val="single" w:sz="2" w:space="0" w:color="auto"/>
              <w:bottom w:val="single" w:sz="2" w:space="0" w:color="auto"/>
              <w:right w:val="single" w:sz="2" w:space="0" w:color="auto"/>
            </w:tcBorders>
            <w:vAlign w:val="center"/>
          </w:tcPr>
          <w:p w14:paraId="75CF0B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422,833,896.83</w:t>
            </w:r>
          </w:p>
        </w:tc>
        <w:tc>
          <w:tcPr>
            <w:tcW w:w="1134" w:type="dxa"/>
            <w:tcBorders>
              <w:top w:val="single" w:sz="2" w:space="0" w:color="auto"/>
              <w:left w:val="single" w:sz="2" w:space="0" w:color="auto"/>
              <w:bottom w:val="single" w:sz="2" w:space="0" w:color="auto"/>
              <w:right w:val="single" w:sz="2" w:space="0" w:color="auto"/>
            </w:tcBorders>
            <w:vAlign w:val="center"/>
          </w:tcPr>
          <w:p w14:paraId="22E9C5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3.12%</w:t>
            </w:r>
          </w:p>
        </w:tc>
        <w:tc>
          <w:tcPr>
            <w:tcW w:w="1417" w:type="dxa"/>
            <w:tcBorders>
              <w:top w:val="single" w:sz="2" w:space="0" w:color="auto"/>
              <w:left w:val="single" w:sz="2" w:space="0" w:color="auto"/>
              <w:bottom w:val="single" w:sz="2" w:space="0" w:color="auto"/>
              <w:right w:val="single" w:sz="2" w:space="0" w:color="auto"/>
            </w:tcBorders>
            <w:vAlign w:val="center"/>
          </w:tcPr>
          <w:p w14:paraId="7D387CA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-86.69%</w:t>
            </w:r>
          </w:p>
        </w:tc>
      </w:tr>
      <w:tr w:rsidR="00E32FE0" w:rsidRPr="005B5EC1" w14:paraId="6B53141B"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AAC97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033" w:type="dxa"/>
            <w:tcBorders>
              <w:top w:val="single" w:sz="2" w:space="0" w:color="auto"/>
              <w:left w:val="single" w:sz="2" w:space="0" w:color="auto"/>
              <w:bottom w:val="single" w:sz="2" w:space="0" w:color="auto"/>
              <w:right w:val="single" w:sz="2" w:space="0" w:color="auto"/>
            </w:tcBorders>
            <w:vAlign w:val="center"/>
          </w:tcPr>
          <w:p w14:paraId="4A300EC8" w14:textId="77777777" w:rsidR="00E32FE0" w:rsidRPr="005B5EC1" w:rsidRDefault="00E32FE0">
            <w:pPr>
              <w:spacing w:after="0" w:line="240" w:lineRule="exact"/>
              <w:rPr>
                <w:rFonts w:ascii="Times New Roman" w:eastAsia="宋体" w:hAnsi="Times New Roman" w:cs="Times New Roman"/>
                <w:sz w:val="18"/>
                <w:szCs w:val="18"/>
              </w:rPr>
            </w:pPr>
          </w:p>
        </w:tc>
        <w:tc>
          <w:tcPr>
            <w:tcW w:w="1721" w:type="dxa"/>
            <w:tcBorders>
              <w:top w:val="single" w:sz="2" w:space="0" w:color="auto"/>
              <w:left w:val="single" w:sz="2" w:space="0" w:color="auto"/>
              <w:bottom w:val="single" w:sz="2" w:space="0" w:color="auto"/>
              <w:right w:val="single" w:sz="2" w:space="0" w:color="auto"/>
            </w:tcBorders>
            <w:vAlign w:val="center"/>
          </w:tcPr>
          <w:p w14:paraId="30B3F77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10,551,841,009.60</w:t>
            </w:r>
          </w:p>
        </w:tc>
        <w:tc>
          <w:tcPr>
            <w:tcW w:w="1256" w:type="dxa"/>
            <w:tcBorders>
              <w:top w:val="single" w:sz="2" w:space="0" w:color="auto"/>
              <w:left w:val="single" w:sz="2" w:space="0" w:color="auto"/>
              <w:bottom w:val="single" w:sz="2" w:space="0" w:color="auto"/>
              <w:right w:val="single" w:sz="2" w:space="0" w:color="auto"/>
            </w:tcBorders>
            <w:vAlign w:val="center"/>
          </w:tcPr>
          <w:p w14:paraId="032A07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701" w:type="dxa"/>
            <w:tcBorders>
              <w:top w:val="single" w:sz="2" w:space="0" w:color="auto"/>
              <w:left w:val="single" w:sz="2" w:space="0" w:color="auto"/>
              <w:bottom w:val="single" w:sz="2" w:space="0" w:color="auto"/>
              <w:right w:val="single" w:sz="2" w:space="0" w:color="auto"/>
            </w:tcBorders>
            <w:vAlign w:val="center"/>
          </w:tcPr>
          <w:p w14:paraId="7E7F95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13,528,667,434.43</w:t>
            </w:r>
          </w:p>
        </w:tc>
        <w:tc>
          <w:tcPr>
            <w:tcW w:w="1134" w:type="dxa"/>
            <w:tcBorders>
              <w:top w:val="single" w:sz="2" w:space="0" w:color="auto"/>
              <w:left w:val="single" w:sz="2" w:space="0" w:color="auto"/>
              <w:bottom w:val="single" w:sz="2" w:space="0" w:color="auto"/>
              <w:right w:val="single" w:sz="2" w:space="0" w:color="auto"/>
            </w:tcBorders>
            <w:vAlign w:val="center"/>
          </w:tcPr>
          <w:p w14:paraId="7F9FA6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14:paraId="2AC890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-22.00%</w:t>
            </w:r>
          </w:p>
        </w:tc>
      </w:tr>
    </w:tbl>
    <w:p w14:paraId="6D3751BB"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033"/>
        <w:gridCol w:w="1721"/>
        <w:gridCol w:w="1256"/>
        <w:gridCol w:w="1701"/>
        <w:gridCol w:w="1174"/>
        <w:gridCol w:w="1377"/>
      </w:tblGrid>
      <w:tr w:rsidR="00E32FE0" w:rsidRPr="005B5EC1" w14:paraId="6667F937" w14:textId="77777777" w:rsidTr="00BB1F9D">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E4771E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产品分类</w:t>
            </w:r>
          </w:p>
        </w:tc>
        <w:tc>
          <w:tcPr>
            <w:tcW w:w="103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EAD98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DA80C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287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2E319C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D61A79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同比增减</w:t>
            </w:r>
          </w:p>
        </w:tc>
      </w:tr>
      <w:tr w:rsidR="00E32FE0" w:rsidRPr="005B5EC1" w14:paraId="2E03B8A4" w14:textId="77777777" w:rsidTr="00BB1F9D">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DD0A240" w14:textId="77777777" w:rsidR="00E32FE0" w:rsidRPr="005B5EC1" w:rsidRDefault="00E32FE0">
            <w:pPr>
              <w:rPr>
                <w:rFonts w:ascii="Times New Roman" w:hAnsi="Times New Roman" w:cs="Times New Roman"/>
              </w:rPr>
            </w:pPr>
          </w:p>
        </w:tc>
        <w:tc>
          <w:tcPr>
            <w:tcW w:w="103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ED40FA" w14:textId="77777777" w:rsidR="00E32FE0" w:rsidRPr="005B5EC1" w:rsidRDefault="00E32FE0">
            <w:pPr>
              <w:rPr>
                <w:rFonts w:ascii="Times New Roman" w:hAnsi="Times New Roman" w:cs="Times New Roman"/>
              </w:rPr>
            </w:pPr>
          </w:p>
        </w:tc>
        <w:tc>
          <w:tcPr>
            <w:tcW w:w="1721" w:type="dxa"/>
            <w:tcBorders>
              <w:top w:val="single" w:sz="2" w:space="0" w:color="auto"/>
              <w:left w:val="single" w:sz="2" w:space="0" w:color="auto"/>
              <w:bottom w:val="single" w:sz="2" w:space="0" w:color="auto"/>
              <w:right w:val="single" w:sz="2" w:space="0" w:color="auto"/>
            </w:tcBorders>
            <w:shd w:val="clear" w:color="auto" w:fill="D3D3D3"/>
            <w:vAlign w:val="center"/>
          </w:tcPr>
          <w:p w14:paraId="33E274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256" w:type="dxa"/>
            <w:tcBorders>
              <w:top w:val="single" w:sz="2" w:space="0" w:color="auto"/>
              <w:left w:val="single" w:sz="2" w:space="0" w:color="auto"/>
              <w:bottom w:val="single" w:sz="2" w:space="0" w:color="auto"/>
              <w:right w:val="single" w:sz="2" w:space="0" w:color="auto"/>
            </w:tcBorders>
            <w:shd w:val="clear" w:color="auto" w:fill="D3D3D3"/>
            <w:vAlign w:val="center"/>
          </w:tcPr>
          <w:p w14:paraId="119BA5B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占营业成本比重</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B305FA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174" w:type="dxa"/>
            <w:tcBorders>
              <w:top w:val="single" w:sz="2" w:space="0" w:color="auto"/>
              <w:left w:val="single" w:sz="2" w:space="0" w:color="auto"/>
              <w:bottom w:val="single" w:sz="2" w:space="0" w:color="auto"/>
              <w:right w:val="single" w:sz="2" w:space="0" w:color="auto"/>
            </w:tcBorders>
            <w:shd w:val="clear" w:color="auto" w:fill="D3D3D3"/>
            <w:vAlign w:val="center"/>
          </w:tcPr>
          <w:p w14:paraId="29D34AA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占营业成本比重</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E414EE" w14:textId="77777777" w:rsidR="00E32FE0" w:rsidRPr="005B5EC1" w:rsidRDefault="00E32FE0">
            <w:pPr>
              <w:rPr>
                <w:rFonts w:ascii="Times New Roman" w:hAnsi="Times New Roman" w:cs="Times New Roman"/>
              </w:rPr>
            </w:pPr>
          </w:p>
        </w:tc>
      </w:tr>
      <w:tr w:rsidR="00E32FE0" w:rsidRPr="005B5EC1" w14:paraId="215A191B"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FCF3EA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鲜冻肉</w:t>
            </w:r>
          </w:p>
        </w:tc>
        <w:tc>
          <w:tcPr>
            <w:tcW w:w="1033" w:type="dxa"/>
            <w:tcBorders>
              <w:top w:val="single" w:sz="2" w:space="0" w:color="auto"/>
              <w:left w:val="single" w:sz="2" w:space="0" w:color="auto"/>
              <w:bottom w:val="single" w:sz="2" w:space="0" w:color="auto"/>
              <w:right w:val="single" w:sz="2" w:space="0" w:color="auto"/>
            </w:tcBorders>
            <w:vAlign w:val="center"/>
          </w:tcPr>
          <w:p w14:paraId="2CA4372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721" w:type="dxa"/>
            <w:tcBorders>
              <w:top w:val="single" w:sz="2" w:space="0" w:color="auto"/>
              <w:left w:val="single" w:sz="2" w:space="0" w:color="auto"/>
              <w:bottom w:val="single" w:sz="2" w:space="0" w:color="auto"/>
              <w:right w:val="single" w:sz="2" w:space="0" w:color="auto"/>
            </w:tcBorders>
            <w:vAlign w:val="center"/>
          </w:tcPr>
          <w:p w14:paraId="32E5D2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8,789,225,832.69</w:t>
            </w:r>
          </w:p>
        </w:tc>
        <w:tc>
          <w:tcPr>
            <w:tcW w:w="1256" w:type="dxa"/>
            <w:tcBorders>
              <w:top w:val="single" w:sz="2" w:space="0" w:color="auto"/>
              <w:left w:val="single" w:sz="2" w:space="0" w:color="auto"/>
              <w:bottom w:val="single" w:sz="2" w:space="0" w:color="auto"/>
              <w:right w:val="single" w:sz="2" w:space="0" w:color="auto"/>
            </w:tcBorders>
            <w:vAlign w:val="center"/>
          </w:tcPr>
          <w:p w14:paraId="35D1FC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83.30%</w:t>
            </w:r>
          </w:p>
        </w:tc>
        <w:tc>
          <w:tcPr>
            <w:tcW w:w="1701" w:type="dxa"/>
            <w:tcBorders>
              <w:top w:val="single" w:sz="2" w:space="0" w:color="auto"/>
              <w:left w:val="single" w:sz="2" w:space="0" w:color="auto"/>
              <w:bottom w:val="single" w:sz="2" w:space="0" w:color="auto"/>
              <w:right w:val="single" w:sz="2" w:space="0" w:color="auto"/>
            </w:tcBorders>
            <w:vAlign w:val="center"/>
          </w:tcPr>
          <w:p w14:paraId="53CE50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9,844,332,552.89</w:t>
            </w:r>
          </w:p>
        </w:tc>
        <w:tc>
          <w:tcPr>
            <w:tcW w:w="1174" w:type="dxa"/>
            <w:tcBorders>
              <w:top w:val="single" w:sz="2" w:space="0" w:color="auto"/>
              <w:left w:val="single" w:sz="2" w:space="0" w:color="auto"/>
              <w:bottom w:val="single" w:sz="2" w:space="0" w:color="auto"/>
              <w:right w:val="single" w:sz="2" w:space="0" w:color="auto"/>
            </w:tcBorders>
            <w:vAlign w:val="center"/>
          </w:tcPr>
          <w:p w14:paraId="2D0047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72.77%</w:t>
            </w:r>
          </w:p>
        </w:tc>
        <w:tc>
          <w:tcPr>
            <w:tcW w:w="1377" w:type="dxa"/>
            <w:tcBorders>
              <w:top w:val="single" w:sz="2" w:space="0" w:color="auto"/>
              <w:left w:val="single" w:sz="2" w:space="0" w:color="auto"/>
              <w:bottom w:val="single" w:sz="2" w:space="0" w:color="auto"/>
              <w:right w:val="single" w:sz="2" w:space="0" w:color="auto"/>
            </w:tcBorders>
            <w:vAlign w:val="center"/>
          </w:tcPr>
          <w:p w14:paraId="7EC331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-10.72%</w:t>
            </w:r>
          </w:p>
        </w:tc>
      </w:tr>
      <w:tr w:rsidR="00E32FE0" w:rsidRPr="005B5EC1" w14:paraId="65367704"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881EB1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熟食制品</w:t>
            </w:r>
          </w:p>
        </w:tc>
        <w:tc>
          <w:tcPr>
            <w:tcW w:w="1033" w:type="dxa"/>
            <w:tcBorders>
              <w:top w:val="single" w:sz="2" w:space="0" w:color="auto"/>
              <w:left w:val="single" w:sz="2" w:space="0" w:color="auto"/>
              <w:bottom w:val="single" w:sz="2" w:space="0" w:color="auto"/>
              <w:right w:val="single" w:sz="2" w:space="0" w:color="auto"/>
            </w:tcBorders>
            <w:vAlign w:val="center"/>
          </w:tcPr>
          <w:p w14:paraId="4B239EE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721" w:type="dxa"/>
            <w:tcBorders>
              <w:top w:val="single" w:sz="2" w:space="0" w:color="auto"/>
              <w:left w:val="single" w:sz="2" w:space="0" w:color="auto"/>
              <w:bottom w:val="single" w:sz="2" w:space="0" w:color="auto"/>
              <w:right w:val="single" w:sz="2" w:space="0" w:color="auto"/>
            </w:tcBorders>
            <w:vAlign w:val="center"/>
          </w:tcPr>
          <w:p w14:paraId="3092DD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160,469,869.41</w:t>
            </w:r>
          </w:p>
        </w:tc>
        <w:tc>
          <w:tcPr>
            <w:tcW w:w="1256" w:type="dxa"/>
            <w:tcBorders>
              <w:top w:val="single" w:sz="2" w:space="0" w:color="auto"/>
              <w:left w:val="single" w:sz="2" w:space="0" w:color="auto"/>
              <w:bottom w:val="single" w:sz="2" w:space="0" w:color="auto"/>
              <w:right w:val="single" w:sz="2" w:space="0" w:color="auto"/>
            </w:tcBorders>
            <w:vAlign w:val="center"/>
          </w:tcPr>
          <w:p w14:paraId="0D59A6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1.52%</w:t>
            </w:r>
          </w:p>
        </w:tc>
        <w:tc>
          <w:tcPr>
            <w:tcW w:w="1701" w:type="dxa"/>
            <w:tcBorders>
              <w:top w:val="single" w:sz="2" w:space="0" w:color="auto"/>
              <w:left w:val="single" w:sz="2" w:space="0" w:color="auto"/>
              <w:bottom w:val="single" w:sz="2" w:space="0" w:color="auto"/>
              <w:right w:val="single" w:sz="2" w:space="0" w:color="auto"/>
            </w:tcBorders>
            <w:vAlign w:val="center"/>
          </w:tcPr>
          <w:p w14:paraId="435BBD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207,157,310.59</w:t>
            </w:r>
          </w:p>
        </w:tc>
        <w:tc>
          <w:tcPr>
            <w:tcW w:w="1174" w:type="dxa"/>
            <w:tcBorders>
              <w:top w:val="single" w:sz="2" w:space="0" w:color="auto"/>
              <w:left w:val="single" w:sz="2" w:space="0" w:color="auto"/>
              <w:bottom w:val="single" w:sz="2" w:space="0" w:color="auto"/>
              <w:right w:val="single" w:sz="2" w:space="0" w:color="auto"/>
            </w:tcBorders>
            <w:vAlign w:val="center"/>
          </w:tcPr>
          <w:p w14:paraId="31808C2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w:t>
            </w:r>
          </w:p>
        </w:tc>
        <w:tc>
          <w:tcPr>
            <w:tcW w:w="1377" w:type="dxa"/>
            <w:tcBorders>
              <w:top w:val="single" w:sz="2" w:space="0" w:color="auto"/>
              <w:left w:val="single" w:sz="2" w:space="0" w:color="auto"/>
              <w:bottom w:val="single" w:sz="2" w:space="0" w:color="auto"/>
              <w:right w:val="single" w:sz="2" w:space="0" w:color="auto"/>
            </w:tcBorders>
            <w:vAlign w:val="center"/>
          </w:tcPr>
          <w:p w14:paraId="2B8D42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-22.54%</w:t>
            </w:r>
          </w:p>
        </w:tc>
      </w:tr>
      <w:tr w:rsidR="00E32FE0" w:rsidRPr="005B5EC1" w14:paraId="2A5C49B5"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580C0D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预制食品</w:t>
            </w:r>
          </w:p>
        </w:tc>
        <w:tc>
          <w:tcPr>
            <w:tcW w:w="1033" w:type="dxa"/>
            <w:tcBorders>
              <w:top w:val="single" w:sz="2" w:space="0" w:color="auto"/>
              <w:left w:val="single" w:sz="2" w:space="0" w:color="auto"/>
              <w:bottom w:val="single" w:sz="2" w:space="0" w:color="auto"/>
              <w:right w:val="single" w:sz="2" w:space="0" w:color="auto"/>
            </w:tcBorders>
            <w:vAlign w:val="center"/>
          </w:tcPr>
          <w:p w14:paraId="677424D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721" w:type="dxa"/>
            <w:tcBorders>
              <w:top w:val="single" w:sz="2" w:space="0" w:color="auto"/>
              <w:left w:val="single" w:sz="2" w:space="0" w:color="auto"/>
              <w:bottom w:val="single" w:sz="2" w:space="0" w:color="auto"/>
              <w:right w:val="single" w:sz="2" w:space="0" w:color="auto"/>
            </w:tcBorders>
            <w:vAlign w:val="center"/>
          </w:tcPr>
          <w:p w14:paraId="6DB659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1,527,839,042.70</w:t>
            </w:r>
          </w:p>
        </w:tc>
        <w:tc>
          <w:tcPr>
            <w:tcW w:w="1256" w:type="dxa"/>
            <w:tcBorders>
              <w:top w:val="single" w:sz="2" w:space="0" w:color="auto"/>
              <w:left w:val="single" w:sz="2" w:space="0" w:color="auto"/>
              <w:bottom w:val="single" w:sz="2" w:space="0" w:color="auto"/>
              <w:right w:val="single" w:sz="2" w:space="0" w:color="auto"/>
            </w:tcBorders>
            <w:vAlign w:val="center"/>
          </w:tcPr>
          <w:p w14:paraId="079FAD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14.48%</w:t>
            </w:r>
          </w:p>
        </w:tc>
        <w:tc>
          <w:tcPr>
            <w:tcW w:w="1701" w:type="dxa"/>
            <w:tcBorders>
              <w:top w:val="single" w:sz="2" w:space="0" w:color="auto"/>
              <w:left w:val="single" w:sz="2" w:space="0" w:color="auto"/>
              <w:bottom w:val="single" w:sz="2" w:space="0" w:color="auto"/>
              <w:right w:val="single" w:sz="2" w:space="0" w:color="auto"/>
            </w:tcBorders>
            <w:vAlign w:val="center"/>
          </w:tcPr>
          <w:p w14:paraId="13C03E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1,791,073,735.92</w:t>
            </w:r>
          </w:p>
        </w:tc>
        <w:tc>
          <w:tcPr>
            <w:tcW w:w="1174" w:type="dxa"/>
            <w:tcBorders>
              <w:top w:val="single" w:sz="2" w:space="0" w:color="auto"/>
              <w:left w:val="single" w:sz="2" w:space="0" w:color="auto"/>
              <w:bottom w:val="single" w:sz="2" w:space="0" w:color="auto"/>
              <w:right w:val="single" w:sz="2" w:space="0" w:color="auto"/>
            </w:tcBorders>
            <w:vAlign w:val="center"/>
          </w:tcPr>
          <w:p w14:paraId="512595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13.24%</w:t>
            </w:r>
          </w:p>
        </w:tc>
        <w:tc>
          <w:tcPr>
            <w:tcW w:w="1377" w:type="dxa"/>
            <w:tcBorders>
              <w:top w:val="single" w:sz="2" w:space="0" w:color="auto"/>
              <w:left w:val="single" w:sz="2" w:space="0" w:color="auto"/>
              <w:bottom w:val="single" w:sz="2" w:space="0" w:color="auto"/>
              <w:right w:val="single" w:sz="2" w:space="0" w:color="auto"/>
            </w:tcBorders>
            <w:vAlign w:val="center"/>
          </w:tcPr>
          <w:p w14:paraId="29E0A6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-14.70%</w:t>
            </w:r>
          </w:p>
        </w:tc>
      </w:tr>
      <w:tr w:rsidR="00E32FE0" w:rsidRPr="005B5EC1" w14:paraId="464843EC"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184768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进口贸易</w:t>
            </w:r>
          </w:p>
        </w:tc>
        <w:tc>
          <w:tcPr>
            <w:tcW w:w="1033" w:type="dxa"/>
            <w:tcBorders>
              <w:top w:val="single" w:sz="2" w:space="0" w:color="auto"/>
              <w:left w:val="single" w:sz="2" w:space="0" w:color="auto"/>
              <w:bottom w:val="single" w:sz="2" w:space="0" w:color="auto"/>
              <w:right w:val="single" w:sz="2" w:space="0" w:color="auto"/>
            </w:tcBorders>
            <w:vAlign w:val="center"/>
          </w:tcPr>
          <w:p w14:paraId="41C2ECD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721" w:type="dxa"/>
            <w:tcBorders>
              <w:top w:val="single" w:sz="2" w:space="0" w:color="auto"/>
              <w:left w:val="single" w:sz="2" w:space="0" w:color="auto"/>
              <w:bottom w:val="single" w:sz="2" w:space="0" w:color="auto"/>
              <w:right w:val="single" w:sz="2" w:space="0" w:color="auto"/>
            </w:tcBorders>
            <w:vAlign w:val="center"/>
          </w:tcPr>
          <w:p w14:paraId="6E057E0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18,038,263.05</w:t>
            </w:r>
          </w:p>
        </w:tc>
        <w:tc>
          <w:tcPr>
            <w:tcW w:w="1256" w:type="dxa"/>
            <w:tcBorders>
              <w:top w:val="single" w:sz="2" w:space="0" w:color="auto"/>
              <w:left w:val="single" w:sz="2" w:space="0" w:color="auto"/>
              <w:bottom w:val="single" w:sz="2" w:space="0" w:color="auto"/>
              <w:right w:val="single" w:sz="2" w:space="0" w:color="auto"/>
            </w:tcBorders>
            <w:vAlign w:val="center"/>
          </w:tcPr>
          <w:p w14:paraId="63C09E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0.17%</w:t>
            </w:r>
          </w:p>
        </w:tc>
        <w:tc>
          <w:tcPr>
            <w:tcW w:w="1701" w:type="dxa"/>
            <w:tcBorders>
              <w:top w:val="single" w:sz="2" w:space="0" w:color="auto"/>
              <w:left w:val="single" w:sz="2" w:space="0" w:color="auto"/>
              <w:bottom w:val="single" w:sz="2" w:space="0" w:color="auto"/>
              <w:right w:val="single" w:sz="2" w:space="0" w:color="auto"/>
            </w:tcBorders>
            <w:vAlign w:val="center"/>
          </w:tcPr>
          <w:p w14:paraId="6F93F4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1,263,269,938.20</w:t>
            </w:r>
          </w:p>
        </w:tc>
        <w:tc>
          <w:tcPr>
            <w:tcW w:w="1174" w:type="dxa"/>
            <w:tcBorders>
              <w:top w:val="single" w:sz="2" w:space="0" w:color="auto"/>
              <w:left w:val="single" w:sz="2" w:space="0" w:color="auto"/>
              <w:bottom w:val="single" w:sz="2" w:space="0" w:color="auto"/>
              <w:right w:val="single" w:sz="2" w:space="0" w:color="auto"/>
            </w:tcBorders>
            <w:vAlign w:val="center"/>
          </w:tcPr>
          <w:p w14:paraId="1A288D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9.34%</w:t>
            </w:r>
          </w:p>
        </w:tc>
        <w:tc>
          <w:tcPr>
            <w:tcW w:w="1377" w:type="dxa"/>
            <w:tcBorders>
              <w:top w:val="single" w:sz="2" w:space="0" w:color="auto"/>
              <w:left w:val="single" w:sz="2" w:space="0" w:color="auto"/>
              <w:bottom w:val="single" w:sz="2" w:space="0" w:color="auto"/>
              <w:right w:val="single" w:sz="2" w:space="0" w:color="auto"/>
            </w:tcBorders>
            <w:vAlign w:val="center"/>
          </w:tcPr>
          <w:p w14:paraId="20D5D4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-98.57%</w:t>
            </w:r>
          </w:p>
        </w:tc>
      </w:tr>
      <w:tr w:rsidR="00E32FE0" w:rsidRPr="005B5EC1" w14:paraId="72949DB0"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D6283A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033" w:type="dxa"/>
            <w:tcBorders>
              <w:top w:val="single" w:sz="2" w:space="0" w:color="auto"/>
              <w:left w:val="single" w:sz="2" w:space="0" w:color="auto"/>
              <w:bottom w:val="single" w:sz="2" w:space="0" w:color="auto"/>
              <w:right w:val="single" w:sz="2" w:space="0" w:color="auto"/>
            </w:tcBorders>
            <w:vAlign w:val="center"/>
          </w:tcPr>
          <w:p w14:paraId="2760C1F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721" w:type="dxa"/>
            <w:tcBorders>
              <w:top w:val="single" w:sz="2" w:space="0" w:color="auto"/>
              <w:left w:val="single" w:sz="2" w:space="0" w:color="auto"/>
              <w:bottom w:val="single" w:sz="2" w:space="0" w:color="auto"/>
              <w:right w:val="single" w:sz="2" w:space="0" w:color="auto"/>
            </w:tcBorders>
            <w:vAlign w:val="center"/>
          </w:tcPr>
          <w:p w14:paraId="45FDA1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56,268,001.75</w:t>
            </w:r>
          </w:p>
        </w:tc>
        <w:tc>
          <w:tcPr>
            <w:tcW w:w="1256" w:type="dxa"/>
            <w:tcBorders>
              <w:top w:val="single" w:sz="2" w:space="0" w:color="auto"/>
              <w:left w:val="single" w:sz="2" w:space="0" w:color="auto"/>
              <w:bottom w:val="single" w:sz="2" w:space="0" w:color="auto"/>
              <w:right w:val="single" w:sz="2" w:space="0" w:color="auto"/>
            </w:tcBorders>
            <w:vAlign w:val="center"/>
          </w:tcPr>
          <w:p w14:paraId="2E201E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0.53%</w:t>
            </w:r>
          </w:p>
        </w:tc>
        <w:tc>
          <w:tcPr>
            <w:tcW w:w="1701" w:type="dxa"/>
            <w:tcBorders>
              <w:top w:val="single" w:sz="2" w:space="0" w:color="auto"/>
              <w:left w:val="single" w:sz="2" w:space="0" w:color="auto"/>
              <w:bottom w:val="single" w:sz="2" w:space="0" w:color="auto"/>
              <w:right w:val="single" w:sz="2" w:space="0" w:color="auto"/>
            </w:tcBorders>
            <w:vAlign w:val="center"/>
          </w:tcPr>
          <w:p w14:paraId="214D05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422,833,896.83</w:t>
            </w:r>
          </w:p>
        </w:tc>
        <w:tc>
          <w:tcPr>
            <w:tcW w:w="1174" w:type="dxa"/>
            <w:tcBorders>
              <w:top w:val="single" w:sz="2" w:space="0" w:color="auto"/>
              <w:left w:val="single" w:sz="2" w:space="0" w:color="auto"/>
              <w:bottom w:val="single" w:sz="2" w:space="0" w:color="auto"/>
              <w:right w:val="single" w:sz="2" w:space="0" w:color="auto"/>
            </w:tcBorders>
            <w:vAlign w:val="center"/>
          </w:tcPr>
          <w:p w14:paraId="22E5BE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3.12%</w:t>
            </w:r>
          </w:p>
        </w:tc>
        <w:tc>
          <w:tcPr>
            <w:tcW w:w="1377" w:type="dxa"/>
            <w:tcBorders>
              <w:top w:val="single" w:sz="2" w:space="0" w:color="auto"/>
              <w:left w:val="single" w:sz="2" w:space="0" w:color="auto"/>
              <w:bottom w:val="single" w:sz="2" w:space="0" w:color="auto"/>
              <w:right w:val="single" w:sz="2" w:space="0" w:color="auto"/>
            </w:tcBorders>
            <w:vAlign w:val="center"/>
          </w:tcPr>
          <w:p w14:paraId="62D3CE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-86.69%</w:t>
            </w:r>
          </w:p>
        </w:tc>
      </w:tr>
      <w:tr w:rsidR="00E32FE0" w:rsidRPr="005B5EC1" w14:paraId="263CE849" w14:textId="77777777" w:rsidTr="00BB1F9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A72686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033" w:type="dxa"/>
            <w:tcBorders>
              <w:top w:val="single" w:sz="2" w:space="0" w:color="auto"/>
              <w:left w:val="single" w:sz="2" w:space="0" w:color="auto"/>
              <w:bottom w:val="single" w:sz="2" w:space="0" w:color="auto"/>
              <w:right w:val="single" w:sz="2" w:space="0" w:color="auto"/>
            </w:tcBorders>
            <w:vAlign w:val="center"/>
          </w:tcPr>
          <w:p w14:paraId="221B9D1F" w14:textId="77777777" w:rsidR="00E32FE0" w:rsidRPr="005B5EC1" w:rsidRDefault="00E32FE0">
            <w:pPr>
              <w:spacing w:after="0" w:line="240" w:lineRule="exact"/>
              <w:rPr>
                <w:rFonts w:ascii="Times New Roman" w:eastAsia="宋体" w:hAnsi="Times New Roman" w:cs="Times New Roman"/>
                <w:sz w:val="18"/>
                <w:szCs w:val="18"/>
              </w:rPr>
            </w:pPr>
          </w:p>
        </w:tc>
        <w:tc>
          <w:tcPr>
            <w:tcW w:w="1721" w:type="dxa"/>
            <w:tcBorders>
              <w:top w:val="single" w:sz="2" w:space="0" w:color="auto"/>
              <w:left w:val="single" w:sz="2" w:space="0" w:color="auto"/>
              <w:bottom w:val="single" w:sz="2" w:space="0" w:color="auto"/>
              <w:right w:val="single" w:sz="2" w:space="0" w:color="auto"/>
            </w:tcBorders>
            <w:vAlign w:val="center"/>
          </w:tcPr>
          <w:p w14:paraId="18676B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10,551,841,009.60</w:t>
            </w:r>
          </w:p>
        </w:tc>
        <w:tc>
          <w:tcPr>
            <w:tcW w:w="1256" w:type="dxa"/>
            <w:tcBorders>
              <w:top w:val="single" w:sz="2" w:space="0" w:color="auto"/>
              <w:left w:val="single" w:sz="2" w:space="0" w:color="auto"/>
              <w:bottom w:val="single" w:sz="2" w:space="0" w:color="auto"/>
              <w:right w:val="single" w:sz="2" w:space="0" w:color="auto"/>
            </w:tcBorders>
            <w:vAlign w:val="center"/>
          </w:tcPr>
          <w:p w14:paraId="5284B1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701" w:type="dxa"/>
            <w:tcBorders>
              <w:top w:val="single" w:sz="2" w:space="0" w:color="auto"/>
              <w:left w:val="single" w:sz="2" w:space="0" w:color="auto"/>
              <w:bottom w:val="single" w:sz="2" w:space="0" w:color="auto"/>
              <w:right w:val="single" w:sz="2" w:space="0" w:color="auto"/>
            </w:tcBorders>
            <w:vAlign w:val="center"/>
          </w:tcPr>
          <w:p w14:paraId="478D879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13,528,667,434.43</w:t>
            </w:r>
          </w:p>
        </w:tc>
        <w:tc>
          <w:tcPr>
            <w:tcW w:w="1174" w:type="dxa"/>
            <w:tcBorders>
              <w:top w:val="single" w:sz="2" w:space="0" w:color="auto"/>
              <w:left w:val="single" w:sz="2" w:space="0" w:color="auto"/>
              <w:bottom w:val="single" w:sz="2" w:space="0" w:color="auto"/>
              <w:right w:val="single" w:sz="2" w:space="0" w:color="auto"/>
            </w:tcBorders>
            <w:vAlign w:val="center"/>
          </w:tcPr>
          <w:p w14:paraId="1B97F5A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2FB74E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-22.00%</w:t>
            </w:r>
          </w:p>
        </w:tc>
      </w:tr>
    </w:tbl>
    <w:p w14:paraId="09A7F70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说明</w:t>
      </w:r>
    </w:p>
    <w:p w14:paraId="0BBBF44D" w14:textId="77777777" w:rsidR="00AF139E" w:rsidRPr="005B5EC1" w:rsidRDefault="00000000">
      <w:pPr>
        <w:pStyle w:val="a3"/>
        <w:divId w:val="2142961818"/>
        <w:rPr>
          <w:rFonts w:ascii="Times New Roman" w:hAnsi="Times New Roman" w:cs="Times New Roman"/>
          <w:sz w:val="18"/>
          <w:szCs w:val="18"/>
        </w:rPr>
      </w:pPr>
      <w:r w:rsidRPr="005B5EC1">
        <w:rPr>
          <w:rFonts w:ascii="Times New Roman" w:hAnsi="Times New Roman" w:cs="Times New Roman"/>
          <w:sz w:val="18"/>
          <w:szCs w:val="18"/>
        </w:rPr>
        <w:t>无</w:t>
      </w:r>
    </w:p>
    <w:p w14:paraId="12D31D6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5" w:name="_Toc988914"/>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6</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报告期内合并范围是否发生变动</w:t>
      </w:r>
      <w:bookmarkEnd w:id="25"/>
    </w:p>
    <w:p w14:paraId="481B3E2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否</w:t>
      </w:r>
    </w:p>
    <w:p w14:paraId="582B1F53" w14:textId="77777777" w:rsidR="00AF139E" w:rsidRPr="005B5EC1" w:rsidRDefault="00000000" w:rsidP="00BB1F9D">
      <w:pPr>
        <w:pStyle w:val="a3"/>
        <w:spacing w:before="0" w:beforeAutospacing="0" w:after="0" w:afterAutospacing="0" w:line="276" w:lineRule="auto"/>
        <w:ind w:firstLineChars="200" w:firstLine="360"/>
        <w:divId w:val="554975342"/>
        <w:rPr>
          <w:rFonts w:ascii="Times New Roman" w:hAnsi="Times New Roman" w:cs="Times New Roman"/>
          <w:sz w:val="18"/>
          <w:szCs w:val="18"/>
        </w:rPr>
      </w:pPr>
      <w:r w:rsidRPr="005B5EC1">
        <w:rPr>
          <w:rFonts w:ascii="Times New Roman" w:hAnsi="Times New Roman" w:cs="Times New Roman"/>
          <w:sz w:val="18"/>
          <w:szCs w:val="18"/>
        </w:rPr>
        <w:t>巴中龙大肉食品贸易有限公司</w:t>
      </w:r>
      <w:r w:rsidRPr="005B5EC1">
        <w:rPr>
          <w:rFonts w:ascii="Times New Roman" w:hAnsi="Times New Roman" w:cs="Times New Roman"/>
          <w:color w:val="000000"/>
          <w:spacing w:val="-2"/>
          <w:sz w:val="18"/>
          <w:szCs w:val="18"/>
        </w:rPr>
        <w:t>于</w:t>
      </w:r>
      <w:r w:rsidRPr="005B5EC1">
        <w:rPr>
          <w:rFonts w:ascii="Times New Roman" w:hAnsi="Times New Roman" w:cs="Times New Roman"/>
          <w:color w:val="000000"/>
          <w:spacing w:val="-2"/>
          <w:sz w:val="18"/>
          <w:szCs w:val="18"/>
        </w:rPr>
        <w:t>2024</w:t>
      </w:r>
      <w:r w:rsidRPr="005B5EC1">
        <w:rPr>
          <w:rFonts w:ascii="Times New Roman" w:hAnsi="Times New Roman" w:cs="Times New Roman"/>
          <w:color w:val="000000"/>
          <w:spacing w:val="-2"/>
          <w:sz w:val="18"/>
          <w:szCs w:val="18"/>
        </w:rPr>
        <w:t>年</w:t>
      </w:r>
      <w:r w:rsidRPr="005B5EC1">
        <w:rPr>
          <w:rFonts w:ascii="Times New Roman" w:hAnsi="Times New Roman" w:cs="Times New Roman"/>
          <w:color w:val="000000"/>
          <w:spacing w:val="-2"/>
          <w:sz w:val="18"/>
          <w:szCs w:val="18"/>
        </w:rPr>
        <w:t>11</w:t>
      </w:r>
      <w:r w:rsidRPr="005B5EC1">
        <w:rPr>
          <w:rFonts w:ascii="Times New Roman" w:hAnsi="Times New Roman" w:cs="Times New Roman"/>
          <w:color w:val="000000"/>
          <w:spacing w:val="-2"/>
          <w:sz w:val="18"/>
          <w:szCs w:val="18"/>
        </w:rPr>
        <w:t>月</w:t>
      </w:r>
      <w:r w:rsidRPr="005B5EC1">
        <w:rPr>
          <w:rFonts w:ascii="Times New Roman" w:hAnsi="Times New Roman" w:cs="Times New Roman"/>
          <w:color w:val="000000"/>
          <w:spacing w:val="-2"/>
          <w:sz w:val="18"/>
          <w:szCs w:val="18"/>
        </w:rPr>
        <w:t>1</w:t>
      </w:r>
      <w:r w:rsidRPr="005B5EC1">
        <w:rPr>
          <w:rFonts w:ascii="Times New Roman" w:hAnsi="Times New Roman" w:cs="Times New Roman"/>
          <w:color w:val="000000"/>
          <w:spacing w:val="-2"/>
          <w:sz w:val="18"/>
          <w:szCs w:val="18"/>
        </w:rPr>
        <w:t>日纳入合并范围；</w:t>
      </w:r>
    </w:p>
    <w:p w14:paraId="095D9ADB" w14:textId="77777777" w:rsidR="00AF139E" w:rsidRPr="005B5EC1" w:rsidRDefault="00000000" w:rsidP="00BB1F9D">
      <w:pPr>
        <w:pStyle w:val="a3"/>
        <w:spacing w:before="0" w:beforeAutospacing="0" w:after="0" w:afterAutospacing="0" w:line="276" w:lineRule="auto"/>
        <w:ind w:firstLineChars="200" w:firstLine="356"/>
        <w:divId w:val="554975342"/>
        <w:rPr>
          <w:rFonts w:ascii="Times New Roman" w:hAnsi="Times New Roman" w:cs="Times New Roman"/>
          <w:sz w:val="18"/>
          <w:szCs w:val="18"/>
        </w:rPr>
      </w:pPr>
      <w:r w:rsidRPr="005B5EC1">
        <w:rPr>
          <w:rFonts w:ascii="Times New Roman" w:hAnsi="Times New Roman" w:cs="Times New Roman"/>
          <w:color w:val="000000"/>
          <w:spacing w:val="-2"/>
          <w:sz w:val="18"/>
          <w:szCs w:val="18"/>
        </w:rPr>
        <w:t>莒南龙大肉食品有限公司于</w:t>
      </w:r>
      <w:r w:rsidRPr="005B5EC1">
        <w:rPr>
          <w:rFonts w:ascii="Times New Roman" w:hAnsi="Times New Roman" w:cs="Times New Roman"/>
          <w:color w:val="000000"/>
          <w:spacing w:val="-2"/>
          <w:sz w:val="18"/>
          <w:szCs w:val="18"/>
        </w:rPr>
        <w:t>2024</w:t>
      </w:r>
      <w:r w:rsidRPr="005B5EC1">
        <w:rPr>
          <w:rFonts w:ascii="Times New Roman" w:hAnsi="Times New Roman" w:cs="Times New Roman"/>
          <w:color w:val="000000"/>
          <w:spacing w:val="-2"/>
          <w:sz w:val="18"/>
          <w:szCs w:val="18"/>
        </w:rPr>
        <w:t>年</w:t>
      </w:r>
      <w:r w:rsidRPr="005B5EC1">
        <w:rPr>
          <w:rFonts w:ascii="Times New Roman" w:hAnsi="Times New Roman" w:cs="Times New Roman"/>
          <w:color w:val="000000"/>
          <w:spacing w:val="-2"/>
          <w:sz w:val="18"/>
          <w:szCs w:val="18"/>
        </w:rPr>
        <w:t>2</w:t>
      </w:r>
      <w:r w:rsidRPr="005B5EC1">
        <w:rPr>
          <w:rFonts w:ascii="Times New Roman" w:hAnsi="Times New Roman" w:cs="Times New Roman"/>
          <w:color w:val="000000"/>
          <w:spacing w:val="-2"/>
          <w:sz w:val="18"/>
          <w:szCs w:val="18"/>
        </w:rPr>
        <w:t>月</w:t>
      </w:r>
      <w:r w:rsidRPr="005B5EC1">
        <w:rPr>
          <w:rFonts w:ascii="Times New Roman" w:hAnsi="Times New Roman" w:cs="Times New Roman"/>
          <w:color w:val="000000"/>
          <w:spacing w:val="-2"/>
          <w:sz w:val="18"/>
          <w:szCs w:val="18"/>
        </w:rPr>
        <w:t>19</w:t>
      </w:r>
      <w:r w:rsidRPr="005B5EC1">
        <w:rPr>
          <w:rFonts w:ascii="Times New Roman" w:hAnsi="Times New Roman" w:cs="Times New Roman"/>
          <w:color w:val="000000"/>
          <w:spacing w:val="-2"/>
          <w:sz w:val="18"/>
          <w:szCs w:val="18"/>
        </w:rPr>
        <w:t>日注销；</w:t>
      </w:r>
    </w:p>
    <w:p w14:paraId="670A8605" w14:textId="77777777" w:rsidR="00AF139E" w:rsidRPr="005B5EC1" w:rsidRDefault="00000000" w:rsidP="00BB1F9D">
      <w:pPr>
        <w:pStyle w:val="a3"/>
        <w:spacing w:before="0" w:beforeAutospacing="0" w:after="0" w:afterAutospacing="0" w:line="276" w:lineRule="auto"/>
        <w:ind w:firstLineChars="200" w:firstLine="356"/>
        <w:divId w:val="554975342"/>
        <w:rPr>
          <w:rFonts w:ascii="Times New Roman" w:hAnsi="Times New Roman" w:cs="Times New Roman"/>
          <w:sz w:val="18"/>
          <w:szCs w:val="18"/>
        </w:rPr>
      </w:pPr>
      <w:r w:rsidRPr="005B5EC1">
        <w:rPr>
          <w:rFonts w:ascii="Times New Roman" w:hAnsi="Times New Roman" w:cs="Times New Roman"/>
          <w:color w:val="000000"/>
          <w:spacing w:val="-2"/>
          <w:sz w:val="18"/>
          <w:szCs w:val="18"/>
        </w:rPr>
        <w:t>北京晓食探科技有限公司于</w:t>
      </w:r>
      <w:r w:rsidRPr="005B5EC1">
        <w:rPr>
          <w:rFonts w:ascii="Times New Roman" w:hAnsi="Times New Roman" w:cs="Times New Roman"/>
          <w:color w:val="000000"/>
          <w:spacing w:val="-2"/>
          <w:sz w:val="18"/>
          <w:szCs w:val="18"/>
        </w:rPr>
        <w:t>2024</w:t>
      </w:r>
      <w:r w:rsidRPr="005B5EC1">
        <w:rPr>
          <w:rFonts w:ascii="Times New Roman" w:hAnsi="Times New Roman" w:cs="Times New Roman"/>
          <w:color w:val="000000"/>
          <w:spacing w:val="-2"/>
          <w:sz w:val="18"/>
          <w:szCs w:val="18"/>
        </w:rPr>
        <w:t>年</w:t>
      </w:r>
      <w:r w:rsidRPr="005B5EC1">
        <w:rPr>
          <w:rFonts w:ascii="Times New Roman" w:hAnsi="Times New Roman" w:cs="Times New Roman"/>
          <w:color w:val="000000"/>
          <w:spacing w:val="-2"/>
          <w:sz w:val="18"/>
          <w:szCs w:val="18"/>
        </w:rPr>
        <w:t>2</w:t>
      </w:r>
      <w:r w:rsidRPr="005B5EC1">
        <w:rPr>
          <w:rFonts w:ascii="Times New Roman" w:hAnsi="Times New Roman" w:cs="Times New Roman"/>
          <w:color w:val="000000"/>
          <w:spacing w:val="-2"/>
          <w:sz w:val="18"/>
          <w:szCs w:val="18"/>
        </w:rPr>
        <w:t>月</w:t>
      </w:r>
      <w:r w:rsidRPr="005B5EC1">
        <w:rPr>
          <w:rFonts w:ascii="Times New Roman" w:hAnsi="Times New Roman" w:cs="Times New Roman"/>
          <w:color w:val="000000"/>
          <w:spacing w:val="-2"/>
          <w:sz w:val="18"/>
          <w:szCs w:val="18"/>
        </w:rPr>
        <w:t>27</w:t>
      </w:r>
      <w:r w:rsidRPr="005B5EC1">
        <w:rPr>
          <w:rFonts w:ascii="Times New Roman" w:hAnsi="Times New Roman" w:cs="Times New Roman"/>
          <w:color w:val="000000"/>
          <w:spacing w:val="-2"/>
          <w:sz w:val="18"/>
          <w:szCs w:val="18"/>
        </w:rPr>
        <w:t>日注销；</w:t>
      </w:r>
    </w:p>
    <w:p w14:paraId="19C44C14" w14:textId="77777777" w:rsidR="00AF139E" w:rsidRPr="005B5EC1" w:rsidRDefault="00000000" w:rsidP="00BB1F9D">
      <w:pPr>
        <w:pStyle w:val="a3"/>
        <w:spacing w:before="0" w:beforeAutospacing="0" w:after="0" w:afterAutospacing="0" w:line="276" w:lineRule="auto"/>
        <w:ind w:firstLineChars="200" w:firstLine="356"/>
        <w:divId w:val="554975342"/>
        <w:rPr>
          <w:rFonts w:ascii="Times New Roman" w:hAnsi="Times New Roman" w:cs="Times New Roman"/>
          <w:sz w:val="18"/>
          <w:szCs w:val="18"/>
        </w:rPr>
      </w:pPr>
      <w:r w:rsidRPr="005B5EC1">
        <w:rPr>
          <w:rFonts w:ascii="Times New Roman" w:hAnsi="Times New Roman" w:cs="Times New Roman"/>
          <w:color w:val="000000"/>
          <w:spacing w:val="-2"/>
          <w:sz w:val="18"/>
          <w:szCs w:val="18"/>
        </w:rPr>
        <w:t>乳山龙大养殖有限公司于</w:t>
      </w:r>
      <w:r w:rsidRPr="005B5EC1">
        <w:rPr>
          <w:rFonts w:ascii="Times New Roman" w:hAnsi="Times New Roman" w:cs="Times New Roman"/>
          <w:color w:val="000000"/>
          <w:spacing w:val="-2"/>
          <w:sz w:val="18"/>
          <w:szCs w:val="18"/>
        </w:rPr>
        <w:t>2024</w:t>
      </w:r>
      <w:r w:rsidRPr="005B5EC1">
        <w:rPr>
          <w:rFonts w:ascii="Times New Roman" w:hAnsi="Times New Roman" w:cs="Times New Roman"/>
          <w:color w:val="000000"/>
          <w:spacing w:val="-2"/>
          <w:sz w:val="18"/>
          <w:szCs w:val="18"/>
        </w:rPr>
        <w:t>年</w:t>
      </w:r>
      <w:r w:rsidRPr="005B5EC1">
        <w:rPr>
          <w:rFonts w:ascii="Times New Roman" w:hAnsi="Times New Roman" w:cs="Times New Roman"/>
          <w:color w:val="000000"/>
          <w:spacing w:val="-2"/>
          <w:sz w:val="18"/>
          <w:szCs w:val="18"/>
        </w:rPr>
        <w:t>9</w:t>
      </w:r>
      <w:r w:rsidRPr="005B5EC1">
        <w:rPr>
          <w:rFonts w:ascii="Times New Roman" w:hAnsi="Times New Roman" w:cs="Times New Roman"/>
          <w:color w:val="000000"/>
          <w:spacing w:val="-2"/>
          <w:sz w:val="18"/>
          <w:szCs w:val="18"/>
        </w:rPr>
        <w:t>月</w:t>
      </w:r>
      <w:r w:rsidRPr="005B5EC1">
        <w:rPr>
          <w:rFonts w:ascii="Times New Roman" w:hAnsi="Times New Roman" w:cs="Times New Roman"/>
          <w:color w:val="000000"/>
          <w:spacing w:val="-2"/>
          <w:sz w:val="18"/>
          <w:szCs w:val="18"/>
        </w:rPr>
        <w:t>23</w:t>
      </w:r>
      <w:r w:rsidRPr="005B5EC1">
        <w:rPr>
          <w:rFonts w:ascii="Times New Roman" w:hAnsi="Times New Roman" w:cs="Times New Roman"/>
          <w:color w:val="000000"/>
          <w:spacing w:val="-2"/>
          <w:sz w:val="18"/>
          <w:szCs w:val="18"/>
        </w:rPr>
        <w:t>日注销；</w:t>
      </w:r>
    </w:p>
    <w:p w14:paraId="1AA76213" w14:textId="77777777" w:rsidR="00AF139E" w:rsidRPr="005B5EC1" w:rsidRDefault="00000000" w:rsidP="00BB1F9D">
      <w:pPr>
        <w:pStyle w:val="a3"/>
        <w:spacing w:before="0" w:beforeAutospacing="0" w:after="0" w:afterAutospacing="0" w:line="276" w:lineRule="auto"/>
        <w:ind w:firstLineChars="200" w:firstLine="356"/>
        <w:divId w:val="554975342"/>
        <w:rPr>
          <w:rFonts w:ascii="Times New Roman" w:hAnsi="Times New Roman" w:cs="Times New Roman"/>
          <w:sz w:val="18"/>
          <w:szCs w:val="18"/>
        </w:rPr>
      </w:pPr>
      <w:r w:rsidRPr="005B5EC1">
        <w:rPr>
          <w:rFonts w:ascii="Times New Roman" w:hAnsi="Times New Roman" w:cs="Times New Roman"/>
          <w:color w:val="000000"/>
          <w:spacing w:val="-2"/>
          <w:sz w:val="18"/>
          <w:szCs w:val="18"/>
        </w:rPr>
        <w:t>龙大美食（广东）食品科技有限公司于</w:t>
      </w:r>
      <w:r w:rsidRPr="005B5EC1">
        <w:rPr>
          <w:rFonts w:ascii="Times New Roman" w:hAnsi="Times New Roman" w:cs="Times New Roman"/>
          <w:color w:val="000000"/>
          <w:spacing w:val="-2"/>
          <w:sz w:val="18"/>
          <w:szCs w:val="18"/>
        </w:rPr>
        <w:t>2024</w:t>
      </w:r>
      <w:r w:rsidRPr="005B5EC1">
        <w:rPr>
          <w:rFonts w:ascii="Times New Roman" w:hAnsi="Times New Roman" w:cs="Times New Roman"/>
          <w:color w:val="000000"/>
          <w:spacing w:val="-2"/>
          <w:sz w:val="18"/>
          <w:szCs w:val="18"/>
        </w:rPr>
        <w:t>年</w:t>
      </w:r>
      <w:r w:rsidRPr="005B5EC1">
        <w:rPr>
          <w:rFonts w:ascii="Times New Roman" w:hAnsi="Times New Roman" w:cs="Times New Roman"/>
          <w:color w:val="000000"/>
          <w:spacing w:val="-2"/>
          <w:sz w:val="18"/>
          <w:szCs w:val="18"/>
        </w:rPr>
        <w:t>12</w:t>
      </w:r>
      <w:r w:rsidRPr="005B5EC1">
        <w:rPr>
          <w:rFonts w:ascii="Times New Roman" w:hAnsi="Times New Roman" w:cs="Times New Roman"/>
          <w:color w:val="000000"/>
          <w:spacing w:val="-2"/>
          <w:sz w:val="18"/>
          <w:szCs w:val="18"/>
        </w:rPr>
        <w:t>月</w:t>
      </w:r>
      <w:r w:rsidRPr="005B5EC1">
        <w:rPr>
          <w:rFonts w:ascii="Times New Roman" w:hAnsi="Times New Roman" w:cs="Times New Roman"/>
          <w:color w:val="000000"/>
          <w:spacing w:val="-2"/>
          <w:sz w:val="18"/>
          <w:szCs w:val="18"/>
        </w:rPr>
        <w:t>25</w:t>
      </w:r>
      <w:r w:rsidRPr="005B5EC1">
        <w:rPr>
          <w:rFonts w:ascii="Times New Roman" w:hAnsi="Times New Roman" w:cs="Times New Roman"/>
          <w:color w:val="000000"/>
          <w:spacing w:val="-2"/>
          <w:sz w:val="18"/>
          <w:szCs w:val="18"/>
        </w:rPr>
        <w:t>日注销。</w:t>
      </w:r>
    </w:p>
    <w:p w14:paraId="226A3F55" w14:textId="77777777" w:rsidR="00AF139E" w:rsidRPr="005B5EC1" w:rsidRDefault="00000000" w:rsidP="00BB1F9D">
      <w:pPr>
        <w:pStyle w:val="a3"/>
        <w:spacing w:before="0" w:beforeAutospacing="0" w:after="0" w:afterAutospacing="0" w:line="276" w:lineRule="auto"/>
        <w:ind w:firstLineChars="200" w:firstLine="356"/>
        <w:divId w:val="554975342"/>
        <w:rPr>
          <w:rFonts w:ascii="Times New Roman" w:hAnsi="Times New Roman" w:cs="Times New Roman"/>
          <w:sz w:val="18"/>
          <w:szCs w:val="18"/>
        </w:rPr>
      </w:pPr>
      <w:r w:rsidRPr="005B5EC1">
        <w:rPr>
          <w:rFonts w:ascii="Times New Roman" w:hAnsi="Times New Roman" w:cs="Times New Roman"/>
          <w:color w:val="000000"/>
          <w:spacing w:val="-2"/>
          <w:sz w:val="18"/>
          <w:szCs w:val="18"/>
        </w:rPr>
        <w:t>通辽金泉食品有限责任公司于</w:t>
      </w:r>
      <w:r w:rsidRPr="005B5EC1">
        <w:rPr>
          <w:rFonts w:ascii="Times New Roman" w:hAnsi="Times New Roman" w:cs="Times New Roman"/>
          <w:color w:val="000000"/>
          <w:spacing w:val="-2"/>
          <w:sz w:val="18"/>
          <w:szCs w:val="18"/>
        </w:rPr>
        <w:t>2024</w:t>
      </w:r>
      <w:r w:rsidRPr="005B5EC1">
        <w:rPr>
          <w:rFonts w:ascii="Times New Roman" w:hAnsi="Times New Roman" w:cs="Times New Roman"/>
          <w:color w:val="000000"/>
          <w:spacing w:val="-2"/>
          <w:sz w:val="18"/>
          <w:szCs w:val="18"/>
        </w:rPr>
        <w:t>年</w:t>
      </w:r>
      <w:r w:rsidRPr="005B5EC1">
        <w:rPr>
          <w:rFonts w:ascii="Times New Roman" w:hAnsi="Times New Roman" w:cs="Times New Roman"/>
          <w:color w:val="000000"/>
          <w:spacing w:val="-2"/>
          <w:sz w:val="18"/>
          <w:szCs w:val="18"/>
        </w:rPr>
        <w:t>12</w:t>
      </w:r>
      <w:r w:rsidRPr="005B5EC1">
        <w:rPr>
          <w:rFonts w:ascii="Times New Roman" w:hAnsi="Times New Roman" w:cs="Times New Roman"/>
          <w:color w:val="000000"/>
          <w:spacing w:val="-2"/>
          <w:sz w:val="18"/>
          <w:szCs w:val="18"/>
        </w:rPr>
        <w:t>月</w:t>
      </w:r>
      <w:r w:rsidRPr="005B5EC1">
        <w:rPr>
          <w:rFonts w:ascii="Times New Roman" w:hAnsi="Times New Roman" w:cs="Times New Roman"/>
          <w:color w:val="000000"/>
          <w:spacing w:val="-2"/>
          <w:sz w:val="18"/>
          <w:szCs w:val="18"/>
        </w:rPr>
        <w:t>31</w:t>
      </w:r>
      <w:r w:rsidRPr="005B5EC1">
        <w:rPr>
          <w:rFonts w:ascii="Times New Roman" w:hAnsi="Times New Roman" w:cs="Times New Roman"/>
          <w:color w:val="000000"/>
          <w:spacing w:val="-2"/>
          <w:sz w:val="18"/>
          <w:szCs w:val="18"/>
        </w:rPr>
        <w:t>日丧失控制权。</w:t>
      </w:r>
    </w:p>
    <w:p w14:paraId="610C5DD8"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6" w:name="_Toc988915"/>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7</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公司报告期内业务、产品或服务发生重大变化或调整有关情况</w:t>
      </w:r>
      <w:bookmarkEnd w:id="26"/>
    </w:p>
    <w:p w14:paraId="327909A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873170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7" w:name="_Toc988916"/>
      <w:r w:rsidRPr="005B5EC1">
        <w:rPr>
          <w:rFonts w:ascii="Times New Roman" w:eastAsia="宋体" w:hAnsi="Times New Roman" w:cs="Times New Roman"/>
          <w:b/>
          <w:bCs/>
          <w:sz w:val="18"/>
          <w:szCs w:val="18"/>
        </w:rPr>
        <w:lastRenderedPageBreak/>
        <w:t>（</w:t>
      </w:r>
      <w:r w:rsidRPr="005B5EC1">
        <w:rPr>
          <w:rFonts w:ascii="Times New Roman" w:eastAsia="宋体" w:hAnsi="Times New Roman" w:cs="Times New Roman"/>
          <w:b/>
          <w:bCs/>
          <w:sz w:val="18"/>
          <w:szCs w:val="18"/>
        </w:rPr>
        <w:t>8</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主要销售客户和主要供应商情况</w:t>
      </w:r>
      <w:bookmarkEnd w:id="27"/>
    </w:p>
    <w:p w14:paraId="2246D0C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公司主要销售客户情况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4B6131C2"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1C3C0A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前五名客户合计销售金额（元）</w:t>
            </w:r>
          </w:p>
        </w:tc>
        <w:tc>
          <w:tcPr>
            <w:tcW w:w="4820" w:type="dxa"/>
            <w:tcBorders>
              <w:top w:val="single" w:sz="2" w:space="0" w:color="auto"/>
              <w:left w:val="single" w:sz="2" w:space="0" w:color="auto"/>
              <w:bottom w:val="single" w:sz="2" w:space="0" w:color="auto"/>
              <w:right w:val="single" w:sz="2" w:space="0" w:color="auto"/>
            </w:tcBorders>
            <w:vAlign w:val="center"/>
          </w:tcPr>
          <w:p w14:paraId="1DC28B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842,872,428.28</w:t>
            </w:r>
          </w:p>
        </w:tc>
      </w:tr>
      <w:tr w:rsidR="00E32FE0" w:rsidRPr="005B5EC1" w14:paraId="5AFDE2A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ABEAA1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前五名客户合计销售金额占年度销售总额比例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2F90A4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7.67%</w:t>
            </w:r>
          </w:p>
        </w:tc>
      </w:tr>
      <w:tr w:rsidR="00E32FE0" w:rsidRPr="005B5EC1" w14:paraId="5CFBF2F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8ED890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前五名客户销售额中关联方销售额占年度销售总额比例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2BAE68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bl>
    <w:p w14:paraId="48A591C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公司前</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大客户资料</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25D753A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D740A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6D86F6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836C4B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销售额（元）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259BD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占年度销售总额比例</w:t>
            </w:r>
          </w:p>
        </w:tc>
      </w:tr>
      <w:tr w:rsidR="00E32FE0" w:rsidRPr="005B5EC1" w14:paraId="38B41F4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0B1066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14:paraId="324EB9D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 xml:space="preserve"> A</w:t>
            </w:r>
          </w:p>
        </w:tc>
        <w:tc>
          <w:tcPr>
            <w:tcW w:w="2410" w:type="dxa"/>
            <w:tcBorders>
              <w:top w:val="single" w:sz="2" w:space="0" w:color="auto"/>
              <w:left w:val="single" w:sz="2" w:space="0" w:color="auto"/>
              <w:bottom w:val="single" w:sz="2" w:space="0" w:color="auto"/>
              <w:right w:val="single" w:sz="2" w:space="0" w:color="auto"/>
            </w:tcBorders>
            <w:vAlign w:val="center"/>
          </w:tcPr>
          <w:p w14:paraId="113C379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324,410,776.36</w:t>
            </w:r>
          </w:p>
        </w:tc>
        <w:tc>
          <w:tcPr>
            <w:tcW w:w="2410" w:type="dxa"/>
            <w:tcBorders>
              <w:top w:val="single" w:sz="2" w:space="0" w:color="auto"/>
              <w:left w:val="single" w:sz="2" w:space="0" w:color="auto"/>
              <w:bottom w:val="single" w:sz="2" w:space="0" w:color="auto"/>
              <w:right w:val="single" w:sz="2" w:space="0" w:color="auto"/>
            </w:tcBorders>
            <w:vAlign w:val="center"/>
          </w:tcPr>
          <w:p w14:paraId="4E2D3E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2.95%</w:t>
            </w:r>
          </w:p>
        </w:tc>
      </w:tr>
      <w:tr w:rsidR="00E32FE0" w:rsidRPr="005B5EC1" w14:paraId="59C607C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2174C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14:paraId="2B8921A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 xml:space="preserve"> B</w:t>
            </w:r>
          </w:p>
        </w:tc>
        <w:tc>
          <w:tcPr>
            <w:tcW w:w="2410" w:type="dxa"/>
            <w:tcBorders>
              <w:top w:val="single" w:sz="2" w:space="0" w:color="auto"/>
              <w:left w:val="single" w:sz="2" w:space="0" w:color="auto"/>
              <w:bottom w:val="single" w:sz="2" w:space="0" w:color="auto"/>
              <w:right w:val="single" w:sz="2" w:space="0" w:color="auto"/>
            </w:tcBorders>
            <w:vAlign w:val="center"/>
          </w:tcPr>
          <w:p w14:paraId="46DBC7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191,744,722.81</w:t>
            </w:r>
          </w:p>
        </w:tc>
        <w:tc>
          <w:tcPr>
            <w:tcW w:w="2410" w:type="dxa"/>
            <w:tcBorders>
              <w:top w:val="single" w:sz="2" w:space="0" w:color="auto"/>
              <w:left w:val="single" w:sz="2" w:space="0" w:color="auto"/>
              <w:bottom w:val="single" w:sz="2" w:space="0" w:color="auto"/>
              <w:right w:val="single" w:sz="2" w:space="0" w:color="auto"/>
            </w:tcBorders>
            <w:vAlign w:val="center"/>
          </w:tcPr>
          <w:p w14:paraId="787C75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w:t>
            </w:r>
          </w:p>
        </w:tc>
      </w:tr>
      <w:tr w:rsidR="00E32FE0" w:rsidRPr="005B5EC1" w14:paraId="08BEEBE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D262E8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14:paraId="5CD479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 xml:space="preserve"> C</w:t>
            </w:r>
          </w:p>
        </w:tc>
        <w:tc>
          <w:tcPr>
            <w:tcW w:w="2410" w:type="dxa"/>
            <w:tcBorders>
              <w:top w:val="single" w:sz="2" w:space="0" w:color="auto"/>
              <w:left w:val="single" w:sz="2" w:space="0" w:color="auto"/>
              <w:bottom w:val="single" w:sz="2" w:space="0" w:color="auto"/>
              <w:right w:val="single" w:sz="2" w:space="0" w:color="auto"/>
            </w:tcBorders>
            <w:vAlign w:val="center"/>
          </w:tcPr>
          <w:p w14:paraId="5E58C3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125,956,090.98</w:t>
            </w:r>
          </w:p>
        </w:tc>
        <w:tc>
          <w:tcPr>
            <w:tcW w:w="2410" w:type="dxa"/>
            <w:tcBorders>
              <w:top w:val="single" w:sz="2" w:space="0" w:color="auto"/>
              <w:left w:val="single" w:sz="2" w:space="0" w:color="auto"/>
              <w:bottom w:val="single" w:sz="2" w:space="0" w:color="auto"/>
              <w:right w:val="single" w:sz="2" w:space="0" w:color="auto"/>
            </w:tcBorders>
            <w:vAlign w:val="center"/>
          </w:tcPr>
          <w:p w14:paraId="0E525C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w:t>
            </w:r>
          </w:p>
        </w:tc>
      </w:tr>
      <w:tr w:rsidR="00E32FE0" w:rsidRPr="005B5EC1" w14:paraId="510BDA1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F6BF4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14:paraId="0B91889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 xml:space="preserve"> D</w:t>
            </w:r>
          </w:p>
        </w:tc>
        <w:tc>
          <w:tcPr>
            <w:tcW w:w="2410" w:type="dxa"/>
            <w:tcBorders>
              <w:top w:val="single" w:sz="2" w:space="0" w:color="auto"/>
              <w:left w:val="single" w:sz="2" w:space="0" w:color="auto"/>
              <w:bottom w:val="single" w:sz="2" w:space="0" w:color="auto"/>
              <w:right w:val="single" w:sz="2" w:space="0" w:color="auto"/>
            </w:tcBorders>
            <w:vAlign w:val="center"/>
          </w:tcPr>
          <w:p w14:paraId="6931A1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100,640,654.94</w:t>
            </w:r>
          </w:p>
        </w:tc>
        <w:tc>
          <w:tcPr>
            <w:tcW w:w="2410" w:type="dxa"/>
            <w:tcBorders>
              <w:top w:val="single" w:sz="2" w:space="0" w:color="auto"/>
              <w:left w:val="single" w:sz="2" w:space="0" w:color="auto"/>
              <w:bottom w:val="single" w:sz="2" w:space="0" w:color="auto"/>
              <w:right w:val="single" w:sz="2" w:space="0" w:color="auto"/>
            </w:tcBorders>
            <w:vAlign w:val="center"/>
          </w:tcPr>
          <w:p w14:paraId="3005293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0.92%</w:t>
            </w:r>
          </w:p>
        </w:tc>
      </w:tr>
      <w:tr w:rsidR="00E32FE0" w:rsidRPr="005B5EC1" w14:paraId="4288022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BA381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14:paraId="59058EE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 xml:space="preserve"> E</w:t>
            </w:r>
          </w:p>
        </w:tc>
        <w:tc>
          <w:tcPr>
            <w:tcW w:w="2410" w:type="dxa"/>
            <w:tcBorders>
              <w:top w:val="single" w:sz="2" w:space="0" w:color="auto"/>
              <w:left w:val="single" w:sz="2" w:space="0" w:color="auto"/>
              <w:bottom w:val="single" w:sz="2" w:space="0" w:color="auto"/>
              <w:right w:val="single" w:sz="2" w:space="0" w:color="auto"/>
            </w:tcBorders>
            <w:vAlign w:val="center"/>
          </w:tcPr>
          <w:p w14:paraId="454762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100,120,183.19</w:t>
            </w:r>
          </w:p>
        </w:tc>
        <w:tc>
          <w:tcPr>
            <w:tcW w:w="2410" w:type="dxa"/>
            <w:tcBorders>
              <w:top w:val="single" w:sz="2" w:space="0" w:color="auto"/>
              <w:left w:val="single" w:sz="2" w:space="0" w:color="auto"/>
              <w:bottom w:val="single" w:sz="2" w:space="0" w:color="auto"/>
              <w:right w:val="single" w:sz="2" w:space="0" w:color="auto"/>
            </w:tcBorders>
            <w:vAlign w:val="center"/>
          </w:tcPr>
          <w:p w14:paraId="5E9984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0.91%</w:t>
            </w:r>
          </w:p>
        </w:tc>
      </w:tr>
      <w:tr w:rsidR="00E32FE0" w:rsidRPr="005B5EC1" w14:paraId="60646FF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6C6E0D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6AD6A8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14:paraId="05DDB5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842,872,428.28</w:t>
            </w:r>
          </w:p>
        </w:tc>
        <w:tc>
          <w:tcPr>
            <w:tcW w:w="2410" w:type="dxa"/>
            <w:tcBorders>
              <w:top w:val="single" w:sz="2" w:space="0" w:color="auto"/>
              <w:left w:val="single" w:sz="2" w:space="0" w:color="auto"/>
              <w:bottom w:val="single" w:sz="2" w:space="0" w:color="auto"/>
              <w:right w:val="single" w:sz="2" w:space="0" w:color="auto"/>
            </w:tcBorders>
            <w:vAlign w:val="center"/>
          </w:tcPr>
          <w:p w14:paraId="258AFE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7.67%</w:t>
            </w:r>
          </w:p>
        </w:tc>
      </w:tr>
    </w:tbl>
    <w:p w14:paraId="082965C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主要客户其他情况说明</w:t>
      </w:r>
    </w:p>
    <w:p w14:paraId="37332CF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1518C4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公司主要供应商情况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2C08BF3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07F334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前五名供应商合计采购金额（元）</w:t>
            </w:r>
          </w:p>
        </w:tc>
        <w:tc>
          <w:tcPr>
            <w:tcW w:w="4820" w:type="dxa"/>
            <w:tcBorders>
              <w:top w:val="single" w:sz="2" w:space="0" w:color="auto"/>
              <w:left w:val="single" w:sz="2" w:space="0" w:color="auto"/>
              <w:bottom w:val="single" w:sz="2" w:space="0" w:color="auto"/>
              <w:right w:val="single" w:sz="2" w:space="0" w:color="auto"/>
            </w:tcBorders>
            <w:vAlign w:val="center"/>
          </w:tcPr>
          <w:p w14:paraId="5ADEAF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3,933,457,557.42</w:t>
            </w:r>
          </w:p>
        </w:tc>
      </w:tr>
      <w:tr w:rsidR="00E32FE0" w:rsidRPr="005B5EC1" w14:paraId="5143B84A"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69BE3B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前五名供应商合计采购金额占年度采购总额比例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057AC0D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37.33%</w:t>
            </w:r>
          </w:p>
        </w:tc>
      </w:tr>
      <w:tr w:rsidR="00E32FE0" w:rsidRPr="005B5EC1" w14:paraId="2572BB2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E01C8B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前五名供应商采购额中关联方采购额占年度采购总额比例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14:paraId="157E32E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17.94%</w:t>
            </w:r>
          </w:p>
        </w:tc>
      </w:tr>
    </w:tbl>
    <w:p w14:paraId="3D81AF3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公司前</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名供应商资料</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0DD718C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32B9CB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B28A44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供应商名称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132F25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采购额（元）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A86BB9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占年度采购总额比例</w:t>
            </w:r>
          </w:p>
        </w:tc>
      </w:tr>
      <w:tr w:rsidR="00E32FE0" w:rsidRPr="005B5EC1" w14:paraId="78F943E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FDE2F0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14:paraId="59BE39B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供应商</w:t>
            </w:r>
            <w:r w:rsidRPr="005B5EC1">
              <w:rPr>
                <w:rFonts w:ascii="Times New Roman" w:eastAsia="宋体" w:hAnsi="Times New Roman" w:cs="Times New Roman"/>
                <w:sz w:val="18"/>
                <w:szCs w:val="18"/>
              </w:rPr>
              <w:t> A</w:t>
            </w:r>
          </w:p>
        </w:tc>
        <w:tc>
          <w:tcPr>
            <w:tcW w:w="2410" w:type="dxa"/>
            <w:tcBorders>
              <w:top w:val="single" w:sz="2" w:space="0" w:color="auto"/>
              <w:left w:val="single" w:sz="2" w:space="0" w:color="auto"/>
              <w:bottom w:val="single" w:sz="2" w:space="0" w:color="auto"/>
              <w:right w:val="single" w:sz="2" w:space="0" w:color="auto"/>
            </w:tcBorders>
            <w:vAlign w:val="center"/>
          </w:tcPr>
          <w:p w14:paraId="71B901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1,890,170,816.97</w:t>
            </w:r>
          </w:p>
        </w:tc>
        <w:tc>
          <w:tcPr>
            <w:tcW w:w="2410" w:type="dxa"/>
            <w:tcBorders>
              <w:top w:val="single" w:sz="2" w:space="0" w:color="auto"/>
              <w:left w:val="single" w:sz="2" w:space="0" w:color="auto"/>
              <w:bottom w:val="single" w:sz="2" w:space="0" w:color="auto"/>
              <w:right w:val="single" w:sz="2" w:space="0" w:color="auto"/>
            </w:tcBorders>
            <w:vAlign w:val="center"/>
          </w:tcPr>
          <w:p w14:paraId="616BA08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17.94%</w:t>
            </w:r>
          </w:p>
        </w:tc>
      </w:tr>
      <w:tr w:rsidR="00E32FE0" w:rsidRPr="005B5EC1" w14:paraId="7160FF9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DAF33B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14:paraId="155EAC1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供应商</w:t>
            </w:r>
            <w:r w:rsidRPr="005B5EC1">
              <w:rPr>
                <w:rFonts w:ascii="Times New Roman" w:eastAsia="宋体" w:hAnsi="Times New Roman" w:cs="Times New Roman"/>
                <w:sz w:val="18"/>
                <w:szCs w:val="18"/>
              </w:rPr>
              <w:t> B</w:t>
            </w:r>
          </w:p>
        </w:tc>
        <w:tc>
          <w:tcPr>
            <w:tcW w:w="2410" w:type="dxa"/>
            <w:tcBorders>
              <w:top w:val="single" w:sz="2" w:space="0" w:color="auto"/>
              <w:left w:val="single" w:sz="2" w:space="0" w:color="auto"/>
              <w:bottom w:val="single" w:sz="2" w:space="0" w:color="auto"/>
              <w:right w:val="single" w:sz="2" w:space="0" w:color="auto"/>
            </w:tcBorders>
            <w:vAlign w:val="center"/>
          </w:tcPr>
          <w:p w14:paraId="6BFD07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1,265,322,619.11</w:t>
            </w:r>
          </w:p>
        </w:tc>
        <w:tc>
          <w:tcPr>
            <w:tcW w:w="2410" w:type="dxa"/>
            <w:tcBorders>
              <w:top w:val="single" w:sz="2" w:space="0" w:color="auto"/>
              <w:left w:val="single" w:sz="2" w:space="0" w:color="auto"/>
              <w:bottom w:val="single" w:sz="2" w:space="0" w:color="auto"/>
              <w:right w:val="single" w:sz="2" w:space="0" w:color="auto"/>
            </w:tcBorders>
            <w:vAlign w:val="center"/>
          </w:tcPr>
          <w:p w14:paraId="651BAA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12.01%</w:t>
            </w:r>
          </w:p>
        </w:tc>
      </w:tr>
      <w:tr w:rsidR="00E32FE0" w:rsidRPr="005B5EC1" w14:paraId="73B76C4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13A703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14:paraId="29EED8F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供应商</w:t>
            </w:r>
            <w:r w:rsidRPr="005B5EC1">
              <w:rPr>
                <w:rFonts w:ascii="Times New Roman" w:eastAsia="宋体" w:hAnsi="Times New Roman" w:cs="Times New Roman"/>
                <w:sz w:val="18"/>
                <w:szCs w:val="18"/>
              </w:rPr>
              <w:t> C</w:t>
            </w:r>
          </w:p>
        </w:tc>
        <w:tc>
          <w:tcPr>
            <w:tcW w:w="2410" w:type="dxa"/>
            <w:tcBorders>
              <w:top w:val="single" w:sz="2" w:space="0" w:color="auto"/>
              <w:left w:val="single" w:sz="2" w:space="0" w:color="auto"/>
              <w:bottom w:val="single" w:sz="2" w:space="0" w:color="auto"/>
              <w:right w:val="single" w:sz="2" w:space="0" w:color="auto"/>
            </w:tcBorders>
            <w:vAlign w:val="center"/>
          </w:tcPr>
          <w:p w14:paraId="4B05B1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302,178,632.68</w:t>
            </w:r>
          </w:p>
        </w:tc>
        <w:tc>
          <w:tcPr>
            <w:tcW w:w="2410" w:type="dxa"/>
            <w:tcBorders>
              <w:top w:val="single" w:sz="2" w:space="0" w:color="auto"/>
              <w:left w:val="single" w:sz="2" w:space="0" w:color="auto"/>
              <w:bottom w:val="single" w:sz="2" w:space="0" w:color="auto"/>
              <w:right w:val="single" w:sz="2" w:space="0" w:color="auto"/>
            </w:tcBorders>
            <w:vAlign w:val="center"/>
          </w:tcPr>
          <w:p w14:paraId="346DCF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w:t>
            </w:r>
          </w:p>
        </w:tc>
      </w:tr>
      <w:tr w:rsidR="00E32FE0" w:rsidRPr="005B5EC1" w14:paraId="22E13C3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EC1EAC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14:paraId="5058F8C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供应商</w:t>
            </w:r>
            <w:r w:rsidRPr="005B5EC1">
              <w:rPr>
                <w:rFonts w:ascii="Times New Roman" w:eastAsia="宋体" w:hAnsi="Times New Roman" w:cs="Times New Roman"/>
                <w:sz w:val="18"/>
                <w:szCs w:val="18"/>
              </w:rPr>
              <w:t> D</w:t>
            </w:r>
          </w:p>
        </w:tc>
        <w:tc>
          <w:tcPr>
            <w:tcW w:w="2410" w:type="dxa"/>
            <w:tcBorders>
              <w:top w:val="single" w:sz="2" w:space="0" w:color="auto"/>
              <w:left w:val="single" w:sz="2" w:space="0" w:color="auto"/>
              <w:bottom w:val="single" w:sz="2" w:space="0" w:color="auto"/>
              <w:right w:val="single" w:sz="2" w:space="0" w:color="auto"/>
            </w:tcBorders>
            <w:vAlign w:val="center"/>
          </w:tcPr>
          <w:p w14:paraId="004C1F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288,027,748.00</w:t>
            </w:r>
          </w:p>
        </w:tc>
        <w:tc>
          <w:tcPr>
            <w:tcW w:w="2410" w:type="dxa"/>
            <w:tcBorders>
              <w:top w:val="single" w:sz="2" w:space="0" w:color="auto"/>
              <w:left w:val="single" w:sz="2" w:space="0" w:color="auto"/>
              <w:bottom w:val="single" w:sz="2" w:space="0" w:color="auto"/>
              <w:right w:val="single" w:sz="2" w:space="0" w:color="auto"/>
            </w:tcBorders>
            <w:vAlign w:val="center"/>
          </w:tcPr>
          <w:p w14:paraId="03565A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2.73%</w:t>
            </w:r>
          </w:p>
        </w:tc>
      </w:tr>
      <w:tr w:rsidR="00E32FE0" w:rsidRPr="005B5EC1" w14:paraId="704ED4D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5D0205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14:paraId="0C75CE7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供应商</w:t>
            </w:r>
            <w:r w:rsidRPr="005B5EC1">
              <w:rPr>
                <w:rFonts w:ascii="Times New Roman" w:eastAsia="宋体" w:hAnsi="Times New Roman" w:cs="Times New Roman"/>
                <w:sz w:val="18"/>
                <w:szCs w:val="18"/>
              </w:rPr>
              <w:t> E</w:t>
            </w:r>
          </w:p>
        </w:tc>
        <w:tc>
          <w:tcPr>
            <w:tcW w:w="2410" w:type="dxa"/>
            <w:tcBorders>
              <w:top w:val="single" w:sz="2" w:space="0" w:color="auto"/>
              <w:left w:val="single" w:sz="2" w:space="0" w:color="auto"/>
              <w:bottom w:val="single" w:sz="2" w:space="0" w:color="auto"/>
              <w:right w:val="single" w:sz="2" w:space="0" w:color="auto"/>
            </w:tcBorders>
            <w:vAlign w:val="center"/>
          </w:tcPr>
          <w:p w14:paraId="1E7F4C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187,757,740.66</w:t>
            </w:r>
          </w:p>
        </w:tc>
        <w:tc>
          <w:tcPr>
            <w:tcW w:w="2410" w:type="dxa"/>
            <w:tcBorders>
              <w:top w:val="single" w:sz="2" w:space="0" w:color="auto"/>
              <w:left w:val="single" w:sz="2" w:space="0" w:color="auto"/>
              <w:bottom w:val="single" w:sz="2" w:space="0" w:color="auto"/>
              <w:right w:val="single" w:sz="2" w:space="0" w:color="auto"/>
            </w:tcBorders>
            <w:vAlign w:val="center"/>
          </w:tcPr>
          <w:p w14:paraId="14AA9C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1.78%</w:t>
            </w:r>
          </w:p>
        </w:tc>
      </w:tr>
      <w:tr w:rsidR="00E32FE0" w:rsidRPr="005B5EC1" w14:paraId="23BDC45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B4830E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89881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14:paraId="26373A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3,933,457,557.42</w:t>
            </w:r>
          </w:p>
        </w:tc>
        <w:tc>
          <w:tcPr>
            <w:tcW w:w="2410" w:type="dxa"/>
            <w:tcBorders>
              <w:top w:val="single" w:sz="2" w:space="0" w:color="auto"/>
              <w:left w:val="single" w:sz="2" w:space="0" w:color="auto"/>
              <w:bottom w:val="single" w:sz="2" w:space="0" w:color="auto"/>
              <w:right w:val="single" w:sz="2" w:space="0" w:color="auto"/>
            </w:tcBorders>
            <w:vAlign w:val="center"/>
          </w:tcPr>
          <w:p w14:paraId="2FC7EC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37.33%</w:t>
            </w:r>
          </w:p>
        </w:tc>
      </w:tr>
    </w:tbl>
    <w:p w14:paraId="4220EBB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主要供应商其他情况说明</w:t>
      </w:r>
    </w:p>
    <w:p w14:paraId="0400476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9BF94BB" w14:textId="77777777" w:rsidR="00E32FE0" w:rsidRPr="005B5EC1" w:rsidRDefault="00000000">
      <w:pPr>
        <w:pStyle w:val="3"/>
        <w:spacing w:line="280" w:lineRule="exact"/>
        <w:jc w:val="left"/>
        <w:rPr>
          <w:rFonts w:ascii="Times New Roman" w:hAnsi="Times New Roman" w:cs="Times New Roman"/>
          <w:b/>
          <w:bCs/>
        </w:rPr>
      </w:pPr>
      <w:bookmarkStart w:id="28" w:name="_Toc988917"/>
      <w:r w:rsidRPr="005B5EC1">
        <w:rPr>
          <w:rFonts w:ascii="Times New Roman" w:hAnsi="Times New Roman" w:cs="Times New Roman"/>
          <w:b/>
          <w:bCs/>
        </w:rPr>
        <w:t>3</w:t>
      </w:r>
      <w:r w:rsidRPr="005B5EC1">
        <w:rPr>
          <w:rFonts w:ascii="Times New Roman" w:hAnsi="Times New Roman" w:cs="Times New Roman"/>
          <w:b/>
          <w:bCs/>
        </w:rPr>
        <w:t>、费用</w:t>
      </w:r>
      <w:bookmarkEnd w:id="28"/>
    </w:p>
    <w:p w14:paraId="65B995C2"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588"/>
        <w:gridCol w:w="2268"/>
      </w:tblGrid>
      <w:tr w:rsidR="00E32FE0" w:rsidRPr="005B5EC1" w14:paraId="65BA89C5" w14:textId="77777777" w:rsidTr="00BB1F9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BB32CCA"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3C9F7C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63388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1588" w:type="dxa"/>
            <w:tcBorders>
              <w:top w:val="single" w:sz="2" w:space="0" w:color="auto"/>
              <w:left w:val="single" w:sz="2" w:space="0" w:color="auto"/>
              <w:bottom w:val="single" w:sz="2" w:space="0" w:color="auto"/>
              <w:right w:val="single" w:sz="2" w:space="0" w:color="auto"/>
            </w:tcBorders>
            <w:shd w:val="clear" w:color="auto" w:fill="D3D3D3"/>
            <w:vAlign w:val="center"/>
          </w:tcPr>
          <w:p w14:paraId="720A5B5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同比增减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125F1BC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重大变动说明</w:t>
            </w:r>
          </w:p>
        </w:tc>
      </w:tr>
      <w:tr w:rsidR="00E32FE0" w:rsidRPr="005B5EC1" w14:paraId="786CDC9D" w14:textId="77777777" w:rsidTr="00BB1F9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404445E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14:paraId="163A61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102,938,925.91</w:t>
            </w:r>
          </w:p>
        </w:tc>
        <w:tc>
          <w:tcPr>
            <w:tcW w:w="1928" w:type="dxa"/>
            <w:tcBorders>
              <w:top w:val="single" w:sz="2" w:space="0" w:color="auto"/>
              <w:left w:val="single" w:sz="2" w:space="0" w:color="auto"/>
              <w:bottom w:val="single" w:sz="2" w:space="0" w:color="auto"/>
              <w:right w:val="single" w:sz="2" w:space="0" w:color="auto"/>
            </w:tcBorders>
            <w:vAlign w:val="center"/>
          </w:tcPr>
          <w:p w14:paraId="58C0CF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151,290,525.18</w:t>
            </w:r>
          </w:p>
        </w:tc>
        <w:tc>
          <w:tcPr>
            <w:tcW w:w="1588" w:type="dxa"/>
            <w:tcBorders>
              <w:top w:val="single" w:sz="2" w:space="0" w:color="auto"/>
              <w:left w:val="single" w:sz="2" w:space="0" w:color="auto"/>
              <w:bottom w:val="single" w:sz="2" w:space="0" w:color="auto"/>
              <w:right w:val="single" w:sz="2" w:space="0" w:color="auto"/>
            </w:tcBorders>
            <w:vAlign w:val="center"/>
          </w:tcPr>
          <w:p w14:paraId="77EB3C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-31.96%</w:t>
            </w:r>
          </w:p>
        </w:tc>
        <w:tc>
          <w:tcPr>
            <w:tcW w:w="2268" w:type="dxa"/>
            <w:tcBorders>
              <w:top w:val="single" w:sz="2" w:space="0" w:color="auto"/>
              <w:left w:val="single" w:sz="2" w:space="0" w:color="auto"/>
              <w:bottom w:val="single" w:sz="2" w:space="0" w:color="auto"/>
              <w:right w:val="single" w:sz="2" w:space="0" w:color="auto"/>
            </w:tcBorders>
            <w:vAlign w:val="center"/>
          </w:tcPr>
          <w:p w14:paraId="1673ED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主要原因系随着销售收入的减少，公司对销售费用管控力度增加所致。</w:t>
            </w:r>
          </w:p>
        </w:tc>
      </w:tr>
      <w:tr w:rsidR="00E32FE0" w:rsidRPr="005B5EC1" w14:paraId="5CEA0E07" w14:textId="77777777" w:rsidTr="00BB1F9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3585B3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14:paraId="6FAF06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250,317,998.86</w:t>
            </w:r>
          </w:p>
        </w:tc>
        <w:tc>
          <w:tcPr>
            <w:tcW w:w="1928" w:type="dxa"/>
            <w:tcBorders>
              <w:top w:val="single" w:sz="2" w:space="0" w:color="auto"/>
              <w:left w:val="single" w:sz="2" w:space="0" w:color="auto"/>
              <w:bottom w:val="single" w:sz="2" w:space="0" w:color="auto"/>
              <w:right w:val="single" w:sz="2" w:space="0" w:color="auto"/>
            </w:tcBorders>
            <w:vAlign w:val="center"/>
          </w:tcPr>
          <w:p w14:paraId="289909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289,373,279.33</w:t>
            </w:r>
          </w:p>
        </w:tc>
        <w:tc>
          <w:tcPr>
            <w:tcW w:w="1588" w:type="dxa"/>
            <w:tcBorders>
              <w:top w:val="single" w:sz="2" w:space="0" w:color="auto"/>
              <w:left w:val="single" w:sz="2" w:space="0" w:color="auto"/>
              <w:bottom w:val="single" w:sz="2" w:space="0" w:color="auto"/>
              <w:right w:val="single" w:sz="2" w:space="0" w:color="auto"/>
            </w:tcBorders>
            <w:vAlign w:val="center"/>
          </w:tcPr>
          <w:p w14:paraId="121266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-13.50%</w:t>
            </w:r>
          </w:p>
        </w:tc>
        <w:tc>
          <w:tcPr>
            <w:tcW w:w="2268" w:type="dxa"/>
            <w:tcBorders>
              <w:top w:val="single" w:sz="2" w:space="0" w:color="auto"/>
              <w:left w:val="single" w:sz="2" w:space="0" w:color="auto"/>
              <w:bottom w:val="single" w:sz="2" w:space="0" w:color="auto"/>
              <w:right w:val="single" w:sz="2" w:space="0" w:color="auto"/>
            </w:tcBorders>
            <w:vAlign w:val="center"/>
          </w:tcPr>
          <w:p w14:paraId="66F84132"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005478F0" w14:textId="77777777" w:rsidTr="00BB1F9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A290DD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14:paraId="3404CF2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83,411,600.66</w:t>
            </w:r>
          </w:p>
        </w:tc>
        <w:tc>
          <w:tcPr>
            <w:tcW w:w="1928" w:type="dxa"/>
            <w:tcBorders>
              <w:top w:val="single" w:sz="2" w:space="0" w:color="auto"/>
              <w:left w:val="single" w:sz="2" w:space="0" w:color="auto"/>
              <w:bottom w:val="single" w:sz="2" w:space="0" w:color="auto"/>
              <w:right w:val="single" w:sz="2" w:space="0" w:color="auto"/>
            </w:tcBorders>
            <w:vAlign w:val="center"/>
          </w:tcPr>
          <w:p w14:paraId="378B70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74,482,503.87</w:t>
            </w:r>
          </w:p>
        </w:tc>
        <w:tc>
          <w:tcPr>
            <w:tcW w:w="1588" w:type="dxa"/>
            <w:tcBorders>
              <w:top w:val="single" w:sz="2" w:space="0" w:color="auto"/>
              <w:left w:val="single" w:sz="2" w:space="0" w:color="auto"/>
              <w:bottom w:val="single" w:sz="2" w:space="0" w:color="auto"/>
              <w:right w:val="single" w:sz="2" w:space="0" w:color="auto"/>
            </w:tcBorders>
            <w:vAlign w:val="center"/>
          </w:tcPr>
          <w:p w14:paraId="7B61B8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11.99%</w:t>
            </w:r>
          </w:p>
        </w:tc>
        <w:tc>
          <w:tcPr>
            <w:tcW w:w="2268" w:type="dxa"/>
            <w:tcBorders>
              <w:top w:val="single" w:sz="2" w:space="0" w:color="auto"/>
              <w:left w:val="single" w:sz="2" w:space="0" w:color="auto"/>
              <w:bottom w:val="single" w:sz="2" w:space="0" w:color="auto"/>
              <w:right w:val="single" w:sz="2" w:space="0" w:color="auto"/>
            </w:tcBorders>
            <w:vAlign w:val="center"/>
          </w:tcPr>
          <w:p w14:paraId="6EF9CDAE"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11CC2047" w14:textId="77777777" w:rsidTr="00BB1F9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43B031E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研发费用</w:t>
            </w:r>
          </w:p>
        </w:tc>
        <w:tc>
          <w:tcPr>
            <w:tcW w:w="1928" w:type="dxa"/>
            <w:tcBorders>
              <w:top w:val="single" w:sz="2" w:space="0" w:color="auto"/>
              <w:left w:val="single" w:sz="2" w:space="0" w:color="auto"/>
              <w:bottom w:val="single" w:sz="2" w:space="0" w:color="auto"/>
              <w:right w:val="single" w:sz="2" w:space="0" w:color="auto"/>
            </w:tcBorders>
            <w:vAlign w:val="center"/>
          </w:tcPr>
          <w:p w14:paraId="597662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7,881,545.47</w:t>
            </w:r>
          </w:p>
        </w:tc>
        <w:tc>
          <w:tcPr>
            <w:tcW w:w="1928" w:type="dxa"/>
            <w:tcBorders>
              <w:top w:val="single" w:sz="2" w:space="0" w:color="auto"/>
              <w:left w:val="single" w:sz="2" w:space="0" w:color="auto"/>
              <w:bottom w:val="single" w:sz="2" w:space="0" w:color="auto"/>
              <w:right w:val="single" w:sz="2" w:space="0" w:color="auto"/>
            </w:tcBorders>
            <w:vAlign w:val="center"/>
          </w:tcPr>
          <w:p w14:paraId="2DA9CD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9,617,710.52</w:t>
            </w:r>
          </w:p>
        </w:tc>
        <w:tc>
          <w:tcPr>
            <w:tcW w:w="1588" w:type="dxa"/>
            <w:tcBorders>
              <w:top w:val="single" w:sz="2" w:space="0" w:color="auto"/>
              <w:left w:val="single" w:sz="2" w:space="0" w:color="auto"/>
              <w:bottom w:val="single" w:sz="2" w:space="0" w:color="auto"/>
              <w:right w:val="single" w:sz="2" w:space="0" w:color="auto"/>
            </w:tcBorders>
            <w:vAlign w:val="center"/>
          </w:tcPr>
          <w:p w14:paraId="663312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-18.05%</w:t>
            </w:r>
          </w:p>
        </w:tc>
        <w:tc>
          <w:tcPr>
            <w:tcW w:w="2268" w:type="dxa"/>
            <w:tcBorders>
              <w:top w:val="single" w:sz="2" w:space="0" w:color="auto"/>
              <w:left w:val="single" w:sz="2" w:space="0" w:color="auto"/>
              <w:bottom w:val="single" w:sz="2" w:space="0" w:color="auto"/>
              <w:right w:val="single" w:sz="2" w:space="0" w:color="auto"/>
            </w:tcBorders>
            <w:vAlign w:val="center"/>
          </w:tcPr>
          <w:p w14:paraId="506019D7" w14:textId="77777777" w:rsidR="00E32FE0" w:rsidRPr="005B5EC1" w:rsidRDefault="00E32FE0">
            <w:pPr>
              <w:spacing w:after="0" w:line="240" w:lineRule="exact"/>
              <w:rPr>
                <w:rFonts w:ascii="Times New Roman" w:eastAsia="宋体" w:hAnsi="Times New Roman" w:cs="Times New Roman"/>
                <w:sz w:val="18"/>
                <w:szCs w:val="18"/>
              </w:rPr>
            </w:pPr>
          </w:p>
        </w:tc>
      </w:tr>
    </w:tbl>
    <w:p w14:paraId="5EFF0F1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公司需遵守《深圳证券交易所上市公司自律监管指引第</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行业信息披露》中食品及酒制造相关业的披露要求</w:t>
      </w: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2"/>
        <w:gridCol w:w="1888"/>
        <w:gridCol w:w="990"/>
        <w:gridCol w:w="1981"/>
        <w:gridCol w:w="1011"/>
        <w:gridCol w:w="1652"/>
      </w:tblGrid>
      <w:tr w:rsidR="00781CA2" w:rsidRPr="005B5EC1" w14:paraId="34E24E7B" w14:textId="77777777" w:rsidTr="005F2410">
        <w:trPr>
          <w:divId w:val="844326588"/>
          <w:trHeight w:val="344"/>
          <w:jc w:val="center"/>
        </w:trPr>
        <w:tc>
          <w:tcPr>
            <w:tcW w:w="902" w:type="dxa"/>
            <w:noWrap/>
            <w:vAlign w:val="center"/>
            <w:hideMark/>
          </w:tcPr>
          <w:p w14:paraId="79F2FA9C"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lastRenderedPageBreak/>
              <w:t>项目</w:t>
            </w:r>
          </w:p>
        </w:tc>
        <w:tc>
          <w:tcPr>
            <w:tcW w:w="1888" w:type="dxa"/>
            <w:noWrap/>
            <w:vAlign w:val="center"/>
            <w:hideMark/>
          </w:tcPr>
          <w:p w14:paraId="79852C47"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本期发生额</w:t>
            </w:r>
          </w:p>
        </w:tc>
        <w:tc>
          <w:tcPr>
            <w:tcW w:w="990" w:type="dxa"/>
            <w:noWrap/>
            <w:vAlign w:val="center"/>
            <w:hideMark/>
          </w:tcPr>
          <w:p w14:paraId="05009882"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占比</w:t>
            </w:r>
          </w:p>
        </w:tc>
        <w:tc>
          <w:tcPr>
            <w:tcW w:w="1981" w:type="dxa"/>
            <w:noWrap/>
            <w:vAlign w:val="center"/>
            <w:hideMark/>
          </w:tcPr>
          <w:p w14:paraId="02E75852"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上期发生额</w:t>
            </w:r>
          </w:p>
        </w:tc>
        <w:tc>
          <w:tcPr>
            <w:tcW w:w="1011" w:type="dxa"/>
            <w:noWrap/>
            <w:vAlign w:val="center"/>
            <w:hideMark/>
          </w:tcPr>
          <w:p w14:paraId="0033F1E6"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占比</w:t>
            </w:r>
          </w:p>
        </w:tc>
        <w:tc>
          <w:tcPr>
            <w:tcW w:w="1652" w:type="dxa"/>
            <w:noWrap/>
            <w:vAlign w:val="center"/>
            <w:hideMark/>
          </w:tcPr>
          <w:p w14:paraId="63D3A932"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较上年同期增长</w:t>
            </w:r>
          </w:p>
        </w:tc>
      </w:tr>
      <w:tr w:rsidR="00781CA2" w:rsidRPr="005B5EC1" w14:paraId="148AAA84" w14:textId="77777777" w:rsidTr="005F2410">
        <w:trPr>
          <w:divId w:val="844326588"/>
          <w:trHeight w:val="344"/>
          <w:jc w:val="center"/>
        </w:trPr>
        <w:tc>
          <w:tcPr>
            <w:tcW w:w="902" w:type="dxa"/>
            <w:noWrap/>
            <w:vAlign w:val="center"/>
            <w:hideMark/>
          </w:tcPr>
          <w:p w14:paraId="68E98652"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工资</w:t>
            </w:r>
          </w:p>
        </w:tc>
        <w:tc>
          <w:tcPr>
            <w:tcW w:w="1888" w:type="dxa"/>
            <w:noWrap/>
            <w:vAlign w:val="center"/>
            <w:hideMark/>
          </w:tcPr>
          <w:p w14:paraId="61D2D61F"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62,593,625.06 </w:t>
            </w:r>
          </w:p>
        </w:tc>
        <w:tc>
          <w:tcPr>
            <w:tcW w:w="990" w:type="dxa"/>
            <w:noWrap/>
            <w:vAlign w:val="center"/>
            <w:hideMark/>
          </w:tcPr>
          <w:p w14:paraId="706D5766"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60.81%</w:t>
            </w:r>
          </w:p>
        </w:tc>
        <w:tc>
          <w:tcPr>
            <w:tcW w:w="1981" w:type="dxa"/>
            <w:noWrap/>
            <w:vAlign w:val="center"/>
            <w:hideMark/>
          </w:tcPr>
          <w:p w14:paraId="2DBED2BA"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79,173,533.02 </w:t>
            </w:r>
          </w:p>
        </w:tc>
        <w:tc>
          <w:tcPr>
            <w:tcW w:w="1011" w:type="dxa"/>
            <w:noWrap/>
            <w:vAlign w:val="center"/>
            <w:hideMark/>
          </w:tcPr>
          <w:p w14:paraId="0CA6E7FD"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52.33%</w:t>
            </w:r>
          </w:p>
        </w:tc>
        <w:tc>
          <w:tcPr>
            <w:tcW w:w="1652" w:type="dxa"/>
            <w:noWrap/>
            <w:vAlign w:val="center"/>
            <w:hideMark/>
          </w:tcPr>
          <w:p w14:paraId="7A1E9425"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-20.94%</w:t>
            </w:r>
          </w:p>
        </w:tc>
      </w:tr>
      <w:tr w:rsidR="00781CA2" w:rsidRPr="005B5EC1" w14:paraId="6B241F9F" w14:textId="77777777" w:rsidTr="005F2410">
        <w:trPr>
          <w:divId w:val="844326588"/>
          <w:trHeight w:val="344"/>
          <w:jc w:val="center"/>
        </w:trPr>
        <w:tc>
          <w:tcPr>
            <w:tcW w:w="902" w:type="dxa"/>
            <w:noWrap/>
            <w:vAlign w:val="center"/>
            <w:hideMark/>
          </w:tcPr>
          <w:p w14:paraId="26BC4D3E"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广告费</w:t>
            </w:r>
          </w:p>
        </w:tc>
        <w:tc>
          <w:tcPr>
            <w:tcW w:w="1888" w:type="dxa"/>
            <w:noWrap/>
            <w:vAlign w:val="center"/>
            <w:hideMark/>
          </w:tcPr>
          <w:p w14:paraId="20EC125A"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140,594.65 </w:t>
            </w:r>
          </w:p>
        </w:tc>
        <w:tc>
          <w:tcPr>
            <w:tcW w:w="990" w:type="dxa"/>
            <w:noWrap/>
            <w:vAlign w:val="center"/>
            <w:hideMark/>
          </w:tcPr>
          <w:p w14:paraId="1B88BD78"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0.14%</w:t>
            </w:r>
          </w:p>
        </w:tc>
        <w:tc>
          <w:tcPr>
            <w:tcW w:w="1981" w:type="dxa"/>
            <w:noWrap/>
            <w:vAlign w:val="center"/>
            <w:hideMark/>
          </w:tcPr>
          <w:p w14:paraId="67D975F7"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266,148.53 </w:t>
            </w:r>
          </w:p>
        </w:tc>
        <w:tc>
          <w:tcPr>
            <w:tcW w:w="1011" w:type="dxa"/>
            <w:noWrap/>
            <w:vAlign w:val="center"/>
            <w:hideMark/>
          </w:tcPr>
          <w:p w14:paraId="1C8F689D"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0.18%</w:t>
            </w:r>
          </w:p>
        </w:tc>
        <w:tc>
          <w:tcPr>
            <w:tcW w:w="1652" w:type="dxa"/>
            <w:noWrap/>
            <w:vAlign w:val="center"/>
            <w:hideMark/>
          </w:tcPr>
          <w:p w14:paraId="44AD0762"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-47.17%</w:t>
            </w:r>
          </w:p>
        </w:tc>
      </w:tr>
      <w:tr w:rsidR="00781CA2" w:rsidRPr="005B5EC1" w14:paraId="52E2051F" w14:textId="77777777" w:rsidTr="005F2410">
        <w:trPr>
          <w:divId w:val="844326588"/>
          <w:trHeight w:val="344"/>
          <w:jc w:val="center"/>
        </w:trPr>
        <w:tc>
          <w:tcPr>
            <w:tcW w:w="902" w:type="dxa"/>
            <w:noWrap/>
            <w:vAlign w:val="center"/>
            <w:hideMark/>
          </w:tcPr>
          <w:p w14:paraId="63DDFD56"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差旅费</w:t>
            </w:r>
          </w:p>
        </w:tc>
        <w:tc>
          <w:tcPr>
            <w:tcW w:w="1888" w:type="dxa"/>
            <w:noWrap/>
            <w:vAlign w:val="center"/>
            <w:hideMark/>
          </w:tcPr>
          <w:p w14:paraId="564CBFB5"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3,327,591.02 </w:t>
            </w:r>
          </w:p>
        </w:tc>
        <w:tc>
          <w:tcPr>
            <w:tcW w:w="990" w:type="dxa"/>
            <w:noWrap/>
            <w:vAlign w:val="center"/>
            <w:hideMark/>
          </w:tcPr>
          <w:p w14:paraId="59635912"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3.23%</w:t>
            </w:r>
          </w:p>
        </w:tc>
        <w:tc>
          <w:tcPr>
            <w:tcW w:w="1981" w:type="dxa"/>
            <w:noWrap/>
            <w:vAlign w:val="center"/>
            <w:hideMark/>
          </w:tcPr>
          <w:p w14:paraId="535CEAF8"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3,376,199.21 </w:t>
            </w:r>
          </w:p>
        </w:tc>
        <w:tc>
          <w:tcPr>
            <w:tcW w:w="1011" w:type="dxa"/>
            <w:noWrap/>
            <w:vAlign w:val="center"/>
            <w:hideMark/>
          </w:tcPr>
          <w:p w14:paraId="2EAF075C"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2.23%</w:t>
            </w:r>
          </w:p>
        </w:tc>
        <w:tc>
          <w:tcPr>
            <w:tcW w:w="1652" w:type="dxa"/>
            <w:noWrap/>
            <w:vAlign w:val="center"/>
            <w:hideMark/>
          </w:tcPr>
          <w:p w14:paraId="0BBA110B"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-1.44%</w:t>
            </w:r>
          </w:p>
        </w:tc>
      </w:tr>
      <w:tr w:rsidR="00781CA2" w:rsidRPr="005B5EC1" w14:paraId="5587F1D8" w14:textId="77777777" w:rsidTr="005F2410">
        <w:trPr>
          <w:divId w:val="844326588"/>
          <w:trHeight w:val="344"/>
          <w:jc w:val="center"/>
        </w:trPr>
        <w:tc>
          <w:tcPr>
            <w:tcW w:w="902" w:type="dxa"/>
            <w:noWrap/>
            <w:vAlign w:val="center"/>
            <w:hideMark/>
          </w:tcPr>
          <w:p w14:paraId="43EB4BE8"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折旧费</w:t>
            </w:r>
          </w:p>
        </w:tc>
        <w:tc>
          <w:tcPr>
            <w:tcW w:w="1888" w:type="dxa"/>
            <w:noWrap/>
            <w:vAlign w:val="center"/>
            <w:hideMark/>
          </w:tcPr>
          <w:p w14:paraId="34CBCE5C"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523,252.82 </w:t>
            </w:r>
          </w:p>
        </w:tc>
        <w:tc>
          <w:tcPr>
            <w:tcW w:w="990" w:type="dxa"/>
            <w:noWrap/>
            <w:vAlign w:val="center"/>
            <w:hideMark/>
          </w:tcPr>
          <w:p w14:paraId="09B8796A"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0.51%</w:t>
            </w:r>
          </w:p>
        </w:tc>
        <w:tc>
          <w:tcPr>
            <w:tcW w:w="1981" w:type="dxa"/>
            <w:noWrap/>
            <w:vAlign w:val="center"/>
            <w:hideMark/>
          </w:tcPr>
          <w:p w14:paraId="051690C2"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748,634.58 </w:t>
            </w:r>
          </w:p>
        </w:tc>
        <w:tc>
          <w:tcPr>
            <w:tcW w:w="1011" w:type="dxa"/>
            <w:noWrap/>
            <w:vAlign w:val="center"/>
            <w:hideMark/>
          </w:tcPr>
          <w:p w14:paraId="4DBC0D43"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0.50%</w:t>
            </w:r>
          </w:p>
        </w:tc>
        <w:tc>
          <w:tcPr>
            <w:tcW w:w="1652" w:type="dxa"/>
            <w:noWrap/>
            <w:vAlign w:val="center"/>
            <w:hideMark/>
          </w:tcPr>
          <w:p w14:paraId="42559250"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-30.11%</w:t>
            </w:r>
          </w:p>
        </w:tc>
      </w:tr>
      <w:tr w:rsidR="00781CA2" w:rsidRPr="005B5EC1" w14:paraId="572E02D0" w14:textId="77777777" w:rsidTr="005F2410">
        <w:trPr>
          <w:divId w:val="844326588"/>
          <w:trHeight w:val="344"/>
          <w:jc w:val="center"/>
        </w:trPr>
        <w:tc>
          <w:tcPr>
            <w:tcW w:w="902" w:type="dxa"/>
            <w:noWrap/>
            <w:vAlign w:val="center"/>
            <w:hideMark/>
          </w:tcPr>
          <w:p w14:paraId="5B55D019"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租赁费</w:t>
            </w:r>
          </w:p>
        </w:tc>
        <w:tc>
          <w:tcPr>
            <w:tcW w:w="1888" w:type="dxa"/>
            <w:noWrap/>
            <w:vAlign w:val="center"/>
            <w:hideMark/>
          </w:tcPr>
          <w:p w14:paraId="061D26C1"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1,717,951.24 </w:t>
            </w:r>
          </w:p>
        </w:tc>
        <w:tc>
          <w:tcPr>
            <w:tcW w:w="990" w:type="dxa"/>
            <w:noWrap/>
            <w:vAlign w:val="center"/>
            <w:hideMark/>
          </w:tcPr>
          <w:p w14:paraId="27645B29"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1.67%</w:t>
            </w:r>
          </w:p>
        </w:tc>
        <w:tc>
          <w:tcPr>
            <w:tcW w:w="1981" w:type="dxa"/>
            <w:noWrap/>
            <w:vAlign w:val="center"/>
            <w:hideMark/>
          </w:tcPr>
          <w:p w14:paraId="5009EB57"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2,574,277.54 </w:t>
            </w:r>
          </w:p>
        </w:tc>
        <w:tc>
          <w:tcPr>
            <w:tcW w:w="1011" w:type="dxa"/>
            <w:noWrap/>
            <w:vAlign w:val="center"/>
            <w:hideMark/>
          </w:tcPr>
          <w:p w14:paraId="27965255"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1.70%</w:t>
            </w:r>
          </w:p>
        </w:tc>
        <w:tc>
          <w:tcPr>
            <w:tcW w:w="1652" w:type="dxa"/>
            <w:noWrap/>
            <w:vAlign w:val="center"/>
            <w:hideMark/>
          </w:tcPr>
          <w:p w14:paraId="4CE145AB"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-33.26%</w:t>
            </w:r>
          </w:p>
        </w:tc>
      </w:tr>
      <w:tr w:rsidR="00781CA2" w:rsidRPr="005B5EC1" w14:paraId="085AF29C" w14:textId="77777777" w:rsidTr="005F2410">
        <w:trPr>
          <w:divId w:val="844326588"/>
          <w:trHeight w:val="344"/>
          <w:jc w:val="center"/>
        </w:trPr>
        <w:tc>
          <w:tcPr>
            <w:tcW w:w="902" w:type="dxa"/>
            <w:noWrap/>
            <w:vAlign w:val="center"/>
            <w:hideMark/>
          </w:tcPr>
          <w:p w14:paraId="1B2EC5FF"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仓储费</w:t>
            </w:r>
          </w:p>
        </w:tc>
        <w:tc>
          <w:tcPr>
            <w:tcW w:w="1888" w:type="dxa"/>
            <w:noWrap/>
            <w:vAlign w:val="center"/>
            <w:hideMark/>
          </w:tcPr>
          <w:p w14:paraId="6C6E98B5"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1,141,207.59 </w:t>
            </w:r>
          </w:p>
        </w:tc>
        <w:tc>
          <w:tcPr>
            <w:tcW w:w="990" w:type="dxa"/>
            <w:noWrap/>
            <w:vAlign w:val="center"/>
            <w:hideMark/>
          </w:tcPr>
          <w:p w14:paraId="69E5461F"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1.11%</w:t>
            </w:r>
          </w:p>
        </w:tc>
        <w:tc>
          <w:tcPr>
            <w:tcW w:w="1981" w:type="dxa"/>
            <w:noWrap/>
            <w:vAlign w:val="center"/>
            <w:hideMark/>
          </w:tcPr>
          <w:p w14:paraId="1BC00288"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16,587,132.73 </w:t>
            </w:r>
          </w:p>
        </w:tc>
        <w:tc>
          <w:tcPr>
            <w:tcW w:w="1011" w:type="dxa"/>
            <w:noWrap/>
            <w:vAlign w:val="center"/>
            <w:hideMark/>
          </w:tcPr>
          <w:p w14:paraId="302DEB22"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10.97%</w:t>
            </w:r>
          </w:p>
        </w:tc>
        <w:tc>
          <w:tcPr>
            <w:tcW w:w="1652" w:type="dxa"/>
            <w:noWrap/>
            <w:vAlign w:val="center"/>
            <w:hideMark/>
          </w:tcPr>
          <w:p w14:paraId="6CA23504"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-93.12%</w:t>
            </w:r>
          </w:p>
        </w:tc>
      </w:tr>
      <w:tr w:rsidR="00781CA2" w:rsidRPr="005B5EC1" w14:paraId="5AFB7C6C" w14:textId="77777777" w:rsidTr="005F2410">
        <w:trPr>
          <w:divId w:val="844326588"/>
          <w:trHeight w:val="344"/>
          <w:jc w:val="center"/>
        </w:trPr>
        <w:tc>
          <w:tcPr>
            <w:tcW w:w="902" w:type="dxa"/>
            <w:noWrap/>
            <w:vAlign w:val="center"/>
            <w:hideMark/>
          </w:tcPr>
          <w:p w14:paraId="241A0D0F"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服务费</w:t>
            </w:r>
          </w:p>
        </w:tc>
        <w:tc>
          <w:tcPr>
            <w:tcW w:w="1888" w:type="dxa"/>
            <w:noWrap/>
            <w:vAlign w:val="center"/>
            <w:hideMark/>
          </w:tcPr>
          <w:p w14:paraId="1673CFBE"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22,566,968.84 </w:t>
            </w:r>
          </w:p>
        </w:tc>
        <w:tc>
          <w:tcPr>
            <w:tcW w:w="990" w:type="dxa"/>
            <w:noWrap/>
            <w:vAlign w:val="center"/>
            <w:hideMark/>
          </w:tcPr>
          <w:p w14:paraId="73F576F3"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21.92%</w:t>
            </w:r>
          </w:p>
        </w:tc>
        <w:tc>
          <w:tcPr>
            <w:tcW w:w="1981" w:type="dxa"/>
            <w:noWrap/>
            <w:vAlign w:val="center"/>
            <w:hideMark/>
          </w:tcPr>
          <w:p w14:paraId="2AE13AB2"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26,915,626.75 </w:t>
            </w:r>
          </w:p>
        </w:tc>
        <w:tc>
          <w:tcPr>
            <w:tcW w:w="1011" w:type="dxa"/>
            <w:noWrap/>
            <w:vAlign w:val="center"/>
            <w:hideMark/>
          </w:tcPr>
          <w:p w14:paraId="1D95803B"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17.79%</w:t>
            </w:r>
          </w:p>
        </w:tc>
        <w:tc>
          <w:tcPr>
            <w:tcW w:w="1652" w:type="dxa"/>
            <w:noWrap/>
            <w:vAlign w:val="center"/>
            <w:hideMark/>
          </w:tcPr>
          <w:p w14:paraId="0B650871"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-16.16%</w:t>
            </w:r>
          </w:p>
        </w:tc>
      </w:tr>
      <w:tr w:rsidR="00781CA2" w:rsidRPr="005B5EC1" w14:paraId="7EF5FC02" w14:textId="77777777" w:rsidTr="005F2410">
        <w:trPr>
          <w:divId w:val="844326588"/>
          <w:trHeight w:val="344"/>
          <w:jc w:val="center"/>
        </w:trPr>
        <w:tc>
          <w:tcPr>
            <w:tcW w:w="902" w:type="dxa"/>
            <w:noWrap/>
            <w:vAlign w:val="center"/>
            <w:hideMark/>
          </w:tcPr>
          <w:p w14:paraId="7CE12375"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装卸费</w:t>
            </w:r>
          </w:p>
        </w:tc>
        <w:tc>
          <w:tcPr>
            <w:tcW w:w="1888" w:type="dxa"/>
            <w:noWrap/>
            <w:vAlign w:val="center"/>
            <w:hideMark/>
          </w:tcPr>
          <w:p w14:paraId="641A32BE"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8,194.01 </w:t>
            </w:r>
          </w:p>
        </w:tc>
        <w:tc>
          <w:tcPr>
            <w:tcW w:w="990" w:type="dxa"/>
            <w:noWrap/>
            <w:vAlign w:val="center"/>
            <w:hideMark/>
          </w:tcPr>
          <w:p w14:paraId="5C198AF3"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0.01%</w:t>
            </w:r>
          </w:p>
        </w:tc>
        <w:tc>
          <w:tcPr>
            <w:tcW w:w="1981" w:type="dxa"/>
            <w:noWrap/>
            <w:vAlign w:val="center"/>
            <w:hideMark/>
          </w:tcPr>
          <w:p w14:paraId="5AF463A4"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1,817,992.76 </w:t>
            </w:r>
          </w:p>
        </w:tc>
        <w:tc>
          <w:tcPr>
            <w:tcW w:w="1011" w:type="dxa"/>
            <w:noWrap/>
            <w:vAlign w:val="center"/>
            <w:hideMark/>
          </w:tcPr>
          <w:p w14:paraId="6C9F82D6"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1.20%</w:t>
            </w:r>
          </w:p>
        </w:tc>
        <w:tc>
          <w:tcPr>
            <w:tcW w:w="1652" w:type="dxa"/>
            <w:noWrap/>
            <w:vAlign w:val="center"/>
            <w:hideMark/>
          </w:tcPr>
          <w:p w14:paraId="3E6B3A09"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-99.55%</w:t>
            </w:r>
          </w:p>
        </w:tc>
      </w:tr>
      <w:tr w:rsidR="00781CA2" w:rsidRPr="005B5EC1" w14:paraId="4ADD1EFC" w14:textId="77777777" w:rsidTr="005F2410">
        <w:trPr>
          <w:divId w:val="844326588"/>
          <w:trHeight w:val="344"/>
          <w:jc w:val="center"/>
        </w:trPr>
        <w:tc>
          <w:tcPr>
            <w:tcW w:w="902" w:type="dxa"/>
            <w:noWrap/>
            <w:vAlign w:val="center"/>
            <w:hideMark/>
          </w:tcPr>
          <w:p w14:paraId="3DD1E6DE"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修理费</w:t>
            </w:r>
          </w:p>
        </w:tc>
        <w:tc>
          <w:tcPr>
            <w:tcW w:w="1888" w:type="dxa"/>
            <w:noWrap/>
            <w:vAlign w:val="center"/>
            <w:hideMark/>
          </w:tcPr>
          <w:p w14:paraId="38929C27"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25,061.56 </w:t>
            </w:r>
          </w:p>
        </w:tc>
        <w:tc>
          <w:tcPr>
            <w:tcW w:w="990" w:type="dxa"/>
            <w:noWrap/>
            <w:vAlign w:val="center"/>
            <w:hideMark/>
          </w:tcPr>
          <w:p w14:paraId="6B7D6546"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0.02%</w:t>
            </w:r>
          </w:p>
        </w:tc>
        <w:tc>
          <w:tcPr>
            <w:tcW w:w="1981" w:type="dxa"/>
            <w:noWrap/>
            <w:vAlign w:val="center"/>
            <w:hideMark/>
          </w:tcPr>
          <w:p w14:paraId="44A317DB"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43,540.89 </w:t>
            </w:r>
          </w:p>
        </w:tc>
        <w:tc>
          <w:tcPr>
            <w:tcW w:w="1011" w:type="dxa"/>
            <w:noWrap/>
            <w:vAlign w:val="center"/>
            <w:hideMark/>
          </w:tcPr>
          <w:p w14:paraId="3FD6F5EA"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0.03%</w:t>
            </w:r>
          </w:p>
        </w:tc>
        <w:tc>
          <w:tcPr>
            <w:tcW w:w="1652" w:type="dxa"/>
            <w:noWrap/>
            <w:vAlign w:val="center"/>
            <w:hideMark/>
          </w:tcPr>
          <w:p w14:paraId="34A4E52E"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-42.44%</w:t>
            </w:r>
          </w:p>
        </w:tc>
      </w:tr>
      <w:tr w:rsidR="00781CA2" w:rsidRPr="005B5EC1" w14:paraId="756B7A55" w14:textId="77777777" w:rsidTr="005F2410">
        <w:trPr>
          <w:divId w:val="844326588"/>
          <w:trHeight w:val="344"/>
          <w:jc w:val="center"/>
        </w:trPr>
        <w:tc>
          <w:tcPr>
            <w:tcW w:w="902" w:type="dxa"/>
            <w:noWrap/>
            <w:vAlign w:val="center"/>
            <w:hideMark/>
          </w:tcPr>
          <w:p w14:paraId="1FFA7CCB"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其他</w:t>
            </w:r>
          </w:p>
        </w:tc>
        <w:tc>
          <w:tcPr>
            <w:tcW w:w="1888" w:type="dxa"/>
            <w:noWrap/>
            <w:vAlign w:val="center"/>
            <w:hideMark/>
          </w:tcPr>
          <w:p w14:paraId="67924A04"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10,894,479.12 </w:t>
            </w:r>
          </w:p>
        </w:tc>
        <w:tc>
          <w:tcPr>
            <w:tcW w:w="990" w:type="dxa"/>
            <w:noWrap/>
            <w:vAlign w:val="center"/>
            <w:hideMark/>
          </w:tcPr>
          <w:p w14:paraId="722E6639"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10.58%</w:t>
            </w:r>
          </w:p>
        </w:tc>
        <w:tc>
          <w:tcPr>
            <w:tcW w:w="1981" w:type="dxa"/>
            <w:noWrap/>
            <w:vAlign w:val="center"/>
            <w:hideMark/>
          </w:tcPr>
          <w:p w14:paraId="791492B0"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19,787,439.17 </w:t>
            </w:r>
          </w:p>
        </w:tc>
        <w:tc>
          <w:tcPr>
            <w:tcW w:w="1011" w:type="dxa"/>
            <w:noWrap/>
            <w:vAlign w:val="center"/>
            <w:hideMark/>
          </w:tcPr>
          <w:p w14:paraId="254C5F0D"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13.08%</w:t>
            </w:r>
          </w:p>
        </w:tc>
        <w:tc>
          <w:tcPr>
            <w:tcW w:w="1652" w:type="dxa"/>
            <w:noWrap/>
            <w:vAlign w:val="center"/>
            <w:hideMark/>
          </w:tcPr>
          <w:p w14:paraId="7DE74BF6"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-44.94%</w:t>
            </w:r>
          </w:p>
        </w:tc>
      </w:tr>
      <w:tr w:rsidR="00781CA2" w:rsidRPr="005B5EC1" w14:paraId="0BCE1862" w14:textId="77777777" w:rsidTr="005F2410">
        <w:trPr>
          <w:divId w:val="844326588"/>
          <w:trHeight w:val="344"/>
          <w:jc w:val="center"/>
        </w:trPr>
        <w:tc>
          <w:tcPr>
            <w:tcW w:w="902" w:type="dxa"/>
            <w:noWrap/>
            <w:vAlign w:val="center"/>
            <w:hideMark/>
          </w:tcPr>
          <w:p w14:paraId="3740FF6C" w14:textId="77777777" w:rsidR="00781CA2" w:rsidRPr="005B5EC1" w:rsidRDefault="00781CA2">
            <w:pPr>
              <w:pStyle w:val="a3"/>
              <w:spacing w:before="0" w:beforeAutospacing="0" w:after="0" w:afterAutospacing="0"/>
              <w:jc w:val="center"/>
              <w:rPr>
                <w:rFonts w:ascii="Times New Roman" w:hAnsi="Times New Roman" w:cs="Times New Roman"/>
                <w:sz w:val="18"/>
                <w:szCs w:val="18"/>
              </w:rPr>
            </w:pPr>
            <w:r w:rsidRPr="005B5EC1">
              <w:rPr>
                <w:rFonts w:ascii="Times New Roman" w:hAnsi="Times New Roman" w:cs="Times New Roman"/>
                <w:sz w:val="18"/>
                <w:szCs w:val="18"/>
              </w:rPr>
              <w:t>合计</w:t>
            </w:r>
          </w:p>
        </w:tc>
        <w:tc>
          <w:tcPr>
            <w:tcW w:w="1888" w:type="dxa"/>
            <w:noWrap/>
            <w:vAlign w:val="center"/>
            <w:hideMark/>
          </w:tcPr>
          <w:p w14:paraId="5393A57B"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102,938,925.91 </w:t>
            </w:r>
          </w:p>
        </w:tc>
        <w:tc>
          <w:tcPr>
            <w:tcW w:w="990" w:type="dxa"/>
            <w:noWrap/>
            <w:vAlign w:val="center"/>
            <w:hideMark/>
          </w:tcPr>
          <w:p w14:paraId="624031F4"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100.00%</w:t>
            </w:r>
          </w:p>
        </w:tc>
        <w:tc>
          <w:tcPr>
            <w:tcW w:w="1981" w:type="dxa"/>
            <w:noWrap/>
            <w:vAlign w:val="center"/>
            <w:hideMark/>
          </w:tcPr>
          <w:p w14:paraId="53C9486A"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 151,290,525.18 </w:t>
            </w:r>
          </w:p>
        </w:tc>
        <w:tc>
          <w:tcPr>
            <w:tcW w:w="1011" w:type="dxa"/>
            <w:noWrap/>
            <w:vAlign w:val="center"/>
            <w:hideMark/>
          </w:tcPr>
          <w:p w14:paraId="6BEBDE20"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100.00%</w:t>
            </w:r>
          </w:p>
        </w:tc>
        <w:tc>
          <w:tcPr>
            <w:tcW w:w="1652" w:type="dxa"/>
            <w:noWrap/>
            <w:vAlign w:val="center"/>
            <w:hideMark/>
          </w:tcPr>
          <w:p w14:paraId="52B566BD" w14:textId="77777777" w:rsidR="00781CA2" w:rsidRPr="005B5EC1" w:rsidRDefault="00781CA2">
            <w:pPr>
              <w:pStyle w:val="a3"/>
              <w:spacing w:before="0" w:beforeAutospacing="0" w:after="0" w:afterAutospacing="0"/>
              <w:jc w:val="right"/>
              <w:rPr>
                <w:rFonts w:ascii="Times New Roman" w:hAnsi="Times New Roman" w:cs="Times New Roman"/>
                <w:sz w:val="18"/>
                <w:szCs w:val="18"/>
              </w:rPr>
            </w:pPr>
            <w:r w:rsidRPr="005B5EC1">
              <w:rPr>
                <w:rFonts w:ascii="Times New Roman" w:hAnsi="Times New Roman" w:cs="Times New Roman"/>
                <w:sz w:val="18"/>
                <w:szCs w:val="18"/>
              </w:rPr>
              <w:t>-31.96%</w:t>
            </w:r>
          </w:p>
        </w:tc>
      </w:tr>
    </w:tbl>
    <w:p w14:paraId="5A12565E" w14:textId="77777777" w:rsidR="00E32FE0" w:rsidRPr="005B5EC1" w:rsidRDefault="00000000">
      <w:pPr>
        <w:pStyle w:val="3"/>
        <w:spacing w:line="280" w:lineRule="exact"/>
        <w:jc w:val="left"/>
        <w:rPr>
          <w:rFonts w:ascii="Times New Roman" w:hAnsi="Times New Roman" w:cs="Times New Roman"/>
          <w:b/>
          <w:bCs/>
        </w:rPr>
      </w:pPr>
      <w:bookmarkStart w:id="29" w:name="_Toc988918"/>
      <w:r w:rsidRPr="005B5EC1">
        <w:rPr>
          <w:rFonts w:ascii="Times New Roman" w:hAnsi="Times New Roman" w:cs="Times New Roman"/>
          <w:b/>
          <w:bCs/>
        </w:rPr>
        <w:t>4</w:t>
      </w:r>
      <w:r w:rsidRPr="005B5EC1">
        <w:rPr>
          <w:rFonts w:ascii="Times New Roman" w:hAnsi="Times New Roman" w:cs="Times New Roman"/>
          <w:b/>
          <w:bCs/>
        </w:rPr>
        <w:t>、研发投入</w:t>
      </w:r>
      <w:bookmarkEnd w:id="29"/>
    </w:p>
    <w:p w14:paraId="0C882F7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617"/>
        <w:gridCol w:w="2268"/>
        <w:gridCol w:w="1701"/>
        <w:gridCol w:w="2126"/>
      </w:tblGrid>
      <w:tr w:rsidR="00E32FE0" w:rsidRPr="005B5EC1" w14:paraId="288FF8EA" w14:textId="77777777" w:rsidTr="00BB1F9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F9291F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主要研发项目名称</w:t>
            </w:r>
          </w:p>
        </w:tc>
        <w:tc>
          <w:tcPr>
            <w:tcW w:w="1617" w:type="dxa"/>
            <w:tcBorders>
              <w:top w:val="single" w:sz="2" w:space="0" w:color="auto"/>
              <w:left w:val="single" w:sz="2" w:space="0" w:color="auto"/>
              <w:bottom w:val="single" w:sz="2" w:space="0" w:color="auto"/>
              <w:right w:val="single" w:sz="2" w:space="0" w:color="auto"/>
            </w:tcBorders>
            <w:shd w:val="clear" w:color="auto" w:fill="D3D3D3"/>
            <w:vAlign w:val="center"/>
          </w:tcPr>
          <w:p w14:paraId="14F7B75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项目目的</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7E410D9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项目进展</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0B378A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拟达到的目标</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20278E6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预计对公司未来发展的影响</w:t>
            </w:r>
          </w:p>
        </w:tc>
      </w:tr>
      <w:tr w:rsidR="00E32FE0" w:rsidRPr="005B5EC1" w14:paraId="1227FA4C" w14:textId="77777777" w:rsidTr="00BB1F9D">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364CF28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休闲类产品研发</w:t>
            </w:r>
          </w:p>
        </w:tc>
        <w:tc>
          <w:tcPr>
            <w:tcW w:w="1617" w:type="dxa"/>
            <w:tcBorders>
              <w:top w:val="single" w:sz="2" w:space="0" w:color="auto"/>
              <w:left w:val="single" w:sz="2" w:space="0" w:color="auto"/>
              <w:bottom w:val="single" w:sz="2" w:space="0" w:color="auto"/>
              <w:right w:val="single" w:sz="2" w:space="0" w:color="auto"/>
            </w:tcBorders>
            <w:vAlign w:val="center"/>
          </w:tcPr>
          <w:p w14:paraId="41006CB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与休闲赛道主力商家休闲类肉食品和轻食达成深入合作</w:t>
            </w:r>
          </w:p>
        </w:tc>
        <w:tc>
          <w:tcPr>
            <w:tcW w:w="2268" w:type="dxa"/>
            <w:tcBorders>
              <w:top w:val="single" w:sz="2" w:space="0" w:color="auto"/>
              <w:left w:val="single" w:sz="2" w:space="0" w:color="auto"/>
              <w:bottom w:val="single" w:sz="2" w:space="0" w:color="auto"/>
              <w:right w:val="single" w:sz="2" w:space="0" w:color="auto"/>
            </w:tcBorders>
            <w:vAlign w:val="center"/>
          </w:tcPr>
          <w:p w14:paraId="4856D217" w14:textId="16FAF286"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已上市脆皮肉粒肠</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玉米味、香辣味及原味</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、肉香小烤肠（烟熏味）及奥尔良风味烤肠（玉米味）</w:t>
            </w:r>
            <w:r w:rsidR="00BB1F9D" w:rsidRPr="005B5EC1">
              <w:rPr>
                <w:rFonts w:ascii="Times New Roman" w:eastAsia="宋体" w:hAnsi="Times New Roman" w:cs="Times New Roman" w:hint="eastAsia"/>
                <w:sz w:val="18"/>
                <w:szCs w:val="18"/>
              </w:rPr>
              <w:t>。</w:t>
            </w:r>
          </w:p>
        </w:tc>
        <w:tc>
          <w:tcPr>
            <w:tcW w:w="1701" w:type="dxa"/>
            <w:tcBorders>
              <w:top w:val="single" w:sz="2" w:space="0" w:color="auto"/>
              <w:left w:val="single" w:sz="2" w:space="0" w:color="auto"/>
              <w:bottom w:val="single" w:sz="2" w:space="0" w:color="auto"/>
              <w:right w:val="single" w:sz="2" w:space="0" w:color="auto"/>
            </w:tcBorders>
            <w:vAlign w:val="center"/>
          </w:tcPr>
          <w:p w14:paraId="45C685A3" w14:textId="2FF00DAB"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开拓休闲赛道，寻找新的增长点</w:t>
            </w:r>
            <w:r w:rsidR="00BB1F9D" w:rsidRPr="005B5EC1">
              <w:rPr>
                <w:rFonts w:ascii="Times New Roman" w:eastAsia="宋体" w:hAnsi="Times New Roman" w:cs="Times New Roman" w:hint="eastAsia"/>
                <w:sz w:val="18"/>
                <w:szCs w:val="18"/>
              </w:rPr>
              <w:t>。</w:t>
            </w:r>
          </w:p>
        </w:tc>
        <w:tc>
          <w:tcPr>
            <w:tcW w:w="2126" w:type="dxa"/>
            <w:tcBorders>
              <w:top w:val="single" w:sz="2" w:space="0" w:color="auto"/>
              <w:left w:val="single" w:sz="2" w:space="0" w:color="auto"/>
              <w:bottom w:val="single" w:sz="2" w:space="0" w:color="auto"/>
              <w:right w:val="single" w:sz="2" w:space="0" w:color="auto"/>
            </w:tcBorders>
            <w:vAlign w:val="center"/>
          </w:tcPr>
          <w:p w14:paraId="6C018A6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借助休闲赛道主力商家的力量和优势，拓展公司产品品类并提高公司产品的竞争力，提高品牌知名度、美誉度。</w:t>
            </w:r>
          </w:p>
        </w:tc>
      </w:tr>
      <w:tr w:rsidR="00E32FE0" w:rsidRPr="005B5EC1" w14:paraId="1BD908A0" w14:textId="77777777" w:rsidTr="00BB1F9D">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22B9FDC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龙大鲜食记鲜肉灌肠系列研发</w:t>
            </w:r>
          </w:p>
        </w:tc>
        <w:tc>
          <w:tcPr>
            <w:tcW w:w="1617" w:type="dxa"/>
            <w:tcBorders>
              <w:top w:val="single" w:sz="2" w:space="0" w:color="auto"/>
              <w:left w:val="single" w:sz="2" w:space="0" w:color="auto"/>
              <w:bottom w:val="single" w:sz="2" w:space="0" w:color="auto"/>
              <w:right w:val="single" w:sz="2" w:space="0" w:color="auto"/>
            </w:tcBorders>
            <w:vAlign w:val="center"/>
          </w:tcPr>
          <w:p w14:paraId="54491EF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开发具有龙大清洁标签健康配料的特色产品</w:t>
            </w:r>
          </w:p>
        </w:tc>
        <w:tc>
          <w:tcPr>
            <w:tcW w:w="2268" w:type="dxa"/>
            <w:tcBorders>
              <w:top w:val="single" w:sz="2" w:space="0" w:color="auto"/>
              <w:left w:val="single" w:sz="2" w:space="0" w:color="auto"/>
              <w:bottom w:val="single" w:sz="2" w:space="0" w:color="auto"/>
              <w:right w:val="single" w:sz="2" w:space="0" w:color="auto"/>
            </w:tcBorders>
            <w:vAlign w:val="center"/>
          </w:tcPr>
          <w:p w14:paraId="1435F6F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已攻克清洁标签、健康概念等极简标签烤肠，并上市爆汁鲜肉肠等热销产品</w:t>
            </w:r>
          </w:p>
        </w:tc>
        <w:tc>
          <w:tcPr>
            <w:tcW w:w="1701" w:type="dxa"/>
            <w:tcBorders>
              <w:top w:val="single" w:sz="2" w:space="0" w:color="auto"/>
              <w:left w:val="single" w:sz="2" w:space="0" w:color="auto"/>
              <w:bottom w:val="single" w:sz="2" w:space="0" w:color="auto"/>
              <w:right w:val="single" w:sz="2" w:space="0" w:color="auto"/>
            </w:tcBorders>
            <w:vAlign w:val="center"/>
          </w:tcPr>
          <w:p w14:paraId="755070F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形成一款具有龙大印记的可长期售卖的特色产品。</w:t>
            </w:r>
          </w:p>
        </w:tc>
        <w:tc>
          <w:tcPr>
            <w:tcW w:w="2126" w:type="dxa"/>
            <w:tcBorders>
              <w:top w:val="single" w:sz="2" w:space="0" w:color="auto"/>
              <w:left w:val="single" w:sz="2" w:space="0" w:color="auto"/>
              <w:bottom w:val="single" w:sz="2" w:space="0" w:color="auto"/>
              <w:right w:val="single" w:sz="2" w:space="0" w:color="auto"/>
            </w:tcBorders>
            <w:vAlign w:val="center"/>
          </w:tcPr>
          <w:p w14:paraId="2A0BA58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有利于公司生产的正向循环，清洁极简配料的清洁标签健康概念产品适合消费趋势，进而提高公司效益。</w:t>
            </w:r>
          </w:p>
        </w:tc>
      </w:tr>
      <w:tr w:rsidR="00E32FE0" w:rsidRPr="005B5EC1" w14:paraId="12E8EB59" w14:textId="77777777" w:rsidTr="00BB1F9D">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702CB5E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冷冻手撕调味安格斯牛肉研发</w:t>
            </w:r>
          </w:p>
        </w:tc>
        <w:tc>
          <w:tcPr>
            <w:tcW w:w="1617" w:type="dxa"/>
            <w:tcBorders>
              <w:top w:val="single" w:sz="2" w:space="0" w:color="auto"/>
              <w:left w:val="single" w:sz="2" w:space="0" w:color="auto"/>
              <w:bottom w:val="single" w:sz="2" w:space="0" w:color="auto"/>
              <w:right w:val="single" w:sz="2" w:space="0" w:color="auto"/>
            </w:tcBorders>
            <w:vAlign w:val="center"/>
          </w:tcPr>
          <w:p w14:paraId="7E4AEEE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开发西快客户消费场景</w:t>
            </w:r>
          </w:p>
        </w:tc>
        <w:tc>
          <w:tcPr>
            <w:tcW w:w="2268" w:type="dxa"/>
            <w:tcBorders>
              <w:top w:val="single" w:sz="2" w:space="0" w:color="auto"/>
              <w:left w:val="single" w:sz="2" w:space="0" w:color="auto"/>
              <w:bottom w:val="single" w:sz="2" w:space="0" w:color="auto"/>
              <w:right w:val="single" w:sz="2" w:space="0" w:color="auto"/>
            </w:tcBorders>
            <w:vAlign w:val="center"/>
          </w:tcPr>
          <w:p w14:paraId="1BBAFBB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已推出冷冻手撕调味牛肉，目前在披萨意面米饭上有多款应用推广。</w:t>
            </w:r>
          </w:p>
        </w:tc>
        <w:tc>
          <w:tcPr>
            <w:tcW w:w="1701" w:type="dxa"/>
            <w:tcBorders>
              <w:top w:val="single" w:sz="2" w:space="0" w:color="auto"/>
              <w:left w:val="single" w:sz="2" w:space="0" w:color="auto"/>
              <w:bottom w:val="single" w:sz="2" w:space="0" w:color="auto"/>
              <w:right w:val="single" w:sz="2" w:space="0" w:color="auto"/>
            </w:tcBorders>
            <w:vAlign w:val="center"/>
          </w:tcPr>
          <w:p w14:paraId="6F585EF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持续配合客户开发更多应用场景。</w:t>
            </w:r>
          </w:p>
        </w:tc>
        <w:tc>
          <w:tcPr>
            <w:tcW w:w="2126" w:type="dxa"/>
            <w:tcBorders>
              <w:top w:val="single" w:sz="2" w:space="0" w:color="auto"/>
              <w:left w:val="single" w:sz="2" w:space="0" w:color="auto"/>
              <w:bottom w:val="single" w:sz="2" w:space="0" w:color="auto"/>
              <w:right w:val="single" w:sz="2" w:space="0" w:color="auto"/>
            </w:tcBorders>
            <w:vAlign w:val="center"/>
          </w:tcPr>
          <w:p w14:paraId="2C3F493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增加客户对公司的信任感，使龙大美食作为牛肉供应商形象更加充实。</w:t>
            </w:r>
          </w:p>
        </w:tc>
      </w:tr>
    </w:tbl>
    <w:p w14:paraId="0C996E6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公司研发人员情况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32019AC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52E352B" w14:textId="77777777" w:rsidR="00E32FE0" w:rsidRPr="005B5EC1" w:rsidRDefault="00E32FE0">
            <w:pP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BAB03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D067ED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D3D415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变动比例</w:t>
            </w:r>
          </w:p>
        </w:tc>
      </w:tr>
      <w:tr w:rsidR="00E32FE0" w:rsidRPr="005B5EC1" w14:paraId="70DEADA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29B7FD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研发人员数量（人）</w:t>
            </w:r>
          </w:p>
        </w:tc>
        <w:tc>
          <w:tcPr>
            <w:tcW w:w="2410" w:type="dxa"/>
            <w:tcBorders>
              <w:top w:val="single" w:sz="2" w:space="0" w:color="auto"/>
              <w:left w:val="single" w:sz="2" w:space="0" w:color="auto"/>
              <w:bottom w:val="single" w:sz="2" w:space="0" w:color="auto"/>
              <w:right w:val="single" w:sz="2" w:space="0" w:color="auto"/>
            </w:tcBorders>
            <w:vAlign w:val="center"/>
          </w:tcPr>
          <w:p w14:paraId="228504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w:t>
            </w:r>
          </w:p>
        </w:tc>
        <w:tc>
          <w:tcPr>
            <w:tcW w:w="2410" w:type="dxa"/>
            <w:tcBorders>
              <w:top w:val="single" w:sz="2" w:space="0" w:color="auto"/>
              <w:left w:val="single" w:sz="2" w:space="0" w:color="auto"/>
              <w:bottom w:val="single" w:sz="2" w:space="0" w:color="auto"/>
              <w:right w:val="single" w:sz="2" w:space="0" w:color="auto"/>
            </w:tcBorders>
            <w:vAlign w:val="center"/>
          </w:tcPr>
          <w:p w14:paraId="6401B3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w:t>
            </w:r>
          </w:p>
        </w:tc>
        <w:tc>
          <w:tcPr>
            <w:tcW w:w="2410" w:type="dxa"/>
            <w:tcBorders>
              <w:top w:val="single" w:sz="2" w:space="0" w:color="auto"/>
              <w:left w:val="single" w:sz="2" w:space="0" w:color="auto"/>
              <w:bottom w:val="single" w:sz="2" w:space="0" w:color="auto"/>
              <w:right w:val="single" w:sz="2" w:space="0" w:color="auto"/>
            </w:tcBorders>
            <w:vAlign w:val="center"/>
          </w:tcPr>
          <w:p w14:paraId="305967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-10.45%</w:t>
            </w:r>
          </w:p>
        </w:tc>
      </w:tr>
      <w:tr w:rsidR="00E32FE0" w:rsidRPr="005B5EC1" w14:paraId="5744CAD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B9B8B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研发人员数量占比</w:t>
            </w:r>
          </w:p>
        </w:tc>
        <w:tc>
          <w:tcPr>
            <w:tcW w:w="2410" w:type="dxa"/>
            <w:tcBorders>
              <w:top w:val="single" w:sz="2" w:space="0" w:color="auto"/>
              <w:left w:val="single" w:sz="2" w:space="0" w:color="auto"/>
              <w:bottom w:val="single" w:sz="2" w:space="0" w:color="auto"/>
              <w:right w:val="single" w:sz="2" w:space="0" w:color="auto"/>
            </w:tcBorders>
            <w:vAlign w:val="center"/>
          </w:tcPr>
          <w:p w14:paraId="54F009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w:t>
            </w:r>
          </w:p>
        </w:tc>
        <w:tc>
          <w:tcPr>
            <w:tcW w:w="2410" w:type="dxa"/>
            <w:tcBorders>
              <w:top w:val="single" w:sz="2" w:space="0" w:color="auto"/>
              <w:left w:val="single" w:sz="2" w:space="0" w:color="auto"/>
              <w:bottom w:val="single" w:sz="2" w:space="0" w:color="auto"/>
              <w:right w:val="single" w:sz="2" w:space="0" w:color="auto"/>
            </w:tcBorders>
            <w:vAlign w:val="center"/>
          </w:tcPr>
          <w:p w14:paraId="17A8E56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w:t>
            </w:r>
          </w:p>
        </w:tc>
        <w:tc>
          <w:tcPr>
            <w:tcW w:w="2410" w:type="dxa"/>
            <w:tcBorders>
              <w:top w:val="single" w:sz="2" w:space="0" w:color="auto"/>
              <w:left w:val="single" w:sz="2" w:space="0" w:color="auto"/>
              <w:bottom w:val="single" w:sz="2" w:space="0" w:color="auto"/>
              <w:right w:val="single" w:sz="2" w:space="0" w:color="auto"/>
            </w:tcBorders>
            <w:vAlign w:val="center"/>
          </w:tcPr>
          <w:p w14:paraId="4575E7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-0.05%</w:t>
            </w:r>
          </w:p>
        </w:tc>
      </w:tr>
      <w:tr w:rsidR="00E32FE0" w:rsidRPr="005B5EC1" w14:paraId="249B96EE" w14:textId="77777777">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5262D1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研发人员学历结构</w:t>
            </w:r>
          </w:p>
        </w:tc>
      </w:tr>
      <w:tr w:rsidR="00E32FE0" w:rsidRPr="005B5EC1" w14:paraId="0961BCB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FF9F35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本科</w:t>
            </w:r>
          </w:p>
        </w:tc>
        <w:tc>
          <w:tcPr>
            <w:tcW w:w="2410" w:type="dxa"/>
            <w:tcBorders>
              <w:top w:val="single" w:sz="2" w:space="0" w:color="auto"/>
              <w:left w:val="single" w:sz="2" w:space="0" w:color="auto"/>
              <w:bottom w:val="single" w:sz="2" w:space="0" w:color="auto"/>
              <w:right w:val="single" w:sz="2" w:space="0" w:color="auto"/>
            </w:tcBorders>
            <w:vAlign w:val="center"/>
          </w:tcPr>
          <w:p w14:paraId="32F82F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w:t>
            </w:r>
          </w:p>
        </w:tc>
        <w:tc>
          <w:tcPr>
            <w:tcW w:w="2410" w:type="dxa"/>
            <w:tcBorders>
              <w:top w:val="single" w:sz="2" w:space="0" w:color="auto"/>
              <w:left w:val="single" w:sz="2" w:space="0" w:color="auto"/>
              <w:bottom w:val="single" w:sz="2" w:space="0" w:color="auto"/>
              <w:right w:val="single" w:sz="2" w:space="0" w:color="auto"/>
            </w:tcBorders>
            <w:vAlign w:val="center"/>
          </w:tcPr>
          <w:p w14:paraId="76437A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w:t>
            </w:r>
          </w:p>
        </w:tc>
        <w:tc>
          <w:tcPr>
            <w:tcW w:w="2410" w:type="dxa"/>
            <w:tcBorders>
              <w:top w:val="single" w:sz="2" w:space="0" w:color="auto"/>
              <w:left w:val="single" w:sz="2" w:space="0" w:color="auto"/>
              <w:bottom w:val="single" w:sz="2" w:space="0" w:color="auto"/>
              <w:right w:val="single" w:sz="2" w:space="0" w:color="auto"/>
            </w:tcBorders>
            <w:vAlign w:val="center"/>
          </w:tcPr>
          <w:p w14:paraId="15B986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-15.38%</w:t>
            </w:r>
          </w:p>
        </w:tc>
      </w:tr>
      <w:tr w:rsidR="00E32FE0" w:rsidRPr="005B5EC1" w14:paraId="37D24CE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590BD2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硕士</w:t>
            </w:r>
          </w:p>
        </w:tc>
        <w:tc>
          <w:tcPr>
            <w:tcW w:w="2410" w:type="dxa"/>
            <w:tcBorders>
              <w:top w:val="single" w:sz="2" w:space="0" w:color="auto"/>
              <w:left w:val="single" w:sz="2" w:space="0" w:color="auto"/>
              <w:bottom w:val="single" w:sz="2" w:space="0" w:color="auto"/>
              <w:right w:val="single" w:sz="2" w:space="0" w:color="auto"/>
            </w:tcBorders>
            <w:vAlign w:val="center"/>
          </w:tcPr>
          <w:p w14:paraId="1CB535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w:t>
            </w:r>
          </w:p>
        </w:tc>
        <w:tc>
          <w:tcPr>
            <w:tcW w:w="2410" w:type="dxa"/>
            <w:tcBorders>
              <w:top w:val="single" w:sz="2" w:space="0" w:color="auto"/>
              <w:left w:val="single" w:sz="2" w:space="0" w:color="auto"/>
              <w:bottom w:val="single" w:sz="2" w:space="0" w:color="auto"/>
              <w:right w:val="single" w:sz="2" w:space="0" w:color="auto"/>
            </w:tcBorders>
            <w:vAlign w:val="center"/>
          </w:tcPr>
          <w:p w14:paraId="6ECE2E5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w:t>
            </w:r>
          </w:p>
        </w:tc>
        <w:tc>
          <w:tcPr>
            <w:tcW w:w="2410" w:type="dxa"/>
            <w:tcBorders>
              <w:top w:val="single" w:sz="2" w:space="0" w:color="auto"/>
              <w:left w:val="single" w:sz="2" w:space="0" w:color="auto"/>
              <w:bottom w:val="single" w:sz="2" w:space="0" w:color="auto"/>
              <w:right w:val="single" w:sz="2" w:space="0" w:color="auto"/>
            </w:tcBorders>
            <w:vAlign w:val="center"/>
          </w:tcPr>
          <w:p w14:paraId="76D3D65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-18.18%</w:t>
            </w:r>
          </w:p>
        </w:tc>
      </w:tr>
      <w:tr w:rsidR="00E32FE0" w:rsidRPr="005B5EC1" w14:paraId="7334C495" w14:textId="77777777">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9DDF60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研发人员年龄构成</w:t>
            </w:r>
          </w:p>
        </w:tc>
      </w:tr>
      <w:tr w:rsidR="00E32FE0" w:rsidRPr="005B5EC1" w14:paraId="2A58B8EE"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A6677F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岁以下</w:t>
            </w:r>
          </w:p>
        </w:tc>
        <w:tc>
          <w:tcPr>
            <w:tcW w:w="2410" w:type="dxa"/>
            <w:tcBorders>
              <w:top w:val="single" w:sz="2" w:space="0" w:color="auto"/>
              <w:left w:val="single" w:sz="2" w:space="0" w:color="auto"/>
              <w:bottom w:val="single" w:sz="2" w:space="0" w:color="auto"/>
              <w:right w:val="single" w:sz="2" w:space="0" w:color="auto"/>
            </w:tcBorders>
            <w:vAlign w:val="center"/>
          </w:tcPr>
          <w:p w14:paraId="581652D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w:t>
            </w:r>
          </w:p>
        </w:tc>
        <w:tc>
          <w:tcPr>
            <w:tcW w:w="2410" w:type="dxa"/>
            <w:tcBorders>
              <w:top w:val="single" w:sz="2" w:space="0" w:color="auto"/>
              <w:left w:val="single" w:sz="2" w:space="0" w:color="auto"/>
              <w:bottom w:val="single" w:sz="2" w:space="0" w:color="auto"/>
              <w:right w:val="single" w:sz="2" w:space="0" w:color="auto"/>
            </w:tcBorders>
            <w:vAlign w:val="center"/>
          </w:tcPr>
          <w:p w14:paraId="6B740C5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w:t>
            </w:r>
          </w:p>
        </w:tc>
        <w:tc>
          <w:tcPr>
            <w:tcW w:w="2410" w:type="dxa"/>
            <w:tcBorders>
              <w:top w:val="single" w:sz="2" w:space="0" w:color="auto"/>
              <w:left w:val="single" w:sz="2" w:space="0" w:color="auto"/>
              <w:bottom w:val="single" w:sz="2" w:space="0" w:color="auto"/>
              <w:right w:val="single" w:sz="2" w:space="0" w:color="auto"/>
            </w:tcBorders>
            <w:vAlign w:val="center"/>
          </w:tcPr>
          <w:p w14:paraId="5E096A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-15.79%</w:t>
            </w:r>
          </w:p>
        </w:tc>
      </w:tr>
      <w:tr w:rsidR="00E32FE0" w:rsidRPr="005B5EC1" w14:paraId="431F675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8BB555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30~40</w:t>
            </w:r>
            <w:r w:rsidRPr="005B5EC1">
              <w:rPr>
                <w:rFonts w:ascii="Times New Roman" w:eastAsia="宋体" w:hAnsi="Times New Roman" w:cs="Times New Roman"/>
                <w:sz w:val="18"/>
                <w:szCs w:val="18"/>
              </w:rPr>
              <w:t>岁</w:t>
            </w:r>
          </w:p>
        </w:tc>
        <w:tc>
          <w:tcPr>
            <w:tcW w:w="2410" w:type="dxa"/>
            <w:tcBorders>
              <w:top w:val="single" w:sz="2" w:space="0" w:color="auto"/>
              <w:left w:val="single" w:sz="2" w:space="0" w:color="auto"/>
              <w:bottom w:val="single" w:sz="2" w:space="0" w:color="auto"/>
              <w:right w:val="single" w:sz="2" w:space="0" w:color="auto"/>
            </w:tcBorders>
            <w:vAlign w:val="center"/>
          </w:tcPr>
          <w:p w14:paraId="35C573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w:t>
            </w:r>
          </w:p>
        </w:tc>
        <w:tc>
          <w:tcPr>
            <w:tcW w:w="2410" w:type="dxa"/>
            <w:tcBorders>
              <w:top w:val="single" w:sz="2" w:space="0" w:color="auto"/>
              <w:left w:val="single" w:sz="2" w:space="0" w:color="auto"/>
              <w:bottom w:val="single" w:sz="2" w:space="0" w:color="auto"/>
              <w:right w:val="single" w:sz="2" w:space="0" w:color="auto"/>
            </w:tcBorders>
            <w:vAlign w:val="center"/>
          </w:tcPr>
          <w:p w14:paraId="72F366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w:t>
            </w:r>
          </w:p>
        </w:tc>
        <w:tc>
          <w:tcPr>
            <w:tcW w:w="2410" w:type="dxa"/>
            <w:tcBorders>
              <w:top w:val="single" w:sz="2" w:space="0" w:color="auto"/>
              <w:left w:val="single" w:sz="2" w:space="0" w:color="auto"/>
              <w:bottom w:val="single" w:sz="2" w:space="0" w:color="auto"/>
              <w:right w:val="single" w:sz="2" w:space="0" w:color="auto"/>
            </w:tcBorders>
            <w:vAlign w:val="center"/>
          </w:tcPr>
          <w:p w14:paraId="7EB00E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-11.76%</w:t>
            </w:r>
          </w:p>
        </w:tc>
      </w:tr>
    </w:tbl>
    <w:p w14:paraId="26CB85F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公司研发投入情况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48A4EAE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8DE1729" w14:textId="77777777" w:rsidR="00E32FE0" w:rsidRPr="005B5EC1" w:rsidRDefault="00E32FE0">
            <w:pP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B2B6A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BB3753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EA4F05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变动比例</w:t>
            </w:r>
          </w:p>
        </w:tc>
      </w:tr>
      <w:tr w:rsidR="00E32FE0" w:rsidRPr="005B5EC1" w14:paraId="6BA8AB9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D4B43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研发投入金额（元）</w:t>
            </w:r>
          </w:p>
        </w:tc>
        <w:tc>
          <w:tcPr>
            <w:tcW w:w="2410" w:type="dxa"/>
            <w:tcBorders>
              <w:top w:val="single" w:sz="2" w:space="0" w:color="auto"/>
              <w:left w:val="single" w:sz="2" w:space="0" w:color="auto"/>
              <w:bottom w:val="single" w:sz="2" w:space="0" w:color="auto"/>
              <w:right w:val="single" w:sz="2" w:space="0" w:color="auto"/>
            </w:tcBorders>
            <w:vAlign w:val="center"/>
          </w:tcPr>
          <w:p w14:paraId="7011F4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7,881,545.47</w:t>
            </w:r>
          </w:p>
        </w:tc>
        <w:tc>
          <w:tcPr>
            <w:tcW w:w="2410" w:type="dxa"/>
            <w:tcBorders>
              <w:top w:val="single" w:sz="2" w:space="0" w:color="auto"/>
              <w:left w:val="single" w:sz="2" w:space="0" w:color="auto"/>
              <w:bottom w:val="single" w:sz="2" w:space="0" w:color="auto"/>
              <w:right w:val="single" w:sz="2" w:space="0" w:color="auto"/>
            </w:tcBorders>
            <w:vAlign w:val="center"/>
          </w:tcPr>
          <w:p w14:paraId="7BD503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9,617,710.52</w:t>
            </w:r>
          </w:p>
        </w:tc>
        <w:tc>
          <w:tcPr>
            <w:tcW w:w="2410" w:type="dxa"/>
            <w:tcBorders>
              <w:top w:val="single" w:sz="2" w:space="0" w:color="auto"/>
              <w:left w:val="single" w:sz="2" w:space="0" w:color="auto"/>
              <w:bottom w:val="single" w:sz="2" w:space="0" w:color="auto"/>
              <w:right w:val="single" w:sz="2" w:space="0" w:color="auto"/>
            </w:tcBorders>
            <w:vAlign w:val="center"/>
          </w:tcPr>
          <w:p w14:paraId="35E34A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-18.05%</w:t>
            </w:r>
          </w:p>
        </w:tc>
      </w:tr>
      <w:tr w:rsidR="00E32FE0" w:rsidRPr="005B5EC1" w14:paraId="33E4F88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0CCEAC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研发投入占营业收入比例</w:t>
            </w:r>
          </w:p>
        </w:tc>
        <w:tc>
          <w:tcPr>
            <w:tcW w:w="2410" w:type="dxa"/>
            <w:tcBorders>
              <w:top w:val="single" w:sz="2" w:space="0" w:color="auto"/>
              <w:left w:val="single" w:sz="2" w:space="0" w:color="auto"/>
              <w:bottom w:val="single" w:sz="2" w:space="0" w:color="auto"/>
              <w:right w:val="single" w:sz="2" w:space="0" w:color="auto"/>
            </w:tcBorders>
            <w:vAlign w:val="center"/>
          </w:tcPr>
          <w:p w14:paraId="10586D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0.07%</w:t>
            </w:r>
          </w:p>
        </w:tc>
        <w:tc>
          <w:tcPr>
            <w:tcW w:w="2410" w:type="dxa"/>
            <w:tcBorders>
              <w:top w:val="single" w:sz="2" w:space="0" w:color="auto"/>
              <w:left w:val="single" w:sz="2" w:space="0" w:color="auto"/>
              <w:bottom w:val="single" w:sz="2" w:space="0" w:color="auto"/>
              <w:right w:val="single" w:sz="2" w:space="0" w:color="auto"/>
            </w:tcBorders>
            <w:vAlign w:val="center"/>
          </w:tcPr>
          <w:p w14:paraId="2B7355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0.07%</w:t>
            </w:r>
          </w:p>
        </w:tc>
        <w:tc>
          <w:tcPr>
            <w:tcW w:w="2410" w:type="dxa"/>
            <w:tcBorders>
              <w:top w:val="single" w:sz="2" w:space="0" w:color="auto"/>
              <w:left w:val="single" w:sz="2" w:space="0" w:color="auto"/>
              <w:bottom w:val="single" w:sz="2" w:space="0" w:color="auto"/>
              <w:right w:val="single" w:sz="2" w:space="0" w:color="auto"/>
            </w:tcBorders>
            <w:vAlign w:val="center"/>
          </w:tcPr>
          <w:p w14:paraId="02A2A01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A3EF33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21F799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研发投入资本化的金额（元）</w:t>
            </w:r>
          </w:p>
        </w:tc>
        <w:tc>
          <w:tcPr>
            <w:tcW w:w="2410" w:type="dxa"/>
            <w:tcBorders>
              <w:top w:val="single" w:sz="2" w:space="0" w:color="auto"/>
              <w:left w:val="single" w:sz="2" w:space="0" w:color="auto"/>
              <w:bottom w:val="single" w:sz="2" w:space="0" w:color="auto"/>
              <w:right w:val="single" w:sz="2" w:space="0" w:color="auto"/>
            </w:tcBorders>
            <w:vAlign w:val="center"/>
          </w:tcPr>
          <w:p w14:paraId="3C893E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7829AC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71D457F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EC9BE4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C04B0F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资本化研发投入占研发投入的比例</w:t>
            </w:r>
          </w:p>
        </w:tc>
        <w:tc>
          <w:tcPr>
            <w:tcW w:w="2410" w:type="dxa"/>
            <w:tcBorders>
              <w:top w:val="single" w:sz="2" w:space="0" w:color="auto"/>
              <w:left w:val="single" w:sz="2" w:space="0" w:color="auto"/>
              <w:bottom w:val="single" w:sz="2" w:space="0" w:color="auto"/>
              <w:right w:val="single" w:sz="2" w:space="0" w:color="auto"/>
            </w:tcBorders>
            <w:vAlign w:val="center"/>
          </w:tcPr>
          <w:p w14:paraId="3B069C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079E47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5E21B92C"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2C9575D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公司研发人员构成发生重大变化的原因及影响</w:t>
      </w:r>
    </w:p>
    <w:p w14:paraId="7CD6C75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6A9653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研发投入总额占营业收入的比重较上年发生显著变化的原因</w:t>
      </w:r>
    </w:p>
    <w:p w14:paraId="3B9BB88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00307E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研发投入资本化率大幅变动的原因及其合理性说明</w:t>
      </w:r>
    </w:p>
    <w:p w14:paraId="6F541D1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8ECB6DA" w14:textId="77777777" w:rsidR="00E32FE0" w:rsidRPr="005B5EC1" w:rsidRDefault="00000000">
      <w:pPr>
        <w:pStyle w:val="3"/>
        <w:spacing w:line="280" w:lineRule="exact"/>
        <w:jc w:val="left"/>
        <w:rPr>
          <w:rFonts w:ascii="Times New Roman" w:hAnsi="Times New Roman" w:cs="Times New Roman"/>
          <w:b/>
          <w:bCs/>
        </w:rPr>
      </w:pPr>
      <w:bookmarkStart w:id="30" w:name="_Toc988919"/>
      <w:r w:rsidRPr="005B5EC1">
        <w:rPr>
          <w:rFonts w:ascii="Times New Roman" w:hAnsi="Times New Roman" w:cs="Times New Roman"/>
          <w:b/>
          <w:bCs/>
        </w:rPr>
        <w:t>5</w:t>
      </w:r>
      <w:r w:rsidRPr="005B5EC1">
        <w:rPr>
          <w:rFonts w:ascii="Times New Roman" w:hAnsi="Times New Roman" w:cs="Times New Roman"/>
          <w:b/>
          <w:bCs/>
        </w:rPr>
        <w:t>、现金流</w:t>
      </w:r>
      <w:bookmarkEnd w:id="30"/>
    </w:p>
    <w:p w14:paraId="7C2F855C"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72B7A1C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61C152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E64676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CDF223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730B5B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同比增减</w:t>
            </w:r>
          </w:p>
        </w:tc>
      </w:tr>
      <w:tr w:rsidR="00E32FE0" w:rsidRPr="005B5EC1" w14:paraId="50DF21E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9C6B5B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14:paraId="27355C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11,889,031,465.33</w:t>
            </w:r>
          </w:p>
        </w:tc>
        <w:tc>
          <w:tcPr>
            <w:tcW w:w="2410" w:type="dxa"/>
            <w:tcBorders>
              <w:top w:val="single" w:sz="2" w:space="0" w:color="auto"/>
              <w:left w:val="single" w:sz="2" w:space="0" w:color="auto"/>
              <w:bottom w:val="single" w:sz="2" w:space="0" w:color="auto"/>
              <w:right w:val="single" w:sz="2" w:space="0" w:color="auto"/>
            </w:tcBorders>
            <w:vAlign w:val="center"/>
          </w:tcPr>
          <w:p w14:paraId="4529CD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14,556,320,307.38</w:t>
            </w:r>
          </w:p>
        </w:tc>
        <w:tc>
          <w:tcPr>
            <w:tcW w:w="2410" w:type="dxa"/>
            <w:tcBorders>
              <w:top w:val="single" w:sz="2" w:space="0" w:color="auto"/>
              <w:left w:val="single" w:sz="2" w:space="0" w:color="auto"/>
              <w:bottom w:val="single" w:sz="2" w:space="0" w:color="auto"/>
              <w:right w:val="single" w:sz="2" w:space="0" w:color="auto"/>
            </w:tcBorders>
            <w:vAlign w:val="center"/>
          </w:tcPr>
          <w:p w14:paraId="6FB6BF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-18.32%</w:t>
            </w:r>
          </w:p>
        </w:tc>
      </w:tr>
      <w:tr w:rsidR="00E32FE0" w:rsidRPr="005B5EC1" w14:paraId="2B55EBF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B24255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14:paraId="54B911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11,495,730,888.27</w:t>
            </w:r>
          </w:p>
        </w:tc>
        <w:tc>
          <w:tcPr>
            <w:tcW w:w="2410" w:type="dxa"/>
            <w:tcBorders>
              <w:top w:val="single" w:sz="2" w:space="0" w:color="auto"/>
              <w:left w:val="single" w:sz="2" w:space="0" w:color="auto"/>
              <w:bottom w:val="single" w:sz="2" w:space="0" w:color="auto"/>
              <w:right w:val="single" w:sz="2" w:space="0" w:color="auto"/>
            </w:tcBorders>
            <w:vAlign w:val="center"/>
          </w:tcPr>
          <w:p w14:paraId="5AD6FF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15,145,038,786.07</w:t>
            </w:r>
          </w:p>
        </w:tc>
        <w:tc>
          <w:tcPr>
            <w:tcW w:w="2410" w:type="dxa"/>
            <w:tcBorders>
              <w:top w:val="single" w:sz="2" w:space="0" w:color="auto"/>
              <w:left w:val="single" w:sz="2" w:space="0" w:color="auto"/>
              <w:bottom w:val="single" w:sz="2" w:space="0" w:color="auto"/>
              <w:right w:val="single" w:sz="2" w:space="0" w:color="auto"/>
            </w:tcBorders>
            <w:vAlign w:val="center"/>
          </w:tcPr>
          <w:p w14:paraId="0504FC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-24.10%</w:t>
            </w:r>
          </w:p>
        </w:tc>
      </w:tr>
      <w:tr w:rsidR="00E32FE0" w:rsidRPr="005B5EC1" w14:paraId="61F9DF8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A497BC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14:paraId="101E6B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393,300,577.06</w:t>
            </w:r>
          </w:p>
        </w:tc>
        <w:tc>
          <w:tcPr>
            <w:tcW w:w="2410" w:type="dxa"/>
            <w:tcBorders>
              <w:top w:val="single" w:sz="2" w:space="0" w:color="auto"/>
              <w:left w:val="single" w:sz="2" w:space="0" w:color="auto"/>
              <w:bottom w:val="single" w:sz="2" w:space="0" w:color="auto"/>
              <w:right w:val="single" w:sz="2" w:space="0" w:color="auto"/>
            </w:tcBorders>
            <w:vAlign w:val="center"/>
          </w:tcPr>
          <w:p w14:paraId="7A0D9CD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-588,718,478.69</w:t>
            </w:r>
          </w:p>
        </w:tc>
        <w:tc>
          <w:tcPr>
            <w:tcW w:w="2410" w:type="dxa"/>
            <w:tcBorders>
              <w:top w:val="single" w:sz="2" w:space="0" w:color="auto"/>
              <w:left w:val="single" w:sz="2" w:space="0" w:color="auto"/>
              <w:bottom w:val="single" w:sz="2" w:space="0" w:color="auto"/>
              <w:right w:val="single" w:sz="2" w:space="0" w:color="auto"/>
            </w:tcBorders>
            <w:vAlign w:val="center"/>
          </w:tcPr>
          <w:p w14:paraId="774660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166.81%</w:t>
            </w:r>
          </w:p>
        </w:tc>
      </w:tr>
      <w:tr w:rsidR="00E32FE0" w:rsidRPr="005B5EC1" w14:paraId="08FB8F0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A01A9D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14:paraId="3CDD8E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18,400,714.05</w:t>
            </w:r>
          </w:p>
        </w:tc>
        <w:tc>
          <w:tcPr>
            <w:tcW w:w="2410" w:type="dxa"/>
            <w:tcBorders>
              <w:top w:val="single" w:sz="2" w:space="0" w:color="auto"/>
              <w:left w:val="single" w:sz="2" w:space="0" w:color="auto"/>
              <w:bottom w:val="single" w:sz="2" w:space="0" w:color="auto"/>
              <w:right w:val="single" w:sz="2" w:space="0" w:color="auto"/>
            </w:tcBorders>
            <w:vAlign w:val="center"/>
          </w:tcPr>
          <w:p w14:paraId="1ABDEA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1,342,872,222.49</w:t>
            </w:r>
          </w:p>
        </w:tc>
        <w:tc>
          <w:tcPr>
            <w:tcW w:w="2410" w:type="dxa"/>
            <w:tcBorders>
              <w:top w:val="single" w:sz="2" w:space="0" w:color="auto"/>
              <w:left w:val="single" w:sz="2" w:space="0" w:color="auto"/>
              <w:bottom w:val="single" w:sz="2" w:space="0" w:color="auto"/>
              <w:right w:val="single" w:sz="2" w:space="0" w:color="auto"/>
            </w:tcBorders>
            <w:vAlign w:val="center"/>
          </w:tcPr>
          <w:p w14:paraId="02D38E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-98.63%</w:t>
            </w:r>
          </w:p>
        </w:tc>
      </w:tr>
      <w:tr w:rsidR="00E32FE0" w:rsidRPr="005B5EC1" w14:paraId="105358A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5AA26F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14:paraId="5BA6413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208,766,045.96</w:t>
            </w:r>
          </w:p>
        </w:tc>
        <w:tc>
          <w:tcPr>
            <w:tcW w:w="2410" w:type="dxa"/>
            <w:tcBorders>
              <w:top w:val="single" w:sz="2" w:space="0" w:color="auto"/>
              <w:left w:val="single" w:sz="2" w:space="0" w:color="auto"/>
              <w:bottom w:val="single" w:sz="2" w:space="0" w:color="auto"/>
              <w:right w:val="single" w:sz="2" w:space="0" w:color="auto"/>
            </w:tcBorders>
            <w:vAlign w:val="center"/>
          </w:tcPr>
          <w:p w14:paraId="141FD3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1,047,906,230.18</w:t>
            </w:r>
          </w:p>
        </w:tc>
        <w:tc>
          <w:tcPr>
            <w:tcW w:w="2410" w:type="dxa"/>
            <w:tcBorders>
              <w:top w:val="single" w:sz="2" w:space="0" w:color="auto"/>
              <w:left w:val="single" w:sz="2" w:space="0" w:color="auto"/>
              <w:bottom w:val="single" w:sz="2" w:space="0" w:color="auto"/>
              <w:right w:val="single" w:sz="2" w:space="0" w:color="auto"/>
            </w:tcBorders>
            <w:vAlign w:val="center"/>
          </w:tcPr>
          <w:p w14:paraId="23FF32F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-80.08%</w:t>
            </w:r>
          </w:p>
        </w:tc>
      </w:tr>
      <w:tr w:rsidR="00E32FE0" w:rsidRPr="005B5EC1" w14:paraId="2B3BF7F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87C71C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14:paraId="0925D6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-190,365,331.91</w:t>
            </w:r>
          </w:p>
        </w:tc>
        <w:tc>
          <w:tcPr>
            <w:tcW w:w="2410" w:type="dxa"/>
            <w:tcBorders>
              <w:top w:val="single" w:sz="2" w:space="0" w:color="auto"/>
              <w:left w:val="single" w:sz="2" w:space="0" w:color="auto"/>
              <w:bottom w:val="single" w:sz="2" w:space="0" w:color="auto"/>
              <w:right w:val="single" w:sz="2" w:space="0" w:color="auto"/>
            </w:tcBorders>
            <w:vAlign w:val="center"/>
          </w:tcPr>
          <w:p w14:paraId="0B976C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294,965,992.31</w:t>
            </w:r>
          </w:p>
        </w:tc>
        <w:tc>
          <w:tcPr>
            <w:tcW w:w="2410" w:type="dxa"/>
            <w:tcBorders>
              <w:top w:val="single" w:sz="2" w:space="0" w:color="auto"/>
              <w:left w:val="single" w:sz="2" w:space="0" w:color="auto"/>
              <w:bottom w:val="single" w:sz="2" w:space="0" w:color="auto"/>
              <w:right w:val="single" w:sz="2" w:space="0" w:color="auto"/>
            </w:tcBorders>
            <w:vAlign w:val="center"/>
          </w:tcPr>
          <w:p w14:paraId="4B37802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-164.54%</w:t>
            </w:r>
          </w:p>
        </w:tc>
      </w:tr>
      <w:tr w:rsidR="00E32FE0" w:rsidRPr="005B5EC1" w14:paraId="6A972C5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6A38CA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14:paraId="3B56B9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2,632,143,070.06</w:t>
            </w:r>
          </w:p>
        </w:tc>
        <w:tc>
          <w:tcPr>
            <w:tcW w:w="2410" w:type="dxa"/>
            <w:tcBorders>
              <w:top w:val="single" w:sz="2" w:space="0" w:color="auto"/>
              <w:left w:val="single" w:sz="2" w:space="0" w:color="auto"/>
              <w:bottom w:val="single" w:sz="2" w:space="0" w:color="auto"/>
              <w:right w:val="single" w:sz="2" w:space="0" w:color="auto"/>
            </w:tcBorders>
            <w:vAlign w:val="center"/>
          </w:tcPr>
          <w:p w14:paraId="090AF88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3,410,880,849.61</w:t>
            </w:r>
          </w:p>
        </w:tc>
        <w:tc>
          <w:tcPr>
            <w:tcW w:w="2410" w:type="dxa"/>
            <w:tcBorders>
              <w:top w:val="single" w:sz="2" w:space="0" w:color="auto"/>
              <w:left w:val="single" w:sz="2" w:space="0" w:color="auto"/>
              <w:bottom w:val="single" w:sz="2" w:space="0" w:color="auto"/>
              <w:right w:val="single" w:sz="2" w:space="0" w:color="auto"/>
            </w:tcBorders>
            <w:vAlign w:val="center"/>
          </w:tcPr>
          <w:p w14:paraId="04EBF1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-22.83%</w:t>
            </w:r>
          </w:p>
        </w:tc>
      </w:tr>
      <w:tr w:rsidR="00E32FE0" w:rsidRPr="005B5EC1" w14:paraId="2E893FE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48DD2B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14:paraId="0FDA66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3,120,329,708.27</w:t>
            </w:r>
          </w:p>
        </w:tc>
        <w:tc>
          <w:tcPr>
            <w:tcW w:w="2410" w:type="dxa"/>
            <w:tcBorders>
              <w:top w:val="single" w:sz="2" w:space="0" w:color="auto"/>
              <w:left w:val="single" w:sz="2" w:space="0" w:color="auto"/>
              <w:bottom w:val="single" w:sz="2" w:space="0" w:color="auto"/>
              <w:right w:val="single" w:sz="2" w:space="0" w:color="auto"/>
            </w:tcBorders>
            <w:vAlign w:val="center"/>
          </w:tcPr>
          <w:p w14:paraId="488E3A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2,962,996,214.23</w:t>
            </w:r>
          </w:p>
        </w:tc>
        <w:tc>
          <w:tcPr>
            <w:tcW w:w="2410" w:type="dxa"/>
            <w:tcBorders>
              <w:top w:val="single" w:sz="2" w:space="0" w:color="auto"/>
              <w:left w:val="single" w:sz="2" w:space="0" w:color="auto"/>
              <w:bottom w:val="single" w:sz="2" w:space="0" w:color="auto"/>
              <w:right w:val="single" w:sz="2" w:space="0" w:color="auto"/>
            </w:tcBorders>
            <w:vAlign w:val="center"/>
          </w:tcPr>
          <w:p w14:paraId="1361EB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5.31%</w:t>
            </w:r>
          </w:p>
        </w:tc>
      </w:tr>
      <w:tr w:rsidR="00E32FE0" w:rsidRPr="005B5EC1" w14:paraId="2DCF9B2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26526C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14:paraId="5D8CAFE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-488,186,638.21</w:t>
            </w:r>
          </w:p>
        </w:tc>
        <w:tc>
          <w:tcPr>
            <w:tcW w:w="2410" w:type="dxa"/>
            <w:tcBorders>
              <w:top w:val="single" w:sz="2" w:space="0" w:color="auto"/>
              <w:left w:val="single" w:sz="2" w:space="0" w:color="auto"/>
              <w:bottom w:val="single" w:sz="2" w:space="0" w:color="auto"/>
              <w:right w:val="single" w:sz="2" w:space="0" w:color="auto"/>
            </w:tcBorders>
            <w:vAlign w:val="center"/>
          </w:tcPr>
          <w:p w14:paraId="7944F9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447,884,635.38</w:t>
            </w:r>
          </w:p>
        </w:tc>
        <w:tc>
          <w:tcPr>
            <w:tcW w:w="2410" w:type="dxa"/>
            <w:tcBorders>
              <w:top w:val="single" w:sz="2" w:space="0" w:color="auto"/>
              <w:left w:val="single" w:sz="2" w:space="0" w:color="auto"/>
              <w:bottom w:val="single" w:sz="2" w:space="0" w:color="auto"/>
              <w:right w:val="single" w:sz="2" w:space="0" w:color="auto"/>
            </w:tcBorders>
            <w:vAlign w:val="center"/>
          </w:tcPr>
          <w:p w14:paraId="661424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-209.00%</w:t>
            </w:r>
          </w:p>
        </w:tc>
      </w:tr>
      <w:tr w:rsidR="00E32FE0" w:rsidRPr="005B5EC1" w14:paraId="6C45094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07FD14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现金及现金等价物净增加额</w:t>
            </w:r>
          </w:p>
        </w:tc>
        <w:tc>
          <w:tcPr>
            <w:tcW w:w="2410" w:type="dxa"/>
            <w:tcBorders>
              <w:top w:val="single" w:sz="2" w:space="0" w:color="auto"/>
              <w:left w:val="single" w:sz="2" w:space="0" w:color="auto"/>
              <w:bottom w:val="single" w:sz="2" w:space="0" w:color="auto"/>
              <w:right w:val="single" w:sz="2" w:space="0" w:color="auto"/>
            </w:tcBorders>
            <w:vAlign w:val="center"/>
          </w:tcPr>
          <w:p w14:paraId="128C6D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-285,249,560.42</w:t>
            </w:r>
          </w:p>
        </w:tc>
        <w:tc>
          <w:tcPr>
            <w:tcW w:w="2410" w:type="dxa"/>
            <w:tcBorders>
              <w:top w:val="single" w:sz="2" w:space="0" w:color="auto"/>
              <w:left w:val="single" w:sz="2" w:space="0" w:color="auto"/>
              <w:bottom w:val="single" w:sz="2" w:space="0" w:color="auto"/>
              <w:right w:val="single" w:sz="2" w:space="0" w:color="auto"/>
            </w:tcBorders>
            <w:vAlign w:val="center"/>
          </w:tcPr>
          <w:p w14:paraId="305C55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154,196,220.20</w:t>
            </w:r>
          </w:p>
        </w:tc>
        <w:tc>
          <w:tcPr>
            <w:tcW w:w="2410" w:type="dxa"/>
            <w:tcBorders>
              <w:top w:val="single" w:sz="2" w:space="0" w:color="auto"/>
              <w:left w:val="single" w:sz="2" w:space="0" w:color="auto"/>
              <w:bottom w:val="single" w:sz="2" w:space="0" w:color="auto"/>
              <w:right w:val="single" w:sz="2" w:space="0" w:color="auto"/>
            </w:tcBorders>
            <w:vAlign w:val="center"/>
          </w:tcPr>
          <w:p w14:paraId="61393F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-284.99%</w:t>
            </w:r>
          </w:p>
        </w:tc>
      </w:tr>
    </w:tbl>
    <w:p w14:paraId="2F81E07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相关数据同比发生重大变动的主要影响因素说明</w:t>
      </w:r>
    </w:p>
    <w:p w14:paraId="248C9F2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41C1786D" w14:textId="37A2986F" w:rsidR="00AF139E" w:rsidRPr="005B5EC1" w:rsidRDefault="00000000" w:rsidP="00BB1F9D">
      <w:pPr>
        <w:pStyle w:val="a3"/>
        <w:spacing w:before="0" w:beforeAutospacing="0" w:after="0" w:afterAutospacing="0" w:line="276" w:lineRule="auto"/>
        <w:ind w:firstLineChars="200" w:firstLine="360"/>
        <w:divId w:val="1694652558"/>
        <w:rPr>
          <w:rFonts w:ascii="Times New Roman" w:hAnsi="Times New Roman" w:cs="Times New Roman"/>
          <w:sz w:val="18"/>
          <w:szCs w:val="18"/>
        </w:rPr>
      </w:pPr>
      <w:r w:rsidRPr="005B5EC1">
        <w:rPr>
          <w:rFonts w:ascii="Times New Roman" w:hAnsi="Times New Roman" w:cs="Times New Roman"/>
          <w:sz w:val="18"/>
          <w:szCs w:val="18"/>
        </w:rPr>
        <w:t>经营活动产生的现金流量净额增加</w:t>
      </w:r>
      <w:r w:rsidRPr="005B5EC1">
        <w:rPr>
          <w:rFonts w:ascii="Times New Roman" w:hAnsi="Times New Roman" w:cs="Times New Roman"/>
          <w:sz w:val="18"/>
          <w:szCs w:val="18"/>
        </w:rPr>
        <w:t>982,019,055.75</w:t>
      </w:r>
      <w:r w:rsidRPr="005B5EC1">
        <w:rPr>
          <w:rFonts w:ascii="Times New Roman" w:hAnsi="Times New Roman" w:cs="Times New Roman"/>
          <w:sz w:val="18"/>
          <w:szCs w:val="18"/>
        </w:rPr>
        <w:t>元，增加率</w:t>
      </w:r>
      <w:r w:rsidRPr="005B5EC1">
        <w:rPr>
          <w:rFonts w:ascii="Times New Roman" w:hAnsi="Times New Roman" w:cs="Times New Roman"/>
          <w:sz w:val="18"/>
          <w:szCs w:val="18"/>
        </w:rPr>
        <w:t>166.81%</w:t>
      </w:r>
      <w:r w:rsidRPr="005B5EC1">
        <w:rPr>
          <w:rFonts w:ascii="Times New Roman" w:hAnsi="Times New Roman" w:cs="Times New Roman"/>
          <w:sz w:val="18"/>
          <w:szCs w:val="18"/>
        </w:rPr>
        <w:t>，主要原因系本期毛利率较上期有所增加所致。</w:t>
      </w:r>
      <w:r w:rsidRPr="005B5EC1">
        <w:rPr>
          <w:rFonts w:ascii="Times New Roman" w:hAnsi="Times New Roman" w:cs="Times New Roman"/>
          <w:sz w:val="18"/>
          <w:szCs w:val="18"/>
        </w:rPr>
        <w:br/>
      </w:r>
      <w:r w:rsidRPr="005B5EC1">
        <w:rPr>
          <w:rFonts w:ascii="Times New Roman" w:hAnsi="Times New Roman" w:cs="Times New Roman"/>
          <w:sz w:val="18"/>
          <w:szCs w:val="18"/>
        </w:rPr>
        <w:t>投资活动产生的现金流量净额减少</w:t>
      </w:r>
      <w:r w:rsidRPr="005B5EC1">
        <w:rPr>
          <w:rFonts w:ascii="Times New Roman" w:hAnsi="Times New Roman" w:cs="Times New Roman"/>
          <w:sz w:val="18"/>
          <w:szCs w:val="18"/>
        </w:rPr>
        <w:t>485,331,324.22</w:t>
      </w:r>
      <w:r w:rsidRPr="005B5EC1">
        <w:rPr>
          <w:rFonts w:ascii="Times New Roman" w:hAnsi="Times New Roman" w:cs="Times New Roman"/>
          <w:sz w:val="18"/>
          <w:szCs w:val="18"/>
        </w:rPr>
        <w:t>元，减少率</w:t>
      </w:r>
      <w:r w:rsidRPr="005B5EC1">
        <w:rPr>
          <w:rFonts w:ascii="Times New Roman" w:hAnsi="Times New Roman" w:cs="Times New Roman"/>
          <w:sz w:val="18"/>
          <w:szCs w:val="18"/>
        </w:rPr>
        <w:t>164.54%</w:t>
      </w:r>
      <w:r w:rsidRPr="005B5EC1">
        <w:rPr>
          <w:rFonts w:ascii="Times New Roman" w:hAnsi="Times New Roman" w:cs="Times New Roman"/>
          <w:sz w:val="18"/>
          <w:szCs w:val="18"/>
        </w:rPr>
        <w:t>，主要原因系本期</w:t>
      </w:r>
      <w:r w:rsidR="00901425" w:rsidRPr="00901425">
        <w:rPr>
          <w:rFonts w:ascii="Times New Roman" w:hAnsi="Times New Roman" w:cs="Times New Roman" w:hint="eastAsia"/>
          <w:sz w:val="18"/>
          <w:szCs w:val="18"/>
        </w:rPr>
        <w:t>收回投资收到的现金减少</w:t>
      </w:r>
      <w:r w:rsidRPr="005B5EC1">
        <w:rPr>
          <w:rFonts w:ascii="Times New Roman" w:hAnsi="Times New Roman" w:cs="Times New Roman"/>
          <w:sz w:val="18"/>
          <w:szCs w:val="18"/>
        </w:rPr>
        <w:t>所致。</w:t>
      </w:r>
    </w:p>
    <w:p w14:paraId="3635B35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报告期内公司经营活动产生的现金净流量与本年度净利润存在重大差异的原因说明</w:t>
      </w:r>
    </w:p>
    <w:p w14:paraId="452E880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524F91E"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31" w:name="_Toc988920"/>
      <w:r w:rsidRPr="005B5EC1">
        <w:rPr>
          <w:rFonts w:ascii="Times New Roman" w:eastAsia="宋体" w:hAnsi="Times New Roman" w:cs="Times New Roman"/>
          <w:b/>
          <w:bCs/>
          <w:sz w:val="24"/>
          <w:szCs w:val="24"/>
        </w:rPr>
        <w:t>五、非主营业务分析</w:t>
      </w:r>
      <w:bookmarkEnd w:id="31"/>
    </w:p>
    <w:p w14:paraId="1675AA7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B18BA3F"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32" w:name="_Toc988921"/>
      <w:r w:rsidRPr="005B5EC1">
        <w:rPr>
          <w:rFonts w:ascii="Times New Roman" w:eastAsia="宋体" w:hAnsi="Times New Roman" w:cs="Times New Roman"/>
          <w:b/>
          <w:bCs/>
          <w:sz w:val="24"/>
          <w:szCs w:val="24"/>
        </w:rPr>
        <w:lastRenderedPageBreak/>
        <w:t>六、资产及负债状况分析</w:t>
      </w:r>
      <w:bookmarkEnd w:id="32"/>
    </w:p>
    <w:p w14:paraId="3EADCCC4" w14:textId="77777777" w:rsidR="00E32FE0" w:rsidRPr="005B5EC1" w:rsidRDefault="00000000">
      <w:pPr>
        <w:pStyle w:val="3"/>
        <w:spacing w:line="280" w:lineRule="exact"/>
        <w:jc w:val="left"/>
        <w:rPr>
          <w:rFonts w:ascii="Times New Roman" w:hAnsi="Times New Roman" w:cs="Times New Roman"/>
          <w:b/>
          <w:bCs/>
        </w:rPr>
      </w:pPr>
      <w:bookmarkStart w:id="33" w:name="_Toc988922"/>
      <w:r w:rsidRPr="005B5EC1">
        <w:rPr>
          <w:rFonts w:ascii="Times New Roman" w:hAnsi="Times New Roman" w:cs="Times New Roman"/>
          <w:b/>
          <w:bCs/>
        </w:rPr>
        <w:t>1</w:t>
      </w:r>
      <w:r w:rsidRPr="005B5EC1">
        <w:rPr>
          <w:rFonts w:ascii="Times New Roman" w:hAnsi="Times New Roman" w:cs="Times New Roman"/>
          <w:b/>
          <w:bCs/>
        </w:rPr>
        <w:t>、资产构成重大变动情况</w:t>
      </w:r>
      <w:bookmarkEnd w:id="33"/>
    </w:p>
    <w:p w14:paraId="2C9558CA"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1560"/>
        <w:gridCol w:w="1417"/>
        <w:gridCol w:w="1559"/>
        <w:gridCol w:w="1418"/>
        <w:gridCol w:w="1174"/>
        <w:gridCol w:w="1377"/>
      </w:tblGrid>
      <w:tr w:rsidR="00E32FE0" w:rsidRPr="005B5EC1" w14:paraId="5B921E3E" w14:textId="77777777" w:rsidTr="00BB1F9D">
        <w:trPr>
          <w:trHeight w:val="240"/>
        </w:trPr>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7C1233" w14:textId="77777777" w:rsidR="00E32FE0" w:rsidRPr="005B5EC1" w:rsidRDefault="00E32FE0">
            <w:pPr>
              <w:rPr>
                <w:rFonts w:ascii="Times New Roman" w:hAnsi="Times New Roman" w:cs="Times New Roman"/>
              </w:rPr>
            </w:pPr>
          </w:p>
        </w:tc>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AD3200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年末</w:t>
            </w:r>
          </w:p>
        </w:tc>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081270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年初</w:t>
            </w:r>
          </w:p>
        </w:tc>
        <w:tc>
          <w:tcPr>
            <w:tcW w:w="117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C31A0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比重增减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C93F6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重大变动说明</w:t>
            </w:r>
          </w:p>
        </w:tc>
      </w:tr>
      <w:tr w:rsidR="00E32FE0" w:rsidRPr="005B5EC1" w14:paraId="6F6C2D7A" w14:textId="77777777" w:rsidTr="00BB1F9D">
        <w:trPr>
          <w:trHeight w:val="240"/>
        </w:trPr>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9F29D6" w14:textId="77777777" w:rsidR="00E32FE0" w:rsidRPr="005B5EC1" w:rsidRDefault="00E32FE0">
            <w:pPr>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814AD2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7C4312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占总资产比例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43BAC9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7058869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占总资产比例</w:t>
            </w:r>
          </w:p>
        </w:tc>
        <w:tc>
          <w:tcPr>
            <w:tcW w:w="117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309DD0" w14:textId="77777777" w:rsidR="00E32FE0" w:rsidRPr="005B5EC1" w:rsidRDefault="00E32FE0">
            <w:pPr>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22DC59" w14:textId="77777777" w:rsidR="00E32FE0" w:rsidRPr="005B5EC1" w:rsidRDefault="00E32FE0">
            <w:pPr>
              <w:rPr>
                <w:rFonts w:ascii="Times New Roman" w:hAnsi="Times New Roman" w:cs="Times New Roman"/>
              </w:rPr>
            </w:pPr>
          </w:p>
        </w:tc>
      </w:tr>
      <w:tr w:rsidR="00E32FE0" w:rsidRPr="005B5EC1" w14:paraId="4F01B78C"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41997C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货币资金</w:t>
            </w:r>
          </w:p>
        </w:tc>
        <w:tc>
          <w:tcPr>
            <w:tcW w:w="1560" w:type="dxa"/>
            <w:tcBorders>
              <w:top w:val="single" w:sz="2" w:space="0" w:color="auto"/>
              <w:left w:val="single" w:sz="2" w:space="0" w:color="auto"/>
              <w:bottom w:val="single" w:sz="2" w:space="0" w:color="auto"/>
              <w:right w:val="single" w:sz="2" w:space="0" w:color="auto"/>
            </w:tcBorders>
            <w:vAlign w:val="center"/>
          </w:tcPr>
          <w:p w14:paraId="04E0B4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970,117,579.77</w:t>
            </w:r>
          </w:p>
        </w:tc>
        <w:tc>
          <w:tcPr>
            <w:tcW w:w="1417" w:type="dxa"/>
            <w:tcBorders>
              <w:top w:val="single" w:sz="2" w:space="0" w:color="auto"/>
              <w:left w:val="single" w:sz="2" w:space="0" w:color="auto"/>
              <w:bottom w:val="single" w:sz="2" w:space="0" w:color="auto"/>
              <w:right w:val="single" w:sz="2" w:space="0" w:color="auto"/>
            </w:tcBorders>
            <w:vAlign w:val="center"/>
          </w:tcPr>
          <w:p w14:paraId="3B6F67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16.50%</w:t>
            </w:r>
          </w:p>
        </w:tc>
        <w:tc>
          <w:tcPr>
            <w:tcW w:w="1559" w:type="dxa"/>
            <w:tcBorders>
              <w:top w:val="single" w:sz="2" w:space="0" w:color="auto"/>
              <w:left w:val="single" w:sz="2" w:space="0" w:color="auto"/>
              <w:bottom w:val="single" w:sz="2" w:space="0" w:color="auto"/>
              <w:right w:val="single" w:sz="2" w:space="0" w:color="auto"/>
            </w:tcBorders>
            <w:vAlign w:val="center"/>
          </w:tcPr>
          <w:p w14:paraId="3BD5C2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1,392,572,096.51</w:t>
            </w:r>
          </w:p>
        </w:tc>
        <w:tc>
          <w:tcPr>
            <w:tcW w:w="1418" w:type="dxa"/>
            <w:tcBorders>
              <w:top w:val="single" w:sz="2" w:space="0" w:color="auto"/>
              <w:left w:val="single" w:sz="2" w:space="0" w:color="auto"/>
              <w:bottom w:val="single" w:sz="2" w:space="0" w:color="auto"/>
              <w:right w:val="single" w:sz="2" w:space="0" w:color="auto"/>
            </w:tcBorders>
            <w:vAlign w:val="center"/>
          </w:tcPr>
          <w:p w14:paraId="129D09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22.04%</w:t>
            </w:r>
          </w:p>
        </w:tc>
        <w:tc>
          <w:tcPr>
            <w:tcW w:w="1174" w:type="dxa"/>
            <w:tcBorders>
              <w:top w:val="single" w:sz="2" w:space="0" w:color="auto"/>
              <w:left w:val="single" w:sz="2" w:space="0" w:color="auto"/>
              <w:bottom w:val="single" w:sz="2" w:space="0" w:color="auto"/>
              <w:right w:val="single" w:sz="2" w:space="0" w:color="auto"/>
            </w:tcBorders>
            <w:vAlign w:val="center"/>
          </w:tcPr>
          <w:p w14:paraId="2D7BC3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-5.54%</w:t>
            </w:r>
          </w:p>
        </w:tc>
        <w:tc>
          <w:tcPr>
            <w:tcW w:w="1377" w:type="dxa"/>
            <w:tcBorders>
              <w:top w:val="single" w:sz="2" w:space="0" w:color="auto"/>
              <w:left w:val="single" w:sz="2" w:space="0" w:color="auto"/>
              <w:bottom w:val="single" w:sz="2" w:space="0" w:color="auto"/>
              <w:right w:val="single" w:sz="2" w:space="0" w:color="auto"/>
            </w:tcBorders>
            <w:vAlign w:val="center"/>
          </w:tcPr>
          <w:p w14:paraId="000B5D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主要系本期归还部分贷款所致。</w:t>
            </w:r>
          </w:p>
        </w:tc>
      </w:tr>
      <w:tr w:rsidR="00E32FE0" w:rsidRPr="005B5EC1" w14:paraId="48B709A4"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FEB64E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1560" w:type="dxa"/>
            <w:tcBorders>
              <w:top w:val="single" w:sz="2" w:space="0" w:color="auto"/>
              <w:left w:val="single" w:sz="2" w:space="0" w:color="auto"/>
              <w:bottom w:val="single" w:sz="2" w:space="0" w:color="auto"/>
              <w:right w:val="single" w:sz="2" w:space="0" w:color="auto"/>
            </w:tcBorders>
            <w:vAlign w:val="center"/>
          </w:tcPr>
          <w:p w14:paraId="548AE0B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428,734,055.32</w:t>
            </w:r>
          </w:p>
        </w:tc>
        <w:tc>
          <w:tcPr>
            <w:tcW w:w="1417" w:type="dxa"/>
            <w:tcBorders>
              <w:top w:val="single" w:sz="2" w:space="0" w:color="auto"/>
              <w:left w:val="single" w:sz="2" w:space="0" w:color="auto"/>
              <w:bottom w:val="single" w:sz="2" w:space="0" w:color="auto"/>
              <w:right w:val="single" w:sz="2" w:space="0" w:color="auto"/>
            </w:tcBorders>
            <w:vAlign w:val="center"/>
          </w:tcPr>
          <w:p w14:paraId="6EDC7E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7.29%</w:t>
            </w:r>
          </w:p>
        </w:tc>
        <w:tc>
          <w:tcPr>
            <w:tcW w:w="1559" w:type="dxa"/>
            <w:tcBorders>
              <w:top w:val="single" w:sz="2" w:space="0" w:color="auto"/>
              <w:left w:val="single" w:sz="2" w:space="0" w:color="auto"/>
              <w:bottom w:val="single" w:sz="2" w:space="0" w:color="auto"/>
              <w:right w:val="single" w:sz="2" w:space="0" w:color="auto"/>
            </w:tcBorders>
            <w:vAlign w:val="center"/>
          </w:tcPr>
          <w:p w14:paraId="1BFE939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444,427,112.07</w:t>
            </w:r>
          </w:p>
        </w:tc>
        <w:tc>
          <w:tcPr>
            <w:tcW w:w="1418" w:type="dxa"/>
            <w:tcBorders>
              <w:top w:val="single" w:sz="2" w:space="0" w:color="auto"/>
              <w:left w:val="single" w:sz="2" w:space="0" w:color="auto"/>
              <w:bottom w:val="single" w:sz="2" w:space="0" w:color="auto"/>
              <w:right w:val="single" w:sz="2" w:space="0" w:color="auto"/>
            </w:tcBorders>
            <w:vAlign w:val="center"/>
          </w:tcPr>
          <w:p w14:paraId="10707F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7.03%</w:t>
            </w:r>
          </w:p>
        </w:tc>
        <w:tc>
          <w:tcPr>
            <w:tcW w:w="1174" w:type="dxa"/>
            <w:tcBorders>
              <w:top w:val="single" w:sz="2" w:space="0" w:color="auto"/>
              <w:left w:val="single" w:sz="2" w:space="0" w:color="auto"/>
              <w:bottom w:val="single" w:sz="2" w:space="0" w:color="auto"/>
              <w:right w:val="single" w:sz="2" w:space="0" w:color="auto"/>
            </w:tcBorders>
            <w:vAlign w:val="center"/>
          </w:tcPr>
          <w:p w14:paraId="46CE25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0.26%</w:t>
            </w:r>
          </w:p>
        </w:tc>
        <w:tc>
          <w:tcPr>
            <w:tcW w:w="1377" w:type="dxa"/>
            <w:tcBorders>
              <w:top w:val="single" w:sz="2" w:space="0" w:color="auto"/>
              <w:left w:val="single" w:sz="2" w:space="0" w:color="auto"/>
              <w:bottom w:val="single" w:sz="2" w:space="0" w:color="auto"/>
              <w:right w:val="single" w:sz="2" w:space="0" w:color="auto"/>
            </w:tcBorders>
            <w:vAlign w:val="center"/>
          </w:tcPr>
          <w:p w14:paraId="6D78A74C"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7FB0D666"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0F9BC4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存货</w:t>
            </w:r>
          </w:p>
        </w:tc>
        <w:tc>
          <w:tcPr>
            <w:tcW w:w="1560" w:type="dxa"/>
            <w:tcBorders>
              <w:top w:val="single" w:sz="2" w:space="0" w:color="auto"/>
              <w:left w:val="single" w:sz="2" w:space="0" w:color="auto"/>
              <w:bottom w:val="single" w:sz="2" w:space="0" w:color="auto"/>
              <w:right w:val="single" w:sz="2" w:space="0" w:color="auto"/>
            </w:tcBorders>
            <w:vAlign w:val="center"/>
          </w:tcPr>
          <w:p w14:paraId="77B9F3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994,358,007.81</w:t>
            </w:r>
          </w:p>
        </w:tc>
        <w:tc>
          <w:tcPr>
            <w:tcW w:w="1417" w:type="dxa"/>
            <w:tcBorders>
              <w:top w:val="single" w:sz="2" w:space="0" w:color="auto"/>
              <w:left w:val="single" w:sz="2" w:space="0" w:color="auto"/>
              <w:bottom w:val="single" w:sz="2" w:space="0" w:color="auto"/>
              <w:right w:val="single" w:sz="2" w:space="0" w:color="auto"/>
            </w:tcBorders>
            <w:vAlign w:val="center"/>
          </w:tcPr>
          <w:p w14:paraId="33BE3B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16.91%</w:t>
            </w:r>
          </w:p>
        </w:tc>
        <w:tc>
          <w:tcPr>
            <w:tcW w:w="1559" w:type="dxa"/>
            <w:tcBorders>
              <w:top w:val="single" w:sz="2" w:space="0" w:color="auto"/>
              <w:left w:val="single" w:sz="2" w:space="0" w:color="auto"/>
              <w:bottom w:val="single" w:sz="2" w:space="0" w:color="auto"/>
              <w:right w:val="single" w:sz="2" w:space="0" w:color="auto"/>
            </w:tcBorders>
            <w:vAlign w:val="center"/>
          </w:tcPr>
          <w:p w14:paraId="23FBAA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991,835,506.20</w:t>
            </w:r>
          </w:p>
        </w:tc>
        <w:tc>
          <w:tcPr>
            <w:tcW w:w="1418" w:type="dxa"/>
            <w:tcBorders>
              <w:top w:val="single" w:sz="2" w:space="0" w:color="auto"/>
              <w:left w:val="single" w:sz="2" w:space="0" w:color="auto"/>
              <w:bottom w:val="single" w:sz="2" w:space="0" w:color="auto"/>
              <w:right w:val="single" w:sz="2" w:space="0" w:color="auto"/>
            </w:tcBorders>
            <w:vAlign w:val="center"/>
          </w:tcPr>
          <w:p w14:paraId="08C9F1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15.70%</w:t>
            </w:r>
          </w:p>
        </w:tc>
        <w:tc>
          <w:tcPr>
            <w:tcW w:w="1174" w:type="dxa"/>
            <w:tcBorders>
              <w:top w:val="single" w:sz="2" w:space="0" w:color="auto"/>
              <w:left w:val="single" w:sz="2" w:space="0" w:color="auto"/>
              <w:bottom w:val="single" w:sz="2" w:space="0" w:color="auto"/>
              <w:right w:val="single" w:sz="2" w:space="0" w:color="auto"/>
            </w:tcBorders>
            <w:vAlign w:val="center"/>
          </w:tcPr>
          <w:p w14:paraId="46479F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w:t>
            </w:r>
          </w:p>
        </w:tc>
        <w:tc>
          <w:tcPr>
            <w:tcW w:w="1377" w:type="dxa"/>
            <w:tcBorders>
              <w:top w:val="single" w:sz="2" w:space="0" w:color="auto"/>
              <w:left w:val="single" w:sz="2" w:space="0" w:color="auto"/>
              <w:bottom w:val="single" w:sz="2" w:space="0" w:color="auto"/>
              <w:right w:val="single" w:sz="2" w:space="0" w:color="auto"/>
            </w:tcBorders>
            <w:vAlign w:val="center"/>
          </w:tcPr>
          <w:p w14:paraId="44C2C949"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184B2E48"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E1E01F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w:t>
            </w:r>
          </w:p>
        </w:tc>
        <w:tc>
          <w:tcPr>
            <w:tcW w:w="1560" w:type="dxa"/>
            <w:tcBorders>
              <w:top w:val="single" w:sz="2" w:space="0" w:color="auto"/>
              <w:left w:val="single" w:sz="2" w:space="0" w:color="auto"/>
              <w:bottom w:val="single" w:sz="2" w:space="0" w:color="auto"/>
              <w:right w:val="single" w:sz="2" w:space="0" w:color="auto"/>
            </w:tcBorders>
            <w:vAlign w:val="center"/>
          </w:tcPr>
          <w:p w14:paraId="203D29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2,369,509,841.69</w:t>
            </w:r>
          </w:p>
        </w:tc>
        <w:tc>
          <w:tcPr>
            <w:tcW w:w="1417" w:type="dxa"/>
            <w:tcBorders>
              <w:top w:val="single" w:sz="2" w:space="0" w:color="auto"/>
              <w:left w:val="single" w:sz="2" w:space="0" w:color="auto"/>
              <w:bottom w:val="single" w:sz="2" w:space="0" w:color="auto"/>
              <w:right w:val="single" w:sz="2" w:space="0" w:color="auto"/>
            </w:tcBorders>
            <w:vAlign w:val="center"/>
          </w:tcPr>
          <w:p w14:paraId="657A9B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40.30%</w:t>
            </w:r>
          </w:p>
        </w:tc>
        <w:tc>
          <w:tcPr>
            <w:tcW w:w="1559" w:type="dxa"/>
            <w:tcBorders>
              <w:top w:val="single" w:sz="2" w:space="0" w:color="auto"/>
              <w:left w:val="single" w:sz="2" w:space="0" w:color="auto"/>
              <w:bottom w:val="single" w:sz="2" w:space="0" w:color="auto"/>
              <w:right w:val="single" w:sz="2" w:space="0" w:color="auto"/>
            </w:tcBorders>
            <w:vAlign w:val="center"/>
          </w:tcPr>
          <w:p w14:paraId="2BAAB1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1,692,939,156.89</w:t>
            </w:r>
          </w:p>
        </w:tc>
        <w:tc>
          <w:tcPr>
            <w:tcW w:w="1418" w:type="dxa"/>
            <w:tcBorders>
              <w:top w:val="single" w:sz="2" w:space="0" w:color="auto"/>
              <w:left w:val="single" w:sz="2" w:space="0" w:color="auto"/>
              <w:bottom w:val="single" w:sz="2" w:space="0" w:color="auto"/>
              <w:right w:val="single" w:sz="2" w:space="0" w:color="auto"/>
            </w:tcBorders>
            <w:vAlign w:val="center"/>
          </w:tcPr>
          <w:p w14:paraId="4E680E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26.80%</w:t>
            </w:r>
          </w:p>
        </w:tc>
        <w:tc>
          <w:tcPr>
            <w:tcW w:w="1174" w:type="dxa"/>
            <w:tcBorders>
              <w:top w:val="single" w:sz="2" w:space="0" w:color="auto"/>
              <w:left w:val="single" w:sz="2" w:space="0" w:color="auto"/>
              <w:bottom w:val="single" w:sz="2" w:space="0" w:color="auto"/>
              <w:right w:val="single" w:sz="2" w:space="0" w:color="auto"/>
            </w:tcBorders>
            <w:vAlign w:val="center"/>
          </w:tcPr>
          <w:p w14:paraId="08FC96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13.50%</w:t>
            </w:r>
          </w:p>
        </w:tc>
        <w:tc>
          <w:tcPr>
            <w:tcW w:w="1377" w:type="dxa"/>
            <w:tcBorders>
              <w:top w:val="single" w:sz="2" w:space="0" w:color="auto"/>
              <w:left w:val="single" w:sz="2" w:space="0" w:color="auto"/>
              <w:bottom w:val="single" w:sz="2" w:space="0" w:color="auto"/>
              <w:right w:val="single" w:sz="2" w:space="0" w:color="auto"/>
            </w:tcBorders>
            <w:vAlign w:val="center"/>
          </w:tcPr>
          <w:p w14:paraId="5D3012B9" w14:textId="587E6BFE"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主要系部分养殖猪场及屠宰厂转</w:t>
            </w:r>
            <w:r w:rsidR="00901425">
              <w:rPr>
                <w:rFonts w:ascii="Times New Roman" w:eastAsia="宋体" w:hAnsi="Times New Roman" w:cs="Times New Roman" w:hint="eastAsia"/>
                <w:sz w:val="18"/>
                <w:szCs w:val="18"/>
              </w:rPr>
              <w:t>固</w:t>
            </w:r>
            <w:r w:rsidRPr="005B5EC1">
              <w:rPr>
                <w:rFonts w:ascii="Times New Roman" w:eastAsia="宋体" w:hAnsi="Times New Roman" w:cs="Times New Roman"/>
                <w:sz w:val="18"/>
                <w:szCs w:val="18"/>
              </w:rPr>
              <w:t>所致。</w:t>
            </w:r>
          </w:p>
        </w:tc>
      </w:tr>
      <w:tr w:rsidR="00E32FE0" w:rsidRPr="005B5EC1" w14:paraId="09B8EEAE"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73B494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在建工程</w:t>
            </w:r>
          </w:p>
        </w:tc>
        <w:tc>
          <w:tcPr>
            <w:tcW w:w="1560" w:type="dxa"/>
            <w:tcBorders>
              <w:top w:val="single" w:sz="2" w:space="0" w:color="auto"/>
              <w:left w:val="single" w:sz="2" w:space="0" w:color="auto"/>
              <w:bottom w:val="single" w:sz="2" w:space="0" w:color="auto"/>
              <w:right w:val="single" w:sz="2" w:space="0" w:color="auto"/>
            </w:tcBorders>
            <w:vAlign w:val="center"/>
          </w:tcPr>
          <w:p w14:paraId="58775A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254,397,411.06</w:t>
            </w:r>
          </w:p>
        </w:tc>
        <w:tc>
          <w:tcPr>
            <w:tcW w:w="1417" w:type="dxa"/>
            <w:tcBorders>
              <w:top w:val="single" w:sz="2" w:space="0" w:color="auto"/>
              <w:left w:val="single" w:sz="2" w:space="0" w:color="auto"/>
              <w:bottom w:val="single" w:sz="2" w:space="0" w:color="auto"/>
              <w:right w:val="single" w:sz="2" w:space="0" w:color="auto"/>
            </w:tcBorders>
            <w:vAlign w:val="center"/>
          </w:tcPr>
          <w:p w14:paraId="75CA3B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4.33%</w:t>
            </w:r>
          </w:p>
        </w:tc>
        <w:tc>
          <w:tcPr>
            <w:tcW w:w="1559" w:type="dxa"/>
            <w:tcBorders>
              <w:top w:val="single" w:sz="2" w:space="0" w:color="auto"/>
              <w:left w:val="single" w:sz="2" w:space="0" w:color="auto"/>
              <w:bottom w:val="single" w:sz="2" w:space="0" w:color="auto"/>
              <w:right w:val="single" w:sz="2" w:space="0" w:color="auto"/>
            </w:tcBorders>
            <w:vAlign w:val="center"/>
          </w:tcPr>
          <w:p w14:paraId="6A5858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919,386,014.19</w:t>
            </w:r>
          </w:p>
        </w:tc>
        <w:tc>
          <w:tcPr>
            <w:tcW w:w="1418" w:type="dxa"/>
            <w:tcBorders>
              <w:top w:val="single" w:sz="2" w:space="0" w:color="auto"/>
              <w:left w:val="single" w:sz="2" w:space="0" w:color="auto"/>
              <w:bottom w:val="single" w:sz="2" w:space="0" w:color="auto"/>
              <w:right w:val="single" w:sz="2" w:space="0" w:color="auto"/>
            </w:tcBorders>
            <w:vAlign w:val="center"/>
          </w:tcPr>
          <w:p w14:paraId="5A42C5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14.55%</w:t>
            </w:r>
          </w:p>
        </w:tc>
        <w:tc>
          <w:tcPr>
            <w:tcW w:w="1174" w:type="dxa"/>
            <w:tcBorders>
              <w:top w:val="single" w:sz="2" w:space="0" w:color="auto"/>
              <w:left w:val="single" w:sz="2" w:space="0" w:color="auto"/>
              <w:bottom w:val="single" w:sz="2" w:space="0" w:color="auto"/>
              <w:right w:val="single" w:sz="2" w:space="0" w:color="auto"/>
            </w:tcBorders>
            <w:vAlign w:val="center"/>
          </w:tcPr>
          <w:p w14:paraId="4EA621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-10.22%</w:t>
            </w:r>
          </w:p>
        </w:tc>
        <w:tc>
          <w:tcPr>
            <w:tcW w:w="1377" w:type="dxa"/>
            <w:tcBorders>
              <w:top w:val="single" w:sz="2" w:space="0" w:color="auto"/>
              <w:left w:val="single" w:sz="2" w:space="0" w:color="auto"/>
              <w:bottom w:val="single" w:sz="2" w:space="0" w:color="auto"/>
              <w:right w:val="single" w:sz="2" w:space="0" w:color="auto"/>
            </w:tcBorders>
            <w:vAlign w:val="center"/>
          </w:tcPr>
          <w:p w14:paraId="566C0998" w14:textId="3EC2360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主要系部分养殖猪场及屠宰厂转</w:t>
            </w:r>
            <w:r w:rsidR="00901425">
              <w:rPr>
                <w:rFonts w:ascii="Times New Roman" w:eastAsia="宋体" w:hAnsi="Times New Roman" w:cs="Times New Roman" w:hint="eastAsia"/>
                <w:sz w:val="18"/>
                <w:szCs w:val="18"/>
              </w:rPr>
              <w:t>固</w:t>
            </w:r>
            <w:r w:rsidRPr="005B5EC1">
              <w:rPr>
                <w:rFonts w:ascii="Times New Roman" w:eastAsia="宋体" w:hAnsi="Times New Roman" w:cs="Times New Roman"/>
                <w:sz w:val="18"/>
                <w:szCs w:val="18"/>
              </w:rPr>
              <w:t>所致。</w:t>
            </w:r>
          </w:p>
        </w:tc>
      </w:tr>
      <w:tr w:rsidR="00E32FE0" w:rsidRPr="005B5EC1" w14:paraId="52032DFA"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6A9304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使用权资产</w:t>
            </w:r>
          </w:p>
        </w:tc>
        <w:tc>
          <w:tcPr>
            <w:tcW w:w="1560" w:type="dxa"/>
            <w:tcBorders>
              <w:top w:val="single" w:sz="2" w:space="0" w:color="auto"/>
              <w:left w:val="single" w:sz="2" w:space="0" w:color="auto"/>
              <w:bottom w:val="single" w:sz="2" w:space="0" w:color="auto"/>
              <w:right w:val="single" w:sz="2" w:space="0" w:color="auto"/>
            </w:tcBorders>
            <w:vAlign w:val="center"/>
          </w:tcPr>
          <w:p w14:paraId="73ACD3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55,036,360.58</w:t>
            </w:r>
          </w:p>
        </w:tc>
        <w:tc>
          <w:tcPr>
            <w:tcW w:w="1417" w:type="dxa"/>
            <w:tcBorders>
              <w:top w:val="single" w:sz="2" w:space="0" w:color="auto"/>
              <w:left w:val="single" w:sz="2" w:space="0" w:color="auto"/>
              <w:bottom w:val="single" w:sz="2" w:space="0" w:color="auto"/>
              <w:right w:val="single" w:sz="2" w:space="0" w:color="auto"/>
            </w:tcBorders>
            <w:vAlign w:val="center"/>
          </w:tcPr>
          <w:p w14:paraId="482A79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0.94%</w:t>
            </w:r>
          </w:p>
        </w:tc>
        <w:tc>
          <w:tcPr>
            <w:tcW w:w="1559" w:type="dxa"/>
            <w:tcBorders>
              <w:top w:val="single" w:sz="2" w:space="0" w:color="auto"/>
              <w:left w:val="single" w:sz="2" w:space="0" w:color="auto"/>
              <w:bottom w:val="single" w:sz="2" w:space="0" w:color="auto"/>
              <w:right w:val="single" w:sz="2" w:space="0" w:color="auto"/>
            </w:tcBorders>
            <w:vAlign w:val="center"/>
          </w:tcPr>
          <w:p w14:paraId="2078E9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56,681,295.48</w:t>
            </w:r>
          </w:p>
        </w:tc>
        <w:tc>
          <w:tcPr>
            <w:tcW w:w="1418" w:type="dxa"/>
            <w:tcBorders>
              <w:top w:val="single" w:sz="2" w:space="0" w:color="auto"/>
              <w:left w:val="single" w:sz="2" w:space="0" w:color="auto"/>
              <w:bottom w:val="single" w:sz="2" w:space="0" w:color="auto"/>
              <w:right w:val="single" w:sz="2" w:space="0" w:color="auto"/>
            </w:tcBorders>
            <w:vAlign w:val="center"/>
          </w:tcPr>
          <w:p w14:paraId="59A0E3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0.90%</w:t>
            </w:r>
          </w:p>
        </w:tc>
        <w:tc>
          <w:tcPr>
            <w:tcW w:w="1174" w:type="dxa"/>
            <w:tcBorders>
              <w:top w:val="single" w:sz="2" w:space="0" w:color="auto"/>
              <w:left w:val="single" w:sz="2" w:space="0" w:color="auto"/>
              <w:bottom w:val="single" w:sz="2" w:space="0" w:color="auto"/>
              <w:right w:val="single" w:sz="2" w:space="0" w:color="auto"/>
            </w:tcBorders>
            <w:vAlign w:val="center"/>
          </w:tcPr>
          <w:p w14:paraId="0C316B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0.04%</w:t>
            </w:r>
          </w:p>
        </w:tc>
        <w:tc>
          <w:tcPr>
            <w:tcW w:w="1377" w:type="dxa"/>
            <w:tcBorders>
              <w:top w:val="single" w:sz="2" w:space="0" w:color="auto"/>
              <w:left w:val="single" w:sz="2" w:space="0" w:color="auto"/>
              <w:bottom w:val="single" w:sz="2" w:space="0" w:color="auto"/>
              <w:right w:val="single" w:sz="2" w:space="0" w:color="auto"/>
            </w:tcBorders>
            <w:vAlign w:val="center"/>
          </w:tcPr>
          <w:p w14:paraId="5EF0ABFF"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6ECF6FF9"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F07AF9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短期借款</w:t>
            </w:r>
          </w:p>
        </w:tc>
        <w:tc>
          <w:tcPr>
            <w:tcW w:w="1560" w:type="dxa"/>
            <w:tcBorders>
              <w:top w:val="single" w:sz="2" w:space="0" w:color="auto"/>
              <w:left w:val="single" w:sz="2" w:space="0" w:color="auto"/>
              <w:bottom w:val="single" w:sz="2" w:space="0" w:color="auto"/>
              <w:right w:val="single" w:sz="2" w:space="0" w:color="auto"/>
            </w:tcBorders>
            <w:vAlign w:val="center"/>
          </w:tcPr>
          <w:p w14:paraId="44E79FD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1,629,824,663.47</w:t>
            </w:r>
          </w:p>
        </w:tc>
        <w:tc>
          <w:tcPr>
            <w:tcW w:w="1417" w:type="dxa"/>
            <w:tcBorders>
              <w:top w:val="single" w:sz="2" w:space="0" w:color="auto"/>
              <w:left w:val="single" w:sz="2" w:space="0" w:color="auto"/>
              <w:bottom w:val="single" w:sz="2" w:space="0" w:color="auto"/>
              <w:right w:val="single" w:sz="2" w:space="0" w:color="auto"/>
            </w:tcBorders>
            <w:vAlign w:val="center"/>
          </w:tcPr>
          <w:p w14:paraId="04EC34E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27.72%</w:t>
            </w:r>
          </w:p>
        </w:tc>
        <w:tc>
          <w:tcPr>
            <w:tcW w:w="1559" w:type="dxa"/>
            <w:tcBorders>
              <w:top w:val="single" w:sz="2" w:space="0" w:color="auto"/>
              <w:left w:val="single" w:sz="2" w:space="0" w:color="auto"/>
              <w:bottom w:val="single" w:sz="2" w:space="0" w:color="auto"/>
              <w:right w:val="single" w:sz="2" w:space="0" w:color="auto"/>
            </w:tcBorders>
            <w:vAlign w:val="center"/>
          </w:tcPr>
          <w:p w14:paraId="74B753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1,854,767,478.71</w:t>
            </w:r>
          </w:p>
        </w:tc>
        <w:tc>
          <w:tcPr>
            <w:tcW w:w="1418" w:type="dxa"/>
            <w:tcBorders>
              <w:top w:val="single" w:sz="2" w:space="0" w:color="auto"/>
              <w:left w:val="single" w:sz="2" w:space="0" w:color="auto"/>
              <w:bottom w:val="single" w:sz="2" w:space="0" w:color="auto"/>
              <w:right w:val="single" w:sz="2" w:space="0" w:color="auto"/>
            </w:tcBorders>
            <w:vAlign w:val="center"/>
          </w:tcPr>
          <w:p w14:paraId="381B46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29.36%</w:t>
            </w:r>
          </w:p>
        </w:tc>
        <w:tc>
          <w:tcPr>
            <w:tcW w:w="1174" w:type="dxa"/>
            <w:tcBorders>
              <w:top w:val="single" w:sz="2" w:space="0" w:color="auto"/>
              <w:left w:val="single" w:sz="2" w:space="0" w:color="auto"/>
              <w:bottom w:val="single" w:sz="2" w:space="0" w:color="auto"/>
              <w:right w:val="single" w:sz="2" w:space="0" w:color="auto"/>
            </w:tcBorders>
            <w:vAlign w:val="center"/>
          </w:tcPr>
          <w:p w14:paraId="0978C8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-1.64%</w:t>
            </w:r>
          </w:p>
        </w:tc>
        <w:tc>
          <w:tcPr>
            <w:tcW w:w="1377" w:type="dxa"/>
            <w:tcBorders>
              <w:top w:val="single" w:sz="2" w:space="0" w:color="auto"/>
              <w:left w:val="single" w:sz="2" w:space="0" w:color="auto"/>
              <w:bottom w:val="single" w:sz="2" w:space="0" w:color="auto"/>
              <w:right w:val="single" w:sz="2" w:space="0" w:color="auto"/>
            </w:tcBorders>
            <w:vAlign w:val="center"/>
          </w:tcPr>
          <w:p w14:paraId="79A5F5B1"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57F244FB"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7079A3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合同负债</w:t>
            </w:r>
          </w:p>
        </w:tc>
        <w:tc>
          <w:tcPr>
            <w:tcW w:w="1560" w:type="dxa"/>
            <w:tcBorders>
              <w:top w:val="single" w:sz="2" w:space="0" w:color="auto"/>
              <w:left w:val="single" w:sz="2" w:space="0" w:color="auto"/>
              <w:bottom w:val="single" w:sz="2" w:space="0" w:color="auto"/>
              <w:right w:val="single" w:sz="2" w:space="0" w:color="auto"/>
            </w:tcBorders>
            <w:vAlign w:val="center"/>
          </w:tcPr>
          <w:p w14:paraId="69B42C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119,376,031.80</w:t>
            </w:r>
          </w:p>
        </w:tc>
        <w:tc>
          <w:tcPr>
            <w:tcW w:w="1417" w:type="dxa"/>
            <w:tcBorders>
              <w:top w:val="single" w:sz="2" w:space="0" w:color="auto"/>
              <w:left w:val="single" w:sz="2" w:space="0" w:color="auto"/>
              <w:bottom w:val="single" w:sz="2" w:space="0" w:color="auto"/>
              <w:right w:val="single" w:sz="2" w:space="0" w:color="auto"/>
            </w:tcBorders>
            <w:vAlign w:val="center"/>
          </w:tcPr>
          <w:p w14:paraId="401993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2.03%</w:t>
            </w:r>
          </w:p>
        </w:tc>
        <w:tc>
          <w:tcPr>
            <w:tcW w:w="1559" w:type="dxa"/>
            <w:tcBorders>
              <w:top w:val="single" w:sz="2" w:space="0" w:color="auto"/>
              <w:left w:val="single" w:sz="2" w:space="0" w:color="auto"/>
              <w:bottom w:val="single" w:sz="2" w:space="0" w:color="auto"/>
              <w:right w:val="single" w:sz="2" w:space="0" w:color="auto"/>
            </w:tcBorders>
            <w:vAlign w:val="center"/>
          </w:tcPr>
          <w:p w14:paraId="303166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134,486,391.06</w:t>
            </w:r>
          </w:p>
        </w:tc>
        <w:tc>
          <w:tcPr>
            <w:tcW w:w="1418" w:type="dxa"/>
            <w:tcBorders>
              <w:top w:val="single" w:sz="2" w:space="0" w:color="auto"/>
              <w:left w:val="single" w:sz="2" w:space="0" w:color="auto"/>
              <w:bottom w:val="single" w:sz="2" w:space="0" w:color="auto"/>
              <w:right w:val="single" w:sz="2" w:space="0" w:color="auto"/>
            </w:tcBorders>
            <w:vAlign w:val="center"/>
          </w:tcPr>
          <w:p w14:paraId="722C3A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2.13%</w:t>
            </w:r>
          </w:p>
        </w:tc>
        <w:tc>
          <w:tcPr>
            <w:tcW w:w="1174" w:type="dxa"/>
            <w:tcBorders>
              <w:top w:val="single" w:sz="2" w:space="0" w:color="auto"/>
              <w:left w:val="single" w:sz="2" w:space="0" w:color="auto"/>
              <w:bottom w:val="single" w:sz="2" w:space="0" w:color="auto"/>
              <w:right w:val="single" w:sz="2" w:space="0" w:color="auto"/>
            </w:tcBorders>
            <w:vAlign w:val="center"/>
          </w:tcPr>
          <w:p w14:paraId="25C87D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-0.10%</w:t>
            </w:r>
          </w:p>
        </w:tc>
        <w:tc>
          <w:tcPr>
            <w:tcW w:w="1377" w:type="dxa"/>
            <w:tcBorders>
              <w:top w:val="single" w:sz="2" w:space="0" w:color="auto"/>
              <w:left w:val="single" w:sz="2" w:space="0" w:color="auto"/>
              <w:bottom w:val="single" w:sz="2" w:space="0" w:color="auto"/>
              <w:right w:val="single" w:sz="2" w:space="0" w:color="auto"/>
            </w:tcBorders>
            <w:vAlign w:val="center"/>
          </w:tcPr>
          <w:p w14:paraId="17880346"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0B9C7AF6"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44D460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长期借款</w:t>
            </w:r>
          </w:p>
        </w:tc>
        <w:tc>
          <w:tcPr>
            <w:tcW w:w="1560" w:type="dxa"/>
            <w:tcBorders>
              <w:top w:val="single" w:sz="2" w:space="0" w:color="auto"/>
              <w:left w:val="single" w:sz="2" w:space="0" w:color="auto"/>
              <w:bottom w:val="single" w:sz="2" w:space="0" w:color="auto"/>
              <w:right w:val="single" w:sz="2" w:space="0" w:color="auto"/>
            </w:tcBorders>
            <w:vAlign w:val="center"/>
          </w:tcPr>
          <w:p w14:paraId="238328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272,316,541.91</w:t>
            </w:r>
          </w:p>
        </w:tc>
        <w:tc>
          <w:tcPr>
            <w:tcW w:w="1417" w:type="dxa"/>
            <w:tcBorders>
              <w:top w:val="single" w:sz="2" w:space="0" w:color="auto"/>
              <w:left w:val="single" w:sz="2" w:space="0" w:color="auto"/>
              <w:bottom w:val="single" w:sz="2" w:space="0" w:color="auto"/>
              <w:right w:val="single" w:sz="2" w:space="0" w:color="auto"/>
            </w:tcBorders>
            <w:vAlign w:val="center"/>
          </w:tcPr>
          <w:p w14:paraId="79ADAB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4.63%</w:t>
            </w:r>
          </w:p>
        </w:tc>
        <w:tc>
          <w:tcPr>
            <w:tcW w:w="1559" w:type="dxa"/>
            <w:tcBorders>
              <w:top w:val="single" w:sz="2" w:space="0" w:color="auto"/>
              <w:left w:val="single" w:sz="2" w:space="0" w:color="auto"/>
              <w:bottom w:val="single" w:sz="2" w:space="0" w:color="auto"/>
              <w:right w:val="single" w:sz="2" w:space="0" w:color="auto"/>
            </w:tcBorders>
            <w:vAlign w:val="center"/>
          </w:tcPr>
          <w:p w14:paraId="168E8BB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326,202,925.48</w:t>
            </w:r>
          </w:p>
        </w:tc>
        <w:tc>
          <w:tcPr>
            <w:tcW w:w="1418" w:type="dxa"/>
            <w:tcBorders>
              <w:top w:val="single" w:sz="2" w:space="0" w:color="auto"/>
              <w:left w:val="single" w:sz="2" w:space="0" w:color="auto"/>
              <w:bottom w:val="single" w:sz="2" w:space="0" w:color="auto"/>
              <w:right w:val="single" w:sz="2" w:space="0" w:color="auto"/>
            </w:tcBorders>
            <w:vAlign w:val="center"/>
          </w:tcPr>
          <w:p w14:paraId="7592B5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5.16%</w:t>
            </w:r>
          </w:p>
        </w:tc>
        <w:tc>
          <w:tcPr>
            <w:tcW w:w="1174" w:type="dxa"/>
            <w:tcBorders>
              <w:top w:val="single" w:sz="2" w:space="0" w:color="auto"/>
              <w:left w:val="single" w:sz="2" w:space="0" w:color="auto"/>
              <w:bottom w:val="single" w:sz="2" w:space="0" w:color="auto"/>
              <w:right w:val="single" w:sz="2" w:space="0" w:color="auto"/>
            </w:tcBorders>
            <w:vAlign w:val="center"/>
          </w:tcPr>
          <w:p w14:paraId="184747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-0.53%</w:t>
            </w:r>
          </w:p>
        </w:tc>
        <w:tc>
          <w:tcPr>
            <w:tcW w:w="1377" w:type="dxa"/>
            <w:tcBorders>
              <w:top w:val="single" w:sz="2" w:space="0" w:color="auto"/>
              <w:left w:val="single" w:sz="2" w:space="0" w:color="auto"/>
              <w:bottom w:val="single" w:sz="2" w:space="0" w:color="auto"/>
              <w:right w:val="single" w:sz="2" w:space="0" w:color="auto"/>
            </w:tcBorders>
            <w:vAlign w:val="center"/>
          </w:tcPr>
          <w:p w14:paraId="019D5397"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7C73DEB9" w14:textId="77777777" w:rsidTr="00BB1F9D">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D25DE3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租赁负债</w:t>
            </w:r>
          </w:p>
        </w:tc>
        <w:tc>
          <w:tcPr>
            <w:tcW w:w="1560" w:type="dxa"/>
            <w:tcBorders>
              <w:top w:val="single" w:sz="2" w:space="0" w:color="auto"/>
              <w:left w:val="single" w:sz="2" w:space="0" w:color="auto"/>
              <w:bottom w:val="single" w:sz="2" w:space="0" w:color="auto"/>
              <w:right w:val="single" w:sz="2" w:space="0" w:color="auto"/>
            </w:tcBorders>
            <w:vAlign w:val="center"/>
          </w:tcPr>
          <w:p w14:paraId="00CA1D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48,114,380.73</w:t>
            </w:r>
          </w:p>
        </w:tc>
        <w:tc>
          <w:tcPr>
            <w:tcW w:w="1417" w:type="dxa"/>
            <w:tcBorders>
              <w:top w:val="single" w:sz="2" w:space="0" w:color="auto"/>
              <w:left w:val="single" w:sz="2" w:space="0" w:color="auto"/>
              <w:bottom w:val="single" w:sz="2" w:space="0" w:color="auto"/>
              <w:right w:val="single" w:sz="2" w:space="0" w:color="auto"/>
            </w:tcBorders>
            <w:vAlign w:val="center"/>
          </w:tcPr>
          <w:p w14:paraId="64E0B7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0.82%</w:t>
            </w:r>
          </w:p>
        </w:tc>
        <w:tc>
          <w:tcPr>
            <w:tcW w:w="1559" w:type="dxa"/>
            <w:tcBorders>
              <w:top w:val="single" w:sz="2" w:space="0" w:color="auto"/>
              <w:left w:val="single" w:sz="2" w:space="0" w:color="auto"/>
              <w:bottom w:val="single" w:sz="2" w:space="0" w:color="auto"/>
              <w:right w:val="single" w:sz="2" w:space="0" w:color="auto"/>
            </w:tcBorders>
            <w:vAlign w:val="center"/>
          </w:tcPr>
          <w:p w14:paraId="1BE87B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45,196,076.45</w:t>
            </w:r>
          </w:p>
        </w:tc>
        <w:tc>
          <w:tcPr>
            <w:tcW w:w="1418" w:type="dxa"/>
            <w:tcBorders>
              <w:top w:val="single" w:sz="2" w:space="0" w:color="auto"/>
              <w:left w:val="single" w:sz="2" w:space="0" w:color="auto"/>
              <w:bottom w:val="single" w:sz="2" w:space="0" w:color="auto"/>
              <w:right w:val="single" w:sz="2" w:space="0" w:color="auto"/>
            </w:tcBorders>
            <w:vAlign w:val="center"/>
          </w:tcPr>
          <w:p w14:paraId="40D562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0.72%</w:t>
            </w:r>
          </w:p>
        </w:tc>
        <w:tc>
          <w:tcPr>
            <w:tcW w:w="1174" w:type="dxa"/>
            <w:tcBorders>
              <w:top w:val="single" w:sz="2" w:space="0" w:color="auto"/>
              <w:left w:val="single" w:sz="2" w:space="0" w:color="auto"/>
              <w:bottom w:val="single" w:sz="2" w:space="0" w:color="auto"/>
              <w:right w:val="single" w:sz="2" w:space="0" w:color="auto"/>
            </w:tcBorders>
            <w:vAlign w:val="center"/>
          </w:tcPr>
          <w:p w14:paraId="553BC2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0.10%</w:t>
            </w:r>
          </w:p>
        </w:tc>
        <w:tc>
          <w:tcPr>
            <w:tcW w:w="1377" w:type="dxa"/>
            <w:tcBorders>
              <w:top w:val="single" w:sz="2" w:space="0" w:color="auto"/>
              <w:left w:val="single" w:sz="2" w:space="0" w:color="auto"/>
              <w:bottom w:val="single" w:sz="2" w:space="0" w:color="auto"/>
              <w:right w:val="single" w:sz="2" w:space="0" w:color="auto"/>
            </w:tcBorders>
            <w:vAlign w:val="center"/>
          </w:tcPr>
          <w:p w14:paraId="7090C21E" w14:textId="77777777" w:rsidR="00E32FE0" w:rsidRPr="005B5EC1" w:rsidRDefault="00E32FE0">
            <w:pPr>
              <w:spacing w:after="0" w:line="240" w:lineRule="exact"/>
              <w:rPr>
                <w:rFonts w:ascii="Times New Roman" w:eastAsia="宋体" w:hAnsi="Times New Roman" w:cs="Times New Roman"/>
                <w:sz w:val="18"/>
                <w:szCs w:val="18"/>
              </w:rPr>
            </w:pPr>
          </w:p>
        </w:tc>
      </w:tr>
    </w:tbl>
    <w:p w14:paraId="043459B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境外资产占比较高</w:t>
      </w:r>
    </w:p>
    <w:p w14:paraId="67629AB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CD66B7F" w14:textId="77777777" w:rsidR="00E32FE0" w:rsidRPr="005B5EC1" w:rsidRDefault="00000000">
      <w:pPr>
        <w:pStyle w:val="3"/>
        <w:spacing w:line="280" w:lineRule="exact"/>
        <w:jc w:val="left"/>
        <w:rPr>
          <w:rFonts w:ascii="Times New Roman" w:hAnsi="Times New Roman" w:cs="Times New Roman"/>
          <w:b/>
          <w:bCs/>
        </w:rPr>
      </w:pPr>
      <w:bookmarkStart w:id="34" w:name="_Toc988923"/>
      <w:r w:rsidRPr="005B5EC1">
        <w:rPr>
          <w:rFonts w:ascii="Times New Roman" w:hAnsi="Times New Roman" w:cs="Times New Roman"/>
          <w:b/>
          <w:bCs/>
        </w:rPr>
        <w:t>2</w:t>
      </w:r>
      <w:r w:rsidRPr="005B5EC1">
        <w:rPr>
          <w:rFonts w:ascii="Times New Roman" w:hAnsi="Times New Roman" w:cs="Times New Roman"/>
          <w:b/>
          <w:bCs/>
        </w:rPr>
        <w:t>、以公允价值计量的资产和负债</w:t>
      </w:r>
      <w:bookmarkEnd w:id="34"/>
    </w:p>
    <w:p w14:paraId="58E6BB2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6A5D295" w14:textId="77777777" w:rsidR="00E32FE0" w:rsidRPr="005B5EC1" w:rsidRDefault="00000000">
      <w:pPr>
        <w:pStyle w:val="3"/>
        <w:spacing w:line="280" w:lineRule="exact"/>
        <w:jc w:val="left"/>
        <w:rPr>
          <w:rFonts w:ascii="Times New Roman" w:hAnsi="Times New Roman" w:cs="Times New Roman"/>
          <w:b/>
          <w:bCs/>
        </w:rPr>
      </w:pPr>
      <w:bookmarkStart w:id="35" w:name="_Toc988924"/>
      <w:r w:rsidRPr="005B5EC1">
        <w:rPr>
          <w:rFonts w:ascii="Times New Roman" w:hAnsi="Times New Roman" w:cs="Times New Roman"/>
          <w:b/>
          <w:bCs/>
        </w:rPr>
        <w:t>3</w:t>
      </w:r>
      <w:r w:rsidRPr="005B5EC1">
        <w:rPr>
          <w:rFonts w:ascii="Times New Roman" w:hAnsi="Times New Roman" w:cs="Times New Roman"/>
          <w:b/>
          <w:bCs/>
        </w:rPr>
        <w:t>、截至报告期末的资产权利受限情况</w:t>
      </w:r>
      <w:bookmarkEnd w:id="35"/>
    </w:p>
    <w:p w14:paraId="428C5FB1" w14:textId="16BF5910" w:rsidR="00AF139E" w:rsidRPr="005B5EC1" w:rsidRDefault="00000000" w:rsidP="002D722A">
      <w:pPr>
        <w:spacing w:after="0" w:line="276" w:lineRule="auto"/>
        <w:ind w:firstLineChars="200" w:firstLine="360"/>
        <w:divId w:val="1345741946"/>
        <w:rPr>
          <w:rFonts w:ascii="Times New Roman" w:eastAsia="宋体" w:hAnsi="Times New Roman" w:cs="Times New Roman"/>
          <w:sz w:val="18"/>
          <w:szCs w:val="18"/>
        </w:rPr>
      </w:pPr>
      <w:r w:rsidRPr="005B5EC1">
        <w:rPr>
          <w:rFonts w:ascii="Times New Roman" w:eastAsia="宋体" w:hAnsi="Times New Roman" w:cs="Times New Roman"/>
          <w:sz w:val="18"/>
          <w:szCs w:val="18"/>
        </w:rPr>
        <w:t>货币资金承兑汇票保证金及定期存单</w:t>
      </w:r>
      <w:r w:rsidRPr="005B5EC1">
        <w:rPr>
          <w:rFonts w:ascii="Times New Roman" w:eastAsia="宋体" w:hAnsi="Times New Roman" w:cs="Times New Roman"/>
          <w:sz w:val="18"/>
          <w:szCs w:val="18"/>
        </w:rPr>
        <w:t>34,339.79</w:t>
      </w:r>
      <w:r w:rsidRPr="005B5EC1">
        <w:rPr>
          <w:rFonts w:ascii="Times New Roman" w:eastAsia="宋体" w:hAnsi="Times New Roman" w:cs="Times New Roman"/>
          <w:sz w:val="18"/>
          <w:szCs w:val="18"/>
        </w:rPr>
        <w:t>万元，因使用受限，不作为现金及现金等价物。</w:t>
      </w:r>
    </w:p>
    <w:p w14:paraId="1E3FE0AB" w14:textId="77777777" w:rsidR="00AF139E" w:rsidRPr="005B5EC1" w:rsidRDefault="00000000" w:rsidP="002D722A">
      <w:pPr>
        <w:spacing w:after="0" w:line="276" w:lineRule="auto"/>
        <w:ind w:firstLineChars="200" w:firstLine="360"/>
        <w:divId w:val="1345741946"/>
        <w:rPr>
          <w:rFonts w:ascii="Times New Roman" w:eastAsia="宋体" w:hAnsi="Times New Roman" w:cs="Times New Roman"/>
          <w:sz w:val="18"/>
          <w:szCs w:val="18"/>
        </w:rPr>
      </w:pPr>
      <w:r w:rsidRPr="005B5EC1">
        <w:rPr>
          <w:rFonts w:ascii="Times New Roman" w:eastAsia="宋体" w:hAnsi="Times New Roman" w:cs="Times New Roman"/>
          <w:sz w:val="18"/>
          <w:szCs w:val="18"/>
        </w:rPr>
        <w:t>货币资金</w:t>
      </w:r>
      <w:r w:rsidRPr="005B5EC1">
        <w:rPr>
          <w:rFonts w:ascii="Times New Roman" w:eastAsia="宋体" w:hAnsi="Times New Roman" w:cs="Times New Roman"/>
          <w:sz w:val="18"/>
          <w:szCs w:val="18"/>
        </w:rPr>
        <w:t>865.46</w:t>
      </w:r>
      <w:r w:rsidRPr="005B5EC1">
        <w:rPr>
          <w:rFonts w:ascii="Times New Roman" w:eastAsia="宋体" w:hAnsi="Times New Roman" w:cs="Times New Roman"/>
          <w:sz w:val="18"/>
          <w:szCs w:val="18"/>
        </w:rPr>
        <w:t>万元，未决诉讼，使用受限。</w:t>
      </w:r>
    </w:p>
    <w:p w14:paraId="139AD205" w14:textId="77777777" w:rsidR="00AF139E" w:rsidRPr="005B5EC1" w:rsidRDefault="00000000" w:rsidP="002D722A">
      <w:pPr>
        <w:spacing w:after="0" w:line="276" w:lineRule="auto"/>
        <w:ind w:firstLineChars="200" w:firstLine="360"/>
        <w:divId w:val="1345741946"/>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w:t>
      </w:r>
      <w:r w:rsidRPr="005B5EC1">
        <w:rPr>
          <w:rFonts w:ascii="Times New Roman" w:eastAsia="宋体" w:hAnsi="Times New Roman" w:cs="Times New Roman"/>
          <w:sz w:val="18"/>
          <w:szCs w:val="18"/>
        </w:rPr>
        <w:t xml:space="preserve"> 45,477.38</w:t>
      </w:r>
      <w:r w:rsidRPr="005B5EC1">
        <w:rPr>
          <w:rFonts w:ascii="Times New Roman" w:eastAsia="宋体" w:hAnsi="Times New Roman" w:cs="Times New Roman"/>
          <w:sz w:val="18"/>
          <w:szCs w:val="18"/>
        </w:rPr>
        <w:t>万元，借款抵押，使用受限。</w:t>
      </w:r>
    </w:p>
    <w:p w14:paraId="3577D1C0" w14:textId="77777777" w:rsidR="00AF139E" w:rsidRPr="005B5EC1" w:rsidRDefault="00000000" w:rsidP="002D722A">
      <w:pPr>
        <w:spacing w:after="0" w:line="276" w:lineRule="auto"/>
        <w:ind w:firstLineChars="200" w:firstLine="360"/>
        <w:divId w:val="1345741946"/>
        <w:rPr>
          <w:rFonts w:ascii="Times New Roman" w:eastAsia="宋体" w:hAnsi="Times New Roman" w:cs="Times New Roman"/>
          <w:sz w:val="18"/>
          <w:szCs w:val="18"/>
        </w:rPr>
      </w:pPr>
      <w:r w:rsidRPr="005B5EC1">
        <w:rPr>
          <w:rFonts w:ascii="Times New Roman" w:eastAsia="宋体" w:hAnsi="Times New Roman" w:cs="Times New Roman"/>
          <w:sz w:val="18"/>
          <w:szCs w:val="18"/>
        </w:rPr>
        <w:t>在建工程</w:t>
      </w:r>
      <w:r w:rsidRPr="005B5EC1">
        <w:rPr>
          <w:rFonts w:ascii="Times New Roman" w:eastAsia="宋体" w:hAnsi="Times New Roman" w:cs="Times New Roman"/>
          <w:sz w:val="18"/>
          <w:szCs w:val="18"/>
        </w:rPr>
        <w:t>15,354.44</w:t>
      </w:r>
      <w:r w:rsidRPr="005B5EC1">
        <w:rPr>
          <w:rFonts w:ascii="Times New Roman" w:eastAsia="宋体" w:hAnsi="Times New Roman" w:cs="Times New Roman"/>
          <w:sz w:val="18"/>
          <w:szCs w:val="18"/>
        </w:rPr>
        <w:t>万元，借款抵押，使用受限。</w:t>
      </w:r>
    </w:p>
    <w:p w14:paraId="50B6749C" w14:textId="77777777" w:rsidR="00AF139E" w:rsidRPr="005B5EC1" w:rsidRDefault="00000000" w:rsidP="002D722A">
      <w:pPr>
        <w:spacing w:after="0" w:line="276" w:lineRule="auto"/>
        <w:ind w:firstLineChars="200" w:firstLine="360"/>
        <w:divId w:val="1345741946"/>
        <w:rPr>
          <w:rFonts w:ascii="Times New Roman" w:eastAsia="宋体" w:hAnsi="Times New Roman" w:cs="Times New Roman"/>
          <w:sz w:val="18"/>
          <w:szCs w:val="18"/>
        </w:rPr>
      </w:pPr>
      <w:r w:rsidRPr="005B5EC1">
        <w:rPr>
          <w:rFonts w:ascii="Times New Roman" w:eastAsia="宋体" w:hAnsi="Times New Roman" w:cs="Times New Roman"/>
          <w:sz w:val="18"/>
          <w:szCs w:val="18"/>
        </w:rPr>
        <w:t>无形资产</w:t>
      </w:r>
      <w:r w:rsidRPr="005B5EC1">
        <w:rPr>
          <w:rFonts w:ascii="Times New Roman" w:eastAsia="宋体" w:hAnsi="Times New Roman" w:cs="Times New Roman"/>
          <w:sz w:val="18"/>
          <w:szCs w:val="18"/>
        </w:rPr>
        <w:t>4,385.31</w:t>
      </w:r>
      <w:r w:rsidRPr="005B5EC1">
        <w:rPr>
          <w:rFonts w:ascii="Times New Roman" w:eastAsia="宋体" w:hAnsi="Times New Roman" w:cs="Times New Roman"/>
          <w:sz w:val="18"/>
          <w:szCs w:val="18"/>
        </w:rPr>
        <w:t>万元，借款抵押，使用受限。</w:t>
      </w:r>
    </w:p>
    <w:p w14:paraId="7A990D6B"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36" w:name="_Toc988925"/>
      <w:r w:rsidRPr="005B5EC1">
        <w:rPr>
          <w:rFonts w:ascii="Times New Roman" w:eastAsia="宋体" w:hAnsi="Times New Roman" w:cs="Times New Roman"/>
          <w:b/>
          <w:bCs/>
          <w:sz w:val="24"/>
          <w:szCs w:val="24"/>
        </w:rPr>
        <w:t>七、投资状况分析</w:t>
      </w:r>
      <w:bookmarkEnd w:id="36"/>
    </w:p>
    <w:p w14:paraId="5CA4B1AA" w14:textId="77777777" w:rsidR="00E32FE0" w:rsidRPr="005B5EC1" w:rsidRDefault="00000000">
      <w:pPr>
        <w:pStyle w:val="3"/>
        <w:spacing w:line="280" w:lineRule="exact"/>
        <w:jc w:val="left"/>
        <w:rPr>
          <w:rFonts w:ascii="Times New Roman" w:hAnsi="Times New Roman" w:cs="Times New Roman"/>
          <w:b/>
          <w:bCs/>
        </w:rPr>
      </w:pPr>
      <w:bookmarkStart w:id="37" w:name="_Toc988926"/>
      <w:r w:rsidRPr="005B5EC1">
        <w:rPr>
          <w:rFonts w:ascii="Times New Roman" w:hAnsi="Times New Roman" w:cs="Times New Roman"/>
          <w:b/>
          <w:bCs/>
        </w:rPr>
        <w:t>1</w:t>
      </w:r>
      <w:r w:rsidRPr="005B5EC1">
        <w:rPr>
          <w:rFonts w:ascii="Times New Roman" w:hAnsi="Times New Roman" w:cs="Times New Roman"/>
          <w:b/>
          <w:bCs/>
        </w:rPr>
        <w:t>、总体情况</w:t>
      </w:r>
      <w:bookmarkEnd w:id="37"/>
    </w:p>
    <w:p w14:paraId="3540B7F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EDEB6E8" w14:textId="77777777" w:rsidR="00E32FE0" w:rsidRPr="005B5EC1" w:rsidRDefault="00000000">
      <w:pPr>
        <w:pStyle w:val="3"/>
        <w:spacing w:line="280" w:lineRule="exact"/>
        <w:jc w:val="left"/>
        <w:rPr>
          <w:rFonts w:ascii="Times New Roman" w:hAnsi="Times New Roman" w:cs="Times New Roman"/>
          <w:b/>
          <w:bCs/>
        </w:rPr>
      </w:pPr>
      <w:bookmarkStart w:id="38" w:name="_Toc988927"/>
      <w:r w:rsidRPr="005B5EC1">
        <w:rPr>
          <w:rFonts w:ascii="Times New Roman" w:hAnsi="Times New Roman" w:cs="Times New Roman"/>
          <w:b/>
          <w:bCs/>
        </w:rPr>
        <w:t>2</w:t>
      </w:r>
      <w:r w:rsidRPr="005B5EC1">
        <w:rPr>
          <w:rFonts w:ascii="Times New Roman" w:hAnsi="Times New Roman" w:cs="Times New Roman"/>
          <w:b/>
          <w:bCs/>
        </w:rPr>
        <w:t>、报告期内获取的重大的股权投资情况</w:t>
      </w:r>
      <w:bookmarkEnd w:id="38"/>
    </w:p>
    <w:p w14:paraId="111BA7E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D04A5D9" w14:textId="77777777" w:rsidR="00E32FE0" w:rsidRPr="005B5EC1" w:rsidRDefault="00000000">
      <w:pPr>
        <w:pStyle w:val="3"/>
        <w:spacing w:line="280" w:lineRule="exact"/>
        <w:jc w:val="left"/>
        <w:rPr>
          <w:rFonts w:ascii="Times New Roman" w:hAnsi="Times New Roman" w:cs="Times New Roman"/>
          <w:b/>
          <w:bCs/>
        </w:rPr>
      </w:pPr>
      <w:bookmarkStart w:id="39" w:name="_Toc988928"/>
      <w:r w:rsidRPr="005B5EC1">
        <w:rPr>
          <w:rFonts w:ascii="Times New Roman" w:hAnsi="Times New Roman" w:cs="Times New Roman"/>
          <w:b/>
          <w:bCs/>
        </w:rPr>
        <w:lastRenderedPageBreak/>
        <w:t>3</w:t>
      </w:r>
      <w:r w:rsidRPr="005B5EC1">
        <w:rPr>
          <w:rFonts w:ascii="Times New Roman" w:hAnsi="Times New Roman" w:cs="Times New Roman"/>
          <w:b/>
          <w:bCs/>
        </w:rPr>
        <w:t>、报告期内正在进行的重大的非股权投资情况</w:t>
      </w:r>
      <w:bookmarkEnd w:id="39"/>
    </w:p>
    <w:p w14:paraId="665B75B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DC08988" w14:textId="77777777" w:rsidR="00E32FE0" w:rsidRPr="005B5EC1" w:rsidRDefault="00000000">
      <w:pPr>
        <w:pStyle w:val="3"/>
        <w:spacing w:line="280" w:lineRule="exact"/>
        <w:jc w:val="left"/>
        <w:rPr>
          <w:rFonts w:ascii="Times New Roman" w:hAnsi="Times New Roman" w:cs="Times New Roman"/>
          <w:b/>
          <w:bCs/>
        </w:rPr>
      </w:pPr>
      <w:bookmarkStart w:id="40" w:name="_Toc988929"/>
      <w:r w:rsidRPr="005B5EC1">
        <w:rPr>
          <w:rFonts w:ascii="Times New Roman" w:hAnsi="Times New Roman" w:cs="Times New Roman"/>
          <w:b/>
          <w:bCs/>
        </w:rPr>
        <w:t>4</w:t>
      </w:r>
      <w:r w:rsidRPr="005B5EC1">
        <w:rPr>
          <w:rFonts w:ascii="Times New Roman" w:hAnsi="Times New Roman" w:cs="Times New Roman"/>
          <w:b/>
          <w:bCs/>
        </w:rPr>
        <w:t>、金融资产投资</w:t>
      </w:r>
      <w:bookmarkEnd w:id="40"/>
    </w:p>
    <w:p w14:paraId="3E69174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1" w:name="_Toc988930"/>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证券投资情况</w:t>
      </w:r>
      <w:bookmarkEnd w:id="41"/>
    </w:p>
    <w:p w14:paraId="60ADBAD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3E63DC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公司报告期不存在证券投资。</w:t>
      </w:r>
    </w:p>
    <w:p w14:paraId="32DCA315"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2" w:name="_Toc988931"/>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衍生品投资情况</w:t>
      </w:r>
      <w:bookmarkEnd w:id="42"/>
    </w:p>
    <w:p w14:paraId="5569216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D33AF9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公司报告期不存在衍生品投资。</w:t>
      </w:r>
    </w:p>
    <w:p w14:paraId="02E4ADD2" w14:textId="77777777" w:rsidR="00E32FE0" w:rsidRPr="005B5EC1" w:rsidRDefault="00000000">
      <w:pPr>
        <w:pStyle w:val="3"/>
        <w:spacing w:line="280" w:lineRule="exact"/>
        <w:jc w:val="left"/>
        <w:rPr>
          <w:rFonts w:ascii="Times New Roman" w:hAnsi="Times New Roman" w:cs="Times New Roman"/>
          <w:b/>
          <w:bCs/>
        </w:rPr>
      </w:pPr>
      <w:bookmarkStart w:id="43" w:name="_Toc988932"/>
      <w:r w:rsidRPr="005B5EC1">
        <w:rPr>
          <w:rFonts w:ascii="Times New Roman" w:hAnsi="Times New Roman" w:cs="Times New Roman"/>
          <w:b/>
          <w:bCs/>
        </w:rPr>
        <w:t>5</w:t>
      </w:r>
      <w:r w:rsidRPr="005B5EC1">
        <w:rPr>
          <w:rFonts w:ascii="Times New Roman" w:hAnsi="Times New Roman" w:cs="Times New Roman"/>
          <w:b/>
          <w:bCs/>
        </w:rPr>
        <w:t>、募集资金使用情况</w:t>
      </w:r>
      <w:bookmarkEnd w:id="43"/>
    </w:p>
    <w:p w14:paraId="19ED02F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3497A7F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4" w:name="_Toc988933"/>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募集资金总体使用情况</w:t>
      </w:r>
      <w:bookmarkEnd w:id="44"/>
    </w:p>
    <w:p w14:paraId="3914286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555E66DC"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单位：万元</w:t>
      </w:r>
    </w:p>
    <w:tbl>
      <w:tblPr>
        <w:tblW w:w="10490" w:type="dxa"/>
        <w:tblInd w:w="-22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710"/>
        <w:gridCol w:w="850"/>
        <w:gridCol w:w="709"/>
        <w:gridCol w:w="709"/>
        <w:gridCol w:w="850"/>
        <w:gridCol w:w="709"/>
        <w:gridCol w:w="850"/>
        <w:gridCol w:w="709"/>
        <w:gridCol w:w="567"/>
        <w:gridCol w:w="559"/>
        <w:gridCol w:w="688"/>
        <w:gridCol w:w="879"/>
        <w:gridCol w:w="1134"/>
        <w:gridCol w:w="567"/>
      </w:tblGrid>
      <w:tr w:rsidR="002D722A" w:rsidRPr="005B5EC1" w14:paraId="0E98B946" w14:textId="77777777" w:rsidTr="002D722A">
        <w:trPr>
          <w:trHeight w:val="240"/>
        </w:trPr>
        <w:tc>
          <w:tcPr>
            <w:tcW w:w="710" w:type="dxa"/>
            <w:tcBorders>
              <w:top w:val="single" w:sz="2" w:space="0" w:color="auto"/>
              <w:left w:val="single" w:sz="2" w:space="0" w:color="auto"/>
              <w:bottom w:val="single" w:sz="2" w:space="0" w:color="auto"/>
              <w:right w:val="single" w:sz="2" w:space="0" w:color="auto"/>
            </w:tcBorders>
            <w:shd w:val="clear" w:color="auto" w:fill="D3D3D3"/>
            <w:vAlign w:val="center"/>
          </w:tcPr>
          <w:p w14:paraId="219CDA4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募集年份</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96F36F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募集方式</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5A9C01F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证券上市日期</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E04139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募集资金总额</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D7107F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募集资金净额（</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44B3C5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本期已使用募集资金总额</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7557871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已累计使用募集资金总额（</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9E645E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报告期末募集资金使用比例（</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5213E8B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报告期内变更用途的募集资金总额</w:t>
            </w:r>
          </w:p>
        </w:tc>
        <w:tc>
          <w:tcPr>
            <w:tcW w:w="559" w:type="dxa"/>
            <w:tcBorders>
              <w:top w:val="single" w:sz="2" w:space="0" w:color="auto"/>
              <w:left w:val="single" w:sz="2" w:space="0" w:color="auto"/>
              <w:bottom w:val="single" w:sz="2" w:space="0" w:color="auto"/>
              <w:right w:val="single" w:sz="2" w:space="0" w:color="auto"/>
            </w:tcBorders>
            <w:shd w:val="clear" w:color="auto" w:fill="D3D3D3"/>
            <w:vAlign w:val="center"/>
          </w:tcPr>
          <w:p w14:paraId="60D3606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累计变更用途的募集资金总额</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14:paraId="2825A0B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累计变更用途的募集资金总额比例</w:t>
            </w:r>
          </w:p>
        </w:tc>
        <w:tc>
          <w:tcPr>
            <w:tcW w:w="879" w:type="dxa"/>
            <w:tcBorders>
              <w:top w:val="single" w:sz="2" w:space="0" w:color="auto"/>
              <w:left w:val="single" w:sz="2" w:space="0" w:color="auto"/>
              <w:bottom w:val="single" w:sz="2" w:space="0" w:color="auto"/>
              <w:right w:val="single" w:sz="2" w:space="0" w:color="auto"/>
            </w:tcBorders>
            <w:shd w:val="clear" w:color="auto" w:fill="D3D3D3"/>
            <w:vAlign w:val="center"/>
          </w:tcPr>
          <w:p w14:paraId="4694464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尚未使用募集资金总额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15906E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尚未使用募集资金用途及去向</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0F6AC87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闲置两年以上募集资金金额</w:t>
            </w:r>
          </w:p>
        </w:tc>
      </w:tr>
      <w:tr w:rsidR="00E32FE0" w:rsidRPr="005B5EC1" w14:paraId="02B7CDC1" w14:textId="77777777" w:rsidTr="002D722A">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14086F9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p>
        </w:tc>
        <w:tc>
          <w:tcPr>
            <w:tcW w:w="850" w:type="dxa"/>
            <w:tcBorders>
              <w:top w:val="single" w:sz="2" w:space="0" w:color="auto"/>
              <w:left w:val="single" w:sz="2" w:space="0" w:color="auto"/>
              <w:bottom w:val="single" w:sz="2" w:space="0" w:color="auto"/>
              <w:right w:val="single" w:sz="2" w:space="0" w:color="auto"/>
            </w:tcBorders>
            <w:vAlign w:val="center"/>
          </w:tcPr>
          <w:p w14:paraId="22AD16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公开发行可转换公司债券</w:t>
            </w:r>
          </w:p>
        </w:tc>
        <w:tc>
          <w:tcPr>
            <w:tcW w:w="709" w:type="dxa"/>
            <w:tcBorders>
              <w:top w:val="single" w:sz="2" w:space="0" w:color="auto"/>
              <w:left w:val="single" w:sz="2" w:space="0" w:color="auto"/>
              <w:bottom w:val="single" w:sz="2" w:space="0" w:color="auto"/>
              <w:right w:val="single" w:sz="2" w:space="0" w:color="auto"/>
            </w:tcBorders>
            <w:vAlign w:val="center"/>
          </w:tcPr>
          <w:p w14:paraId="653C33E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1A0E3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95,000</w:t>
            </w:r>
          </w:p>
        </w:tc>
        <w:tc>
          <w:tcPr>
            <w:tcW w:w="850" w:type="dxa"/>
            <w:tcBorders>
              <w:top w:val="single" w:sz="2" w:space="0" w:color="auto"/>
              <w:left w:val="single" w:sz="2" w:space="0" w:color="auto"/>
              <w:bottom w:val="single" w:sz="2" w:space="0" w:color="auto"/>
              <w:right w:val="single" w:sz="2" w:space="0" w:color="auto"/>
            </w:tcBorders>
            <w:vAlign w:val="center"/>
          </w:tcPr>
          <w:p w14:paraId="243C5F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93,494.3</w:t>
            </w:r>
          </w:p>
        </w:tc>
        <w:tc>
          <w:tcPr>
            <w:tcW w:w="709" w:type="dxa"/>
            <w:tcBorders>
              <w:top w:val="single" w:sz="2" w:space="0" w:color="auto"/>
              <w:left w:val="single" w:sz="2" w:space="0" w:color="auto"/>
              <w:bottom w:val="single" w:sz="2" w:space="0" w:color="auto"/>
              <w:right w:val="single" w:sz="2" w:space="0" w:color="auto"/>
            </w:tcBorders>
            <w:vAlign w:val="center"/>
          </w:tcPr>
          <w:p w14:paraId="3B3063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1,635.34</w:t>
            </w:r>
          </w:p>
        </w:tc>
        <w:tc>
          <w:tcPr>
            <w:tcW w:w="850" w:type="dxa"/>
            <w:tcBorders>
              <w:top w:val="single" w:sz="2" w:space="0" w:color="auto"/>
              <w:left w:val="single" w:sz="2" w:space="0" w:color="auto"/>
              <w:bottom w:val="single" w:sz="2" w:space="0" w:color="auto"/>
              <w:right w:val="single" w:sz="2" w:space="0" w:color="auto"/>
            </w:tcBorders>
            <w:vAlign w:val="center"/>
          </w:tcPr>
          <w:p w14:paraId="4A6E4FD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57,687.71</w:t>
            </w:r>
          </w:p>
        </w:tc>
        <w:tc>
          <w:tcPr>
            <w:tcW w:w="709" w:type="dxa"/>
            <w:tcBorders>
              <w:top w:val="single" w:sz="2" w:space="0" w:color="auto"/>
              <w:left w:val="single" w:sz="2" w:space="0" w:color="auto"/>
              <w:bottom w:val="single" w:sz="2" w:space="0" w:color="auto"/>
              <w:right w:val="single" w:sz="2" w:space="0" w:color="auto"/>
            </w:tcBorders>
            <w:vAlign w:val="center"/>
          </w:tcPr>
          <w:p w14:paraId="04F944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61.70%</w:t>
            </w:r>
          </w:p>
        </w:tc>
        <w:tc>
          <w:tcPr>
            <w:tcW w:w="567" w:type="dxa"/>
            <w:tcBorders>
              <w:top w:val="single" w:sz="2" w:space="0" w:color="auto"/>
              <w:left w:val="single" w:sz="2" w:space="0" w:color="auto"/>
              <w:bottom w:val="single" w:sz="2" w:space="0" w:color="auto"/>
              <w:right w:val="single" w:sz="2" w:space="0" w:color="auto"/>
            </w:tcBorders>
            <w:vAlign w:val="center"/>
          </w:tcPr>
          <w:p w14:paraId="69C667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559" w:type="dxa"/>
            <w:tcBorders>
              <w:top w:val="single" w:sz="2" w:space="0" w:color="auto"/>
              <w:left w:val="single" w:sz="2" w:space="0" w:color="auto"/>
              <w:bottom w:val="single" w:sz="2" w:space="0" w:color="auto"/>
              <w:right w:val="single" w:sz="2" w:space="0" w:color="auto"/>
            </w:tcBorders>
            <w:vAlign w:val="center"/>
          </w:tcPr>
          <w:p w14:paraId="7B73E0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688" w:type="dxa"/>
            <w:tcBorders>
              <w:top w:val="single" w:sz="2" w:space="0" w:color="auto"/>
              <w:left w:val="single" w:sz="2" w:space="0" w:color="auto"/>
              <w:bottom w:val="single" w:sz="2" w:space="0" w:color="auto"/>
              <w:right w:val="single" w:sz="2" w:space="0" w:color="auto"/>
            </w:tcBorders>
            <w:vAlign w:val="center"/>
          </w:tcPr>
          <w:p w14:paraId="277028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879" w:type="dxa"/>
            <w:tcBorders>
              <w:top w:val="single" w:sz="2" w:space="0" w:color="auto"/>
              <w:left w:val="single" w:sz="2" w:space="0" w:color="auto"/>
              <w:bottom w:val="single" w:sz="2" w:space="0" w:color="auto"/>
              <w:right w:val="single" w:sz="2" w:space="0" w:color="auto"/>
            </w:tcBorders>
            <w:vAlign w:val="center"/>
          </w:tcPr>
          <w:p w14:paraId="14D97F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38,574.86</w:t>
            </w:r>
          </w:p>
        </w:tc>
        <w:tc>
          <w:tcPr>
            <w:tcW w:w="1134" w:type="dxa"/>
            <w:tcBorders>
              <w:top w:val="single" w:sz="2" w:space="0" w:color="auto"/>
              <w:left w:val="single" w:sz="2" w:space="0" w:color="auto"/>
              <w:bottom w:val="single" w:sz="2" w:space="0" w:color="auto"/>
              <w:right w:val="single" w:sz="2" w:space="0" w:color="auto"/>
            </w:tcBorders>
            <w:vAlign w:val="center"/>
          </w:tcPr>
          <w:p w14:paraId="770ECB2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）暂时补充流动资金</w:t>
            </w:r>
            <w:r w:rsidRPr="005B5EC1">
              <w:rPr>
                <w:rFonts w:ascii="Times New Roman" w:eastAsia="宋体" w:hAnsi="Times New Roman" w:cs="Times New Roman"/>
                <w:sz w:val="18"/>
                <w:szCs w:val="18"/>
              </w:rPr>
              <w:t>38,530.00</w:t>
            </w:r>
            <w:r w:rsidRPr="005B5EC1">
              <w:rPr>
                <w:rFonts w:ascii="Times New Roman" w:eastAsia="宋体" w:hAnsi="Times New Roman" w:cs="Times New Roman"/>
                <w:sz w:val="18"/>
                <w:szCs w:val="18"/>
              </w:rPr>
              <w:t>万元；</w:t>
            </w:r>
          </w:p>
          <w:p w14:paraId="0D942EE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）其余未使用的募集资金人民币</w:t>
            </w:r>
            <w:r w:rsidRPr="005B5EC1">
              <w:rPr>
                <w:rFonts w:ascii="Times New Roman" w:eastAsia="宋体" w:hAnsi="Times New Roman" w:cs="Times New Roman"/>
                <w:sz w:val="18"/>
                <w:szCs w:val="18"/>
              </w:rPr>
              <w:t>44.86</w:t>
            </w:r>
            <w:r w:rsidRPr="005B5EC1">
              <w:rPr>
                <w:rFonts w:ascii="Times New Roman" w:eastAsia="宋体" w:hAnsi="Times New Roman" w:cs="Times New Roman"/>
                <w:sz w:val="18"/>
                <w:szCs w:val="18"/>
              </w:rPr>
              <w:t>万元存放于募集资金专用账户。</w:t>
            </w:r>
          </w:p>
        </w:tc>
        <w:tc>
          <w:tcPr>
            <w:tcW w:w="567" w:type="dxa"/>
            <w:tcBorders>
              <w:top w:val="single" w:sz="2" w:space="0" w:color="auto"/>
              <w:left w:val="single" w:sz="2" w:space="0" w:color="auto"/>
              <w:bottom w:val="single" w:sz="2" w:space="0" w:color="auto"/>
              <w:right w:val="single" w:sz="2" w:space="0" w:color="auto"/>
            </w:tcBorders>
            <w:vAlign w:val="center"/>
          </w:tcPr>
          <w:p w14:paraId="08D8DD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750CF58E" w14:textId="77777777" w:rsidTr="002D722A">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605D17B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p>
        </w:tc>
        <w:tc>
          <w:tcPr>
            <w:tcW w:w="850" w:type="dxa"/>
            <w:tcBorders>
              <w:top w:val="single" w:sz="2" w:space="0" w:color="auto"/>
              <w:left w:val="single" w:sz="2" w:space="0" w:color="auto"/>
              <w:bottom w:val="single" w:sz="2" w:space="0" w:color="auto"/>
              <w:right w:val="single" w:sz="2" w:space="0" w:color="auto"/>
            </w:tcBorders>
            <w:vAlign w:val="center"/>
          </w:tcPr>
          <w:p w14:paraId="6E62AC1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向特定对象发行股票</w:t>
            </w:r>
          </w:p>
        </w:tc>
        <w:tc>
          <w:tcPr>
            <w:tcW w:w="709" w:type="dxa"/>
            <w:tcBorders>
              <w:top w:val="single" w:sz="2" w:space="0" w:color="auto"/>
              <w:left w:val="single" w:sz="2" w:space="0" w:color="auto"/>
              <w:bottom w:val="single" w:sz="2" w:space="0" w:color="auto"/>
              <w:right w:val="single" w:sz="2" w:space="0" w:color="auto"/>
            </w:tcBorders>
            <w:vAlign w:val="center"/>
          </w:tcPr>
          <w:p w14:paraId="5A7076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78864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62,040</w:t>
            </w:r>
          </w:p>
        </w:tc>
        <w:tc>
          <w:tcPr>
            <w:tcW w:w="850" w:type="dxa"/>
            <w:tcBorders>
              <w:top w:val="single" w:sz="2" w:space="0" w:color="auto"/>
              <w:left w:val="single" w:sz="2" w:space="0" w:color="auto"/>
              <w:bottom w:val="single" w:sz="2" w:space="0" w:color="auto"/>
              <w:right w:val="single" w:sz="2" w:space="0" w:color="auto"/>
            </w:tcBorders>
            <w:vAlign w:val="center"/>
          </w:tcPr>
          <w:p w14:paraId="368106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61,020.96</w:t>
            </w:r>
          </w:p>
        </w:tc>
        <w:tc>
          <w:tcPr>
            <w:tcW w:w="709" w:type="dxa"/>
            <w:tcBorders>
              <w:top w:val="single" w:sz="2" w:space="0" w:color="auto"/>
              <w:left w:val="single" w:sz="2" w:space="0" w:color="auto"/>
              <w:bottom w:val="single" w:sz="2" w:space="0" w:color="auto"/>
              <w:right w:val="single" w:sz="2" w:space="0" w:color="auto"/>
            </w:tcBorders>
            <w:vAlign w:val="center"/>
          </w:tcPr>
          <w:p w14:paraId="0EF5A8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1,488.31</w:t>
            </w:r>
          </w:p>
        </w:tc>
        <w:tc>
          <w:tcPr>
            <w:tcW w:w="850" w:type="dxa"/>
            <w:tcBorders>
              <w:top w:val="single" w:sz="2" w:space="0" w:color="auto"/>
              <w:left w:val="single" w:sz="2" w:space="0" w:color="auto"/>
              <w:bottom w:val="single" w:sz="2" w:space="0" w:color="auto"/>
              <w:right w:val="single" w:sz="2" w:space="0" w:color="auto"/>
            </w:tcBorders>
            <w:vAlign w:val="center"/>
          </w:tcPr>
          <w:p w14:paraId="014163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51,817.1</w:t>
            </w:r>
          </w:p>
        </w:tc>
        <w:tc>
          <w:tcPr>
            <w:tcW w:w="709" w:type="dxa"/>
            <w:tcBorders>
              <w:top w:val="single" w:sz="2" w:space="0" w:color="auto"/>
              <w:left w:val="single" w:sz="2" w:space="0" w:color="auto"/>
              <w:bottom w:val="single" w:sz="2" w:space="0" w:color="auto"/>
              <w:right w:val="single" w:sz="2" w:space="0" w:color="auto"/>
            </w:tcBorders>
            <w:vAlign w:val="center"/>
          </w:tcPr>
          <w:p w14:paraId="448FEBF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84.92%</w:t>
            </w:r>
          </w:p>
        </w:tc>
        <w:tc>
          <w:tcPr>
            <w:tcW w:w="567" w:type="dxa"/>
            <w:tcBorders>
              <w:top w:val="single" w:sz="2" w:space="0" w:color="auto"/>
              <w:left w:val="single" w:sz="2" w:space="0" w:color="auto"/>
              <w:bottom w:val="single" w:sz="2" w:space="0" w:color="auto"/>
              <w:right w:val="single" w:sz="2" w:space="0" w:color="auto"/>
            </w:tcBorders>
            <w:vAlign w:val="center"/>
          </w:tcPr>
          <w:p w14:paraId="605D4D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559" w:type="dxa"/>
            <w:tcBorders>
              <w:top w:val="single" w:sz="2" w:space="0" w:color="auto"/>
              <w:left w:val="single" w:sz="2" w:space="0" w:color="auto"/>
              <w:bottom w:val="single" w:sz="2" w:space="0" w:color="auto"/>
              <w:right w:val="single" w:sz="2" w:space="0" w:color="auto"/>
            </w:tcBorders>
            <w:vAlign w:val="center"/>
          </w:tcPr>
          <w:p w14:paraId="7668D3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688" w:type="dxa"/>
            <w:tcBorders>
              <w:top w:val="single" w:sz="2" w:space="0" w:color="auto"/>
              <w:left w:val="single" w:sz="2" w:space="0" w:color="auto"/>
              <w:bottom w:val="single" w:sz="2" w:space="0" w:color="auto"/>
              <w:right w:val="single" w:sz="2" w:space="0" w:color="auto"/>
            </w:tcBorders>
            <w:vAlign w:val="center"/>
          </w:tcPr>
          <w:p w14:paraId="2E88E9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879" w:type="dxa"/>
            <w:tcBorders>
              <w:top w:val="single" w:sz="2" w:space="0" w:color="auto"/>
              <w:left w:val="single" w:sz="2" w:space="0" w:color="auto"/>
              <w:bottom w:val="single" w:sz="2" w:space="0" w:color="auto"/>
              <w:right w:val="single" w:sz="2" w:space="0" w:color="auto"/>
            </w:tcBorders>
            <w:vAlign w:val="center"/>
          </w:tcPr>
          <w:p w14:paraId="557FD5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9,276.15</w:t>
            </w:r>
          </w:p>
        </w:tc>
        <w:tc>
          <w:tcPr>
            <w:tcW w:w="1134" w:type="dxa"/>
            <w:tcBorders>
              <w:top w:val="single" w:sz="2" w:space="0" w:color="auto"/>
              <w:left w:val="single" w:sz="2" w:space="0" w:color="auto"/>
              <w:bottom w:val="single" w:sz="2" w:space="0" w:color="auto"/>
              <w:right w:val="single" w:sz="2" w:space="0" w:color="auto"/>
            </w:tcBorders>
            <w:vAlign w:val="center"/>
          </w:tcPr>
          <w:p w14:paraId="2434BE9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）暂时补充流动资金</w:t>
            </w:r>
            <w:r w:rsidRPr="005B5EC1">
              <w:rPr>
                <w:rFonts w:ascii="Times New Roman" w:eastAsia="宋体" w:hAnsi="Times New Roman" w:cs="Times New Roman"/>
                <w:sz w:val="18"/>
                <w:szCs w:val="18"/>
              </w:rPr>
              <w:t>9,183.68</w:t>
            </w:r>
            <w:r w:rsidRPr="005B5EC1">
              <w:rPr>
                <w:rFonts w:ascii="Times New Roman" w:eastAsia="宋体" w:hAnsi="Times New Roman" w:cs="Times New Roman"/>
                <w:sz w:val="18"/>
                <w:szCs w:val="18"/>
              </w:rPr>
              <w:t>万元；</w:t>
            </w:r>
          </w:p>
          <w:p w14:paraId="167F720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）其余未使用的募集资金人民币</w:t>
            </w:r>
            <w:r w:rsidRPr="005B5EC1">
              <w:rPr>
                <w:rFonts w:ascii="Times New Roman" w:eastAsia="宋体" w:hAnsi="Times New Roman" w:cs="Times New Roman"/>
                <w:sz w:val="18"/>
                <w:szCs w:val="18"/>
              </w:rPr>
              <w:t>92.47</w:t>
            </w:r>
            <w:r w:rsidRPr="005B5EC1">
              <w:rPr>
                <w:rFonts w:ascii="Times New Roman" w:eastAsia="宋体" w:hAnsi="Times New Roman" w:cs="Times New Roman"/>
                <w:sz w:val="18"/>
                <w:szCs w:val="18"/>
              </w:rPr>
              <w:t>万元存放于募集资金专用账户。</w:t>
            </w:r>
          </w:p>
        </w:tc>
        <w:tc>
          <w:tcPr>
            <w:tcW w:w="567" w:type="dxa"/>
            <w:tcBorders>
              <w:top w:val="single" w:sz="2" w:space="0" w:color="auto"/>
              <w:left w:val="single" w:sz="2" w:space="0" w:color="auto"/>
              <w:bottom w:val="single" w:sz="2" w:space="0" w:color="auto"/>
              <w:right w:val="single" w:sz="2" w:space="0" w:color="auto"/>
            </w:tcBorders>
            <w:vAlign w:val="center"/>
          </w:tcPr>
          <w:p w14:paraId="324751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02958039" w14:textId="77777777" w:rsidTr="002D722A">
        <w:trPr>
          <w:trHeight w:val="240"/>
        </w:trPr>
        <w:tc>
          <w:tcPr>
            <w:tcW w:w="710" w:type="dxa"/>
            <w:tcBorders>
              <w:top w:val="single" w:sz="2" w:space="0" w:color="auto"/>
              <w:left w:val="single" w:sz="2" w:space="0" w:color="auto"/>
              <w:bottom w:val="single" w:sz="2" w:space="0" w:color="auto"/>
              <w:right w:val="single" w:sz="2" w:space="0" w:color="auto"/>
            </w:tcBorders>
            <w:shd w:val="clear" w:color="auto" w:fill="D3D3D3"/>
            <w:vAlign w:val="center"/>
          </w:tcPr>
          <w:p w14:paraId="0D3532B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4CE645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8F9CFB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62A30B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157,040</w:t>
            </w:r>
          </w:p>
        </w:tc>
        <w:tc>
          <w:tcPr>
            <w:tcW w:w="850" w:type="dxa"/>
            <w:tcBorders>
              <w:top w:val="single" w:sz="2" w:space="0" w:color="auto"/>
              <w:left w:val="single" w:sz="2" w:space="0" w:color="auto"/>
              <w:bottom w:val="single" w:sz="2" w:space="0" w:color="auto"/>
              <w:right w:val="single" w:sz="2" w:space="0" w:color="auto"/>
            </w:tcBorders>
            <w:vAlign w:val="center"/>
          </w:tcPr>
          <w:p w14:paraId="2405D3C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154,515.26</w:t>
            </w:r>
          </w:p>
        </w:tc>
        <w:tc>
          <w:tcPr>
            <w:tcW w:w="709" w:type="dxa"/>
            <w:tcBorders>
              <w:top w:val="single" w:sz="2" w:space="0" w:color="auto"/>
              <w:left w:val="single" w:sz="2" w:space="0" w:color="auto"/>
              <w:bottom w:val="single" w:sz="2" w:space="0" w:color="auto"/>
              <w:right w:val="single" w:sz="2" w:space="0" w:color="auto"/>
            </w:tcBorders>
            <w:vAlign w:val="center"/>
          </w:tcPr>
          <w:p w14:paraId="0E9996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3,123.65</w:t>
            </w:r>
          </w:p>
        </w:tc>
        <w:tc>
          <w:tcPr>
            <w:tcW w:w="850" w:type="dxa"/>
            <w:tcBorders>
              <w:top w:val="single" w:sz="2" w:space="0" w:color="auto"/>
              <w:left w:val="single" w:sz="2" w:space="0" w:color="auto"/>
              <w:bottom w:val="single" w:sz="2" w:space="0" w:color="auto"/>
              <w:right w:val="single" w:sz="2" w:space="0" w:color="auto"/>
            </w:tcBorders>
            <w:vAlign w:val="center"/>
          </w:tcPr>
          <w:p w14:paraId="3533D6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109,504.81</w:t>
            </w:r>
          </w:p>
        </w:tc>
        <w:tc>
          <w:tcPr>
            <w:tcW w:w="709" w:type="dxa"/>
            <w:tcBorders>
              <w:top w:val="single" w:sz="2" w:space="0" w:color="auto"/>
              <w:left w:val="single" w:sz="2" w:space="0" w:color="auto"/>
              <w:bottom w:val="single" w:sz="2" w:space="0" w:color="auto"/>
              <w:right w:val="single" w:sz="2" w:space="0" w:color="auto"/>
            </w:tcBorders>
            <w:vAlign w:val="center"/>
          </w:tcPr>
          <w:p w14:paraId="20B537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70.87%</w:t>
            </w:r>
          </w:p>
        </w:tc>
        <w:tc>
          <w:tcPr>
            <w:tcW w:w="567" w:type="dxa"/>
            <w:tcBorders>
              <w:top w:val="single" w:sz="2" w:space="0" w:color="auto"/>
              <w:left w:val="single" w:sz="2" w:space="0" w:color="auto"/>
              <w:bottom w:val="single" w:sz="2" w:space="0" w:color="auto"/>
              <w:right w:val="single" w:sz="2" w:space="0" w:color="auto"/>
            </w:tcBorders>
            <w:vAlign w:val="center"/>
          </w:tcPr>
          <w:p w14:paraId="63252D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559" w:type="dxa"/>
            <w:tcBorders>
              <w:top w:val="single" w:sz="2" w:space="0" w:color="auto"/>
              <w:left w:val="single" w:sz="2" w:space="0" w:color="auto"/>
              <w:bottom w:val="single" w:sz="2" w:space="0" w:color="auto"/>
              <w:right w:val="single" w:sz="2" w:space="0" w:color="auto"/>
            </w:tcBorders>
            <w:vAlign w:val="center"/>
          </w:tcPr>
          <w:p w14:paraId="24402F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688" w:type="dxa"/>
            <w:tcBorders>
              <w:top w:val="single" w:sz="2" w:space="0" w:color="auto"/>
              <w:left w:val="single" w:sz="2" w:space="0" w:color="auto"/>
              <w:bottom w:val="single" w:sz="2" w:space="0" w:color="auto"/>
              <w:right w:val="single" w:sz="2" w:space="0" w:color="auto"/>
            </w:tcBorders>
            <w:vAlign w:val="center"/>
          </w:tcPr>
          <w:p w14:paraId="4D5A52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879" w:type="dxa"/>
            <w:tcBorders>
              <w:top w:val="single" w:sz="2" w:space="0" w:color="auto"/>
              <w:left w:val="single" w:sz="2" w:space="0" w:color="auto"/>
              <w:bottom w:val="single" w:sz="2" w:space="0" w:color="auto"/>
              <w:right w:val="single" w:sz="2" w:space="0" w:color="auto"/>
            </w:tcBorders>
            <w:vAlign w:val="center"/>
          </w:tcPr>
          <w:p w14:paraId="1D2A41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47,851.01</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930FAA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vAlign w:val="center"/>
          </w:tcPr>
          <w:p w14:paraId="670D41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011474EA" w14:textId="77777777" w:rsidTr="002D722A">
        <w:trPr>
          <w:trHeight w:val="240"/>
        </w:trPr>
        <w:tc>
          <w:tcPr>
            <w:tcW w:w="10490" w:type="dxa"/>
            <w:gridSpan w:val="14"/>
            <w:tcBorders>
              <w:top w:val="single" w:sz="2" w:space="0" w:color="auto"/>
              <w:left w:val="single" w:sz="2" w:space="0" w:color="auto"/>
              <w:bottom w:val="single" w:sz="2" w:space="0" w:color="auto"/>
              <w:right w:val="single" w:sz="2" w:space="0" w:color="auto"/>
            </w:tcBorders>
            <w:shd w:val="clear" w:color="auto" w:fill="D3D3D3"/>
            <w:vAlign w:val="center"/>
          </w:tcPr>
          <w:p w14:paraId="3C64C63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募集资金总体使用情况说明</w:t>
            </w:r>
          </w:p>
        </w:tc>
      </w:tr>
      <w:tr w:rsidR="00E32FE0" w:rsidRPr="005B5EC1" w14:paraId="11CEA884" w14:textId="77777777" w:rsidTr="002D722A">
        <w:trPr>
          <w:trHeight w:val="240"/>
        </w:trPr>
        <w:tc>
          <w:tcPr>
            <w:tcW w:w="10490" w:type="dxa"/>
            <w:gridSpan w:val="14"/>
            <w:tcBorders>
              <w:top w:val="single" w:sz="2" w:space="0" w:color="auto"/>
              <w:left w:val="single" w:sz="2" w:space="0" w:color="auto"/>
              <w:bottom w:val="single" w:sz="2" w:space="0" w:color="auto"/>
              <w:right w:val="single" w:sz="2" w:space="0" w:color="auto"/>
            </w:tcBorders>
            <w:vAlign w:val="center"/>
          </w:tcPr>
          <w:p w14:paraId="08D5EC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详见</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第三节，七、</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，募集资金承诺项目情况</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以及公司同日披露于指定信息披露媒体巨潮资讯网（</w:t>
            </w:r>
            <w:r w:rsidRPr="005B5EC1">
              <w:rPr>
                <w:rFonts w:ascii="Times New Roman" w:eastAsia="宋体" w:hAnsi="Times New Roman" w:cs="Times New Roman"/>
                <w:sz w:val="18"/>
                <w:szCs w:val="18"/>
              </w:rPr>
              <w:t>http://www.cninfo.com.cn</w:t>
            </w:r>
            <w:r w:rsidRPr="005B5EC1">
              <w:rPr>
                <w:rFonts w:ascii="Times New Roman" w:eastAsia="宋体" w:hAnsi="Times New Roman" w:cs="Times New Roman"/>
                <w:sz w:val="18"/>
                <w:szCs w:val="18"/>
              </w:rPr>
              <w:t>）的《山东龙大美食股份有限公司关于募集资金年度存放与实际使用情况的专项报告》。</w:t>
            </w:r>
          </w:p>
        </w:tc>
      </w:tr>
    </w:tbl>
    <w:p w14:paraId="4023887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5" w:name="_Toc988934"/>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募集资金承诺项目情况</w:t>
      </w:r>
      <w:bookmarkEnd w:id="45"/>
    </w:p>
    <w:p w14:paraId="2E37EBE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3261DFD3"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单位：万元</w:t>
      </w:r>
    </w:p>
    <w:tbl>
      <w:tblPr>
        <w:tblW w:w="10490" w:type="dxa"/>
        <w:tblInd w:w="-28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031"/>
        <w:gridCol w:w="642"/>
        <w:gridCol w:w="642"/>
        <w:gridCol w:w="521"/>
        <w:gridCol w:w="425"/>
        <w:gridCol w:w="709"/>
        <w:gridCol w:w="914"/>
        <w:gridCol w:w="643"/>
        <w:gridCol w:w="853"/>
        <w:gridCol w:w="708"/>
        <w:gridCol w:w="709"/>
        <w:gridCol w:w="709"/>
        <w:gridCol w:w="567"/>
        <w:gridCol w:w="850"/>
        <w:gridCol w:w="567"/>
      </w:tblGrid>
      <w:tr w:rsidR="002D722A" w:rsidRPr="005B5EC1" w14:paraId="21548243" w14:textId="77777777" w:rsidTr="002D722A">
        <w:trPr>
          <w:trHeight w:val="240"/>
        </w:trPr>
        <w:tc>
          <w:tcPr>
            <w:tcW w:w="1031" w:type="dxa"/>
            <w:tcBorders>
              <w:top w:val="single" w:sz="2" w:space="0" w:color="auto"/>
              <w:left w:val="single" w:sz="2" w:space="0" w:color="auto"/>
              <w:bottom w:val="single" w:sz="2" w:space="0" w:color="auto"/>
              <w:right w:val="single" w:sz="2" w:space="0" w:color="auto"/>
            </w:tcBorders>
            <w:shd w:val="clear" w:color="auto" w:fill="D3D3D3"/>
            <w:vAlign w:val="center"/>
          </w:tcPr>
          <w:p w14:paraId="6FD4727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融资项目名称</w:t>
            </w:r>
          </w:p>
        </w:tc>
        <w:tc>
          <w:tcPr>
            <w:tcW w:w="642" w:type="dxa"/>
            <w:tcBorders>
              <w:top w:val="single" w:sz="2" w:space="0" w:color="auto"/>
              <w:left w:val="single" w:sz="2" w:space="0" w:color="auto"/>
              <w:bottom w:val="single" w:sz="2" w:space="0" w:color="auto"/>
              <w:right w:val="single" w:sz="2" w:space="0" w:color="auto"/>
            </w:tcBorders>
            <w:shd w:val="clear" w:color="auto" w:fill="D3D3D3"/>
            <w:vAlign w:val="center"/>
          </w:tcPr>
          <w:p w14:paraId="443971F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证券上市日期</w:t>
            </w:r>
          </w:p>
        </w:tc>
        <w:tc>
          <w:tcPr>
            <w:tcW w:w="642" w:type="dxa"/>
            <w:tcBorders>
              <w:top w:val="single" w:sz="2" w:space="0" w:color="auto"/>
              <w:left w:val="single" w:sz="2" w:space="0" w:color="auto"/>
              <w:bottom w:val="single" w:sz="2" w:space="0" w:color="auto"/>
              <w:right w:val="single" w:sz="2" w:space="0" w:color="auto"/>
            </w:tcBorders>
            <w:shd w:val="clear" w:color="auto" w:fill="D3D3D3"/>
            <w:vAlign w:val="center"/>
          </w:tcPr>
          <w:p w14:paraId="6AD5E61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承诺投资项目和超募资金投向</w:t>
            </w:r>
          </w:p>
        </w:tc>
        <w:tc>
          <w:tcPr>
            <w:tcW w:w="521" w:type="dxa"/>
            <w:tcBorders>
              <w:top w:val="single" w:sz="2" w:space="0" w:color="auto"/>
              <w:left w:val="single" w:sz="2" w:space="0" w:color="auto"/>
              <w:bottom w:val="single" w:sz="2" w:space="0" w:color="auto"/>
              <w:right w:val="single" w:sz="2" w:space="0" w:color="auto"/>
            </w:tcBorders>
            <w:shd w:val="clear" w:color="auto" w:fill="D3D3D3"/>
            <w:vAlign w:val="center"/>
          </w:tcPr>
          <w:p w14:paraId="2AE83C7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项目性质</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2A64B23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是否已变更项目</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含部分变更</w:t>
            </w: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415D40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募集资金承诺投资总额</w:t>
            </w:r>
          </w:p>
        </w:tc>
        <w:tc>
          <w:tcPr>
            <w:tcW w:w="914" w:type="dxa"/>
            <w:tcBorders>
              <w:top w:val="single" w:sz="2" w:space="0" w:color="auto"/>
              <w:left w:val="single" w:sz="2" w:space="0" w:color="auto"/>
              <w:bottom w:val="single" w:sz="2" w:space="0" w:color="auto"/>
              <w:right w:val="single" w:sz="2" w:space="0" w:color="auto"/>
            </w:tcBorders>
            <w:shd w:val="clear" w:color="auto" w:fill="D3D3D3"/>
            <w:vAlign w:val="center"/>
          </w:tcPr>
          <w:p w14:paraId="0473E78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调整后投资总额</w:t>
            </w:r>
            <w:r w:rsidRPr="005B5EC1">
              <w:rPr>
                <w:rFonts w:ascii="Times New Roman" w:eastAsia="宋体" w:hAnsi="Times New Roman" w:cs="Times New Roman"/>
                <w:sz w:val="18"/>
                <w:szCs w:val="18"/>
              </w:rPr>
              <w:t>(1)</w:t>
            </w:r>
          </w:p>
        </w:tc>
        <w:tc>
          <w:tcPr>
            <w:tcW w:w="643" w:type="dxa"/>
            <w:tcBorders>
              <w:top w:val="single" w:sz="2" w:space="0" w:color="auto"/>
              <w:left w:val="single" w:sz="2" w:space="0" w:color="auto"/>
              <w:bottom w:val="single" w:sz="2" w:space="0" w:color="auto"/>
              <w:right w:val="single" w:sz="2" w:space="0" w:color="auto"/>
            </w:tcBorders>
            <w:shd w:val="clear" w:color="auto" w:fill="D3D3D3"/>
            <w:vAlign w:val="center"/>
          </w:tcPr>
          <w:p w14:paraId="6D86484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本报告期投入金额</w:t>
            </w:r>
          </w:p>
        </w:tc>
        <w:tc>
          <w:tcPr>
            <w:tcW w:w="853" w:type="dxa"/>
            <w:tcBorders>
              <w:top w:val="single" w:sz="2" w:space="0" w:color="auto"/>
              <w:left w:val="single" w:sz="2" w:space="0" w:color="auto"/>
              <w:bottom w:val="single" w:sz="2" w:space="0" w:color="auto"/>
              <w:right w:val="single" w:sz="2" w:space="0" w:color="auto"/>
            </w:tcBorders>
            <w:shd w:val="clear" w:color="auto" w:fill="D3D3D3"/>
            <w:vAlign w:val="center"/>
          </w:tcPr>
          <w:p w14:paraId="538F15D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截至期末累计投入金额</w:t>
            </w:r>
            <w:r w:rsidRPr="005B5EC1">
              <w:rPr>
                <w:rFonts w:ascii="Times New Roman" w:eastAsia="宋体" w:hAnsi="Times New Roman" w:cs="Times New Roman"/>
                <w:sz w:val="18"/>
                <w:szCs w:val="18"/>
              </w:rPr>
              <w:t>(2)</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3345E1B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截至期末投资进度</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(2)/(1)</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AF06EE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项目达到预定可使用状态日期</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4DAD2A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本报告期实现的效益</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29D048D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截止报告期末累计实现的效益</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3687BA8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是否达到预计效益</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00B6CA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项目可行性是否发生重大变化</w:t>
            </w:r>
          </w:p>
        </w:tc>
      </w:tr>
      <w:tr w:rsidR="00E32FE0" w:rsidRPr="005B5EC1" w14:paraId="626EA077" w14:textId="77777777" w:rsidTr="002D722A">
        <w:trPr>
          <w:trHeight w:val="240"/>
        </w:trPr>
        <w:tc>
          <w:tcPr>
            <w:tcW w:w="10490"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4216094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承诺投资项目</w:t>
            </w:r>
          </w:p>
        </w:tc>
      </w:tr>
      <w:tr w:rsidR="00E32FE0" w:rsidRPr="005B5EC1" w14:paraId="2A8141EE" w14:textId="77777777" w:rsidTr="002D722A">
        <w:trPr>
          <w:trHeight w:val="240"/>
        </w:trPr>
        <w:tc>
          <w:tcPr>
            <w:tcW w:w="1031" w:type="dxa"/>
            <w:tcBorders>
              <w:top w:val="single" w:sz="2" w:space="0" w:color="auto"/>
              <w:left w:val="single" w:sz="2" w:space="0" w:color="auto"/>
              <w:bottom w:val="single" w:sz="2" w:space="0" w:color="auto"/>
              <w:right w:val="single" w:sz="2" w:space="0" w:color="auto"/>
            </w:tcBorders>
            <w:vAlign w:val="center"/>
          </w:tcPr>
          <w:p w14:paraId="490ECD7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年公开发行可转换公司债券</w:t>
            </w:r>
          </w:p>
        </w:tc>
        <w:tc>
          <w:tcPr>
            <w:tcW w:w="642" w:type="dxa"/>
            <w:tcBorders>
              <w:top w:val="single" w:sz="2" w:space="0" w:color="auto"/>
              <w:left w:val="single" w:sz="2" w:space="0" w:color="auto"/>
              <w:bottom w:val="single" w:sz="2" w:space="0" w:color="auto"/>
              <w:right w:val="single" w:sz="2" w:space="0" w:color="auto"/>
            </w:tcBorders>
            <w:vAlign w:val="center"/>
          </w:tcPr>
          <w:p w14:paraId="57EE59E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日</w:t>
            </w:r>
          </w:p>
        </w:tc>
        <w:tc>
          <w:tcPr>
            <w:tcW w:w="642" w:type="dxa"/>
            <w:tcBorders>
              <w:top w:val="single" w:sz="2" w:space="0" w:color="auto"/>
              <w:left w:val="single" w:sz="2" w:space="0" w:color="auto"/>
              <w:bottom w:val="single" w:sz="2" w:space="0" w:color="auto"/>
              <w:right w:val="single" w:sz="2" w:space="0" w:color="auto"/>
            </w:tcBorders>
            <w:vAlign w:val="center"/>
          </w:tcPr>
          <w:p w14:paraId="6DFCBC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、补充流动资金</w:t>
            </w:r>
          </w:p>
        </w:tc>
        <w:tc>
          <w:tcPr>
            <w:tcW w:w="521" w:type="dxa"/>
            <w:tcBorders>
              <w:top w:val="single" w:sz="2" w:space="0" w:color="auto"/>
              <w:left w:val="single" w:sz="2" w:space="0" w:color="auto"/>
              <w:bottom w:val="single" w:sz="2" w:space="0" w:color="auto"/>
              <w:right w:val="single" w:sz="2" w:space="0" w:color="auto"/>
            </w:tcBorders>
            <w:vAlign w:val="center"/>
          </w:tcPr>
          <w:p w14:paraId="13D0C2B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生产建设</w:t>
            </w:r>
          </w:p>
        </w:tc>
        <w:tc>
          <w:tcPr>
            <w:tcW w:w="425" w:type="dxa"/>
            <w:tcBorders>
              <w:top w:val="single" w:sz="2" w:space="0" w:color="auto"/>
              <w:left w:val="single" w:sz="2" w:space="0" w:color="auto"/>
              <w:bottom w:val="single" w:sz="2" w:space="0" w:color="auto"/>
              <w:right w:val="single" w:sz="2" w:space="0" w:color="auto"/>
            </w:tcBorders>
            <w:vAlign w:val="center"/>
          </w:tcPr>
          <w:p w14:paraId="4AC9EFB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3FFE43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28,500</w:t>
            </w:r>
          </w:p>
        </w:tc>
        <w:tc>
          <w:tcPr>
            <w:tcW w:w="914" w:type="dxa"/>
            <w:tcBorders>
              <w:top w:val="single" w:sz="2" w:space="0" w:color="auto"/>
              <w:left w:val="single" w:sz="2" w:space="0" w:color="auto"/>
              <w:bottom w:val="single" w:sz="2" w:space="0" w:color="auto"/>
              <w:right w:val="single" w:sz="2" w:space="0" w:color="auto"/>
            </w:tcBorders>
            <w:vAlign w:val="center"/>
          </w:tcPr>
          <w:p w14:paraId="187087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28,500</w:t>
            </w:r>
          </w:p>
        </w:tc>
        <w:tc>
          <w:tcPr>
            <w:tcW w:w="643" w:type="dxa"/>
            <w:tcBorders>
              <w:top w:val="single" w:sz="2" w:space="0" w:color="auto"/>
              <w:left w:val="single" w:sz="2" w:space="0" w:color="auto"/>
              <w:bottom w:val="single" w:sz="2" w:space="0" w:color="auto"/>
              <w:right w:val="single" w:sz="2" w:space="0" w:color="auto"/>
            </w:tcBorders>
            <w:vAlign w:val="center"/>
          </w:tcPr>
          <w:p w14:paraId="3010D8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3" w:type="dxa"/>
            <w:tcBorders>
              <w:top w:val="single" w:sz="2" w:space="0" w:color="auto"/>
              <w:left w:val="single" w:sz="2" w:space="0" w:color="auto"/>
              <w:bottom w:val="single" w:sz="2" w:space="0" w:color="auto"/>
              <w:right w:val="single" w:sz="2" w:space="0" w:color="auto"/>
            </w:tcBorders>
            <w:vAlign w:val="center"/>
          </w:tcPr>
          <w:p w14:paraId="11562C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28,500</w:t>
            </w:r>
          </w:p>
        </w:tc>
        <w:tc>
          <w:tcPr>
            <w:tcW w:w="708" w:type="dxa"/>
            <w:tcBorders>
              <w:top w:val="single" w:sz="2" w:space="0" w:color="auto"/>
              <w:left w:val="single" w:sz="2" w:space="0" w:color="auto"/>
              <w:bottom w:val="single" w:sz="2" w:space="0" w:color="auto"/>
              <w:right w:val="single" w:sz="2" w:space="0" w:color="auto"/>
            </w:tcBorders>
            <w:vAlign w:val="center"/>
          </w:tcPr>
          <w:p w14:paraId="31F09D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709" w:type="dxa"/>
            <w:tcBorders>
              <w:top w:val="single" w:sz="2" w:space="0" w:color="auto"/>
              <w:left w:val="single" w:sz="2" w:space="0" w:color="auto"/>
              <w:bottom w:val="single" w:sz="2" w:space="0" w:color="auto"/>
              <w:right w:val="single" w:sz="2" w:space="0" w:color="auto"/>
            </w:tcBorders>
            <w:vAlign w:val="center"/>
          </w:tcPr>
          <w:p w14:paraId="76D2C2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E72B83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211DAD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6205412C"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567" w:type="dxa"/>
            <w:tcBorders>
              <w:top w:val="single" w:sz="2" w:space="0" w:color="auto"/>
              <w:left w:val="single" w:sz="2" w:space="0" w:color="auto"/>
              <w:bottom w:val="single" w:sz="2" w:space="0" w:color="auto"/>
              <w:right w:val="single" w:sz="2" w:space="0" w:color="auto"/>
            </w:tcBorders>
            <w:vAlign w:val="center"/>
          </w:tcPr>
          <w:p w14:paraId="7EA2115E"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5BC9F7A" w14:textId="77777777" w:rsidTr="002D722A">
        <w:trPr>
          <w:trHeight w:val="240"/>
        </w:trPr>
        <w:tc>
          <w:tcPr>
            <w:tcW w:w="1031" w:type="dxa"/>
            <w:tcBorders>
              <w:top w:val="single" w:sz="2" w:space="0" w:color="auto"/>
              <w:left w:val="single" w:sz="2" w:space="0" w:color="auto"/>
              <w:bottom w:val="single" w:sz="2" w:space="0" w:color="auto"/>
              <w:right w:val="single" w:sz="2" w:space="0" w:color="auto"/>
            </w:tcBorders>
            <w:vAlign w:val="center"/>
          </w:tcPr>
          <w:p w14:paraId="3BCB07D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年公开发行可转换公司债券</w:t>
            </w:r>
          </w:p>
        </w:tc>
        <w:tc>
          <w:tcPr>
            <w:tcW w:w="642" w:type="dxa"/>
            <w:tcBorders>
              <w:top w:val="single" w:sz="2" w:space="0" w:color="auto"/>
              <w:left w:val="single" w:sz="2" w:space="0" w:color="auto"/>
              <w:bottom w:val="single" w:sz="2" w:space="0" w:color="auto"/>
              <w:right w:val="single" w:sz="2" w:space="0" w:color="auto"/>
            </w:tcBorders>
            <w:vAlign w:val="center"/>
          </w:tcPr>
          <w:p w14:paraId="76F804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日</w:t>
            </w:r>
          </w:p>
        </w:tc>
        <w:tc>
          <w:tcPr>
            <w:tcW w:w="642" w:type="dxa"/>
            <w:tcBorders>
              <w:top w:val="single" w:sz="2" w:space="0" w:color="auto"/>
              <w:left w:val="single" w:sz="2" w:space="0" w:color="auto"/>
              <w:bottom w:val="single" w:sz="2" w:space="0" w:color="auto"/>
              <w:right w:val="single" w:sz="2" w:space="0" w:color="auto"/>
            </w:tcBorders>
            <w:vAlign w:val="center"/>
          </w:tcPr>
          <w:p w14:paraId="23D5E8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、安丘市石埠子镇新建年出栏</w:t>
            </w:r>
            <w:r w:rsidRPr="005B5EC1">
              <w:rPr>
                <w:rFonts w:ascii="Times New Roman" w:eastAsia="宋体" w:hAnsi="Times New Roman" w:cs="Times New Roman"/>
                <w:sz w:val="18"/>
                <w:szCs w:val="18"/>
              </w:rPr>
              <w:t>50</w:t>
            </w:r>
            <w:r w:rsidRPr="005B5EC1">
              <w:rPr>
                <w:rFonts w:ascii="Times New Roman" w:eastAsia="宋体" w:hAnsi="Times New Roman" w:cs="Times New Roman"/>
                <w:sz w:val="18"/>
                <w:szCs w:val="18"/>
              </w:rPr>
              <w:t>万头商品猪项目（晏峪猪场、西刘庄猪场）</w:t>
            </w:r>
          </w:p>
        </w:tc>
        <w:tc>
          <w:tcPr>
            <w:tcW w:w="521" w:type="dxa"/>
            <w:tcBorders>
              <w:top w:val="single" w:sz="2" w:space="0" w:color="auto"/>
              <w:left w:val="single" w:sz="2" w:space="0" w:color="auto"/>
              <w:bottom w:val="single" w:sz="2" w:space="0" w:color="auto"/>
              <w:right w:val="single" w:sz="2" w:space="0" w:color="auto"/>
            </w:tcBorders>
            <w:vAlign w:val="center"/>
          </w:tcPr>
          <w:p w14:paraId="6045853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生产建设</w:t>
            </w:r>
          </w:p>
        </w:tc>
        <w:tc>
          <w:tcPr>
            <w:tcW w:w="425" w:type="dxa"/>
            <w:tcBorders>
              <w:top w:val="single" w:sz="2" w:space="0" w:color="auto"/>
              <w:left w:val="single" w:sz="2" w:space="0" w:color="auto"/>
              <w:bottom w:val="single" w:sz="2" w:space="0" w:color="auto"/>
              <w:right w:val="single" w:sz="2" w:space="0" w:color="auto"/>
            </w:tcBorders>
            <w:vAlign w:val="center"/>
          </w:tcPr>
          <w:p w14:paraId="66154FF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5AA9E2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66,500</w:t>
            </w:r>
          </w:p>
        </w:tc>
        <w:tc>
          <w:tcPr>
            <w:tcW w:w="914" w:type="dxa"/>
            <w:tcBorders>
              <w:top w:val="single" w:sz="2" w:space="0" w:color="auto"/>
              <w:left w:val="single" w:sz="2" w:space="0" w:color="auto"/>
              <w:bottom w:val="single" w:sz="2" w:space="0" w:color="auto"/>
              <w:right w:val="single" w:sz="2" w:space="0" w:color="auto"/>
            </w:tcBorders>
            <w:vAlign w:val="center"/>
          </w:tcPr>
          <w:p w14:paraId="4275F4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66,500</w:t>
            </w:r>
          </w:p>
        </w:tc>
        <w:tc>
          <w:tcPr>
            <w:tcW w:w="643" w:type="dxa"/>
            <w:tcBorders>
              <w:top w:val="single" w:sz="2" w:space="0" w:color="auto"/>
              <w:left w:val="single" w:sz="2" w:space="0" w:color="auto"/>
              <w:bottom w:val="single" w:sz="2" w:space="0" w:color="auto"/>
              <w:right w:val="single" w:sz="2" w:space="0" w:color="auto"/>
            </w:tcBorders>
            <w:vAlign w:val="center"/>
          </w:tcPr>
          <w:p w14:paraId="422FD9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1,635.34</w:t>
            </w:r>
          </w:p>
        </w:tc>
        <w:tc>
          <w:tcPr>
            <w:tcW w:w="853" w:type="dxa"/>
            <w:tcBorders>
              <w:top w:val="single" w:sz="2" w:space="0" w:color="auto"/>
              <w:left w:val="single" w:sz="2" w:space="0" w:color="auto"/>
              <w:bottom w:val="single" w:sz="2" w:space="0" w:color="auto"/>
              <w:right w:val="single" w:sz="2" w:space="0" w:color="auto"/>
            </w:tcBorders>
            <w:vAlign w:val="center"/>
          </w:tcPr>
          <w:p w14:paraId="40ADBD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29,187.71</w:t>
            </w:r>
          </w:p>
        </w:tc>
        <w:tc>
          <w:tcPr>
            <w:tcW w:w="708" w:type="dxa"/>
            <w:tcBorders>
              <w:top w:val="single" w:sz="2" w:space="0" w:color="auto"/>
              <w:left w:val="single" w:sz="2" w:space="0" w:color="auto"/>
              <w:bottom w:val="single" w:sz="2" w:space="0" w:color="auto"/>
              <w:right w:val="single" w:sz="2" w:space="0" w:color="auto"/>
            </w:tcBorders>
            <w:vAlign w:val="center"/>
          </w:tcPr>
          <w:p w14:paraId="644B7D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43.89%</w:t>
            </w:r>
          </w:p>
        </w:tc>
        <w:tc>
          <w:tcPr>
            <w:tcW w:w="709" w:type="dxa"/>
            <w:tcBorders>
              <w:top w:val="single" w:sz="2" w:space="0" w:color="auto"/>
              <w:left w:val="single" w:sz="2" w:space="0" w:color="auto"/>
              <w:bottom w:val="single" w:sz="2" w:space="0" w:color="auto"/>
              <w:right w:val="single" w:sz="2" w:space="0" w:color="auto"/>
            </w:tcBorders>
            <w:vAlign w:val="center"/>
          </w:tcPr>
          <w:p w14:paraId="3F25814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CDC70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-935.69</w:t>
            </w:r>
          </w:p>
        </w:tc>
        <w:tc>
          <w:tcPr>
            <w:tcW w:w="567" w:type="dxa"/>
            <w:tcBorders>
              <w:top w:val="single" w:sz="2" w:space="0" w:color="auto"/>
              <w:left w:val="single" w:sz="2" w:space="0" w:color="auto"/>
              <w:bottom w:val="single" w:sz="2" w:space="0" w:color="auto"/>
              <w:right w:val="single" w:sz="2" w:space="0" w:color="auto"/>
            </w:tcBorders>
            <w:vAlign w:val="center"/>
          </w:tcPr>
          <w:p w14:paraId="4FD11E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249749DC"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7" w:type="dxa"/>
            <w:tcBorders>
              <w:top w:val="single" w:sz="2" w:space="0" w:color="auto"/>
              <w:left w:val="single" w:sz="2" w:space="0" w:color="auto"/>
              <w:bottom w:val="single" w:sz="2" w:space="0" w:color="auto"/>
              <w:right w:val="single" w:sz="2" w:space="0" w:color="auto"/>
            </w:tcBorders>
            <w:vAlign w:val="center"/>
          </w:tcPr>
          <w:p w14:paraId="5AF936EA"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5F6A7562" w14:textId="77777777" w:rsidTr="002D722A">
        <w:trPr>
          <w:trHeight w:val="240"/>
        </w:trPr>
        <w:tc>
          <w:tcPr>
            <w:tcW w:w="1031" w:type="dxa"/>
            <w:tcBorders>
              <w:top w:val="single" w:sz="2" w:space="0" w:color="auto"/>
              <w:left w:val="single" w:sz="2" w:space="0" w:color="auto"/>
              <w:bottom w:val="single" w:sz="2" w:space="0" w:color="auto"/>
              <w:right w:val="single" w:sz="2" w:space="0" w:color="auto"/>
            </w:tcBorders>
            <w:vAlign w:val="center"/>
          </w:tcPr>
          <w:p w14:paraId="503ED77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年非公开发行股票</w:t>
            </w:r>
          </w:p>
        </w:tc>
        <w:tc>
          <w:tcPr>
            <w:tcW w:w="642" w:type="dxa"/>
            <w:tcBorders>
              <w:top w:val="single" w:sz="2" w:space="0" w:color="auto"/>
              <w:left w:val="single" w:sz="2" w:space="0" w:color="auto"/>
              <w:bottom w:val="single" w:sz="2" w:space="0" w:color="auto"/>
              <w:right w:val="single" w:sz="2" w:space="0" w:color="auto"/>
            </w:tcBorders>
            <w:vAlign w:val="center"/>
          </w:tcPr>
          <w:p w14:paraId="15DC1F3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642" w:type="dxa"/>
            <w:tcBorders>
              <w:top w:val="single" w:sz="2" w:space="0" w:color="auto"/>
              <w:left w:val="single" w:sz="2" w:space="0" w:color="auto"/>
              <w:bottom w:val="single" w:sz="2" w:space="0" w:color="auto"/>
              <w:right w:val="single" w:sz="2" w:space="0" w:color="auto"/>
            </w:tcBorders>
            <w:vAlign w:val="center"/>
          </w:tcPr>
          <w:p w14:paraId="38A70D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、补充流动资金</w:t>
            </w:r>
          </w:p>
        </w:tc>
        <w:tc>
          <w:tcPr>
            <w:tcW w:w="521" w:type="dxa"/>
            <w:tcBorders>
              <w:top w:val="single" w:sz="2" w:space="0" w:color="auto"/>
              <w:left w:val="single" w:sz="2" w:space="0" w:color="auto"/>
              <w:bottom w:val="single" w:sz="2" w:space="0" w:color="auto"/>
              <w:right w:val="single" w:sz="2" w:space="0" w:color="auto"/>
            </w:tcBorders>
            <w:vAlign w:val="center"/>
          </w:tcPr>
          <w:p w14:paraId="7BAD684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生产建设</w:t>
            </w:r>
          </w:p>
        </w:tc>
        <w:tc>
          <w:tcPr>
            <w:tcW w:w="425" w:type="dxa"/>
            <w:tcBorders>
              <w:top w:val="single" w:sz="2" w:space="0" w:color="auto"/>
              <w:left w:val="single" w:sz="2" w:space="0" w:color="auto"/>
              <w:bottom w:val="single" w:sz="2" w:space="0" w:color="auto"/>
              <w:right w:val="single" w:sz="2" w:space="0" w:color="auto"/>
            </w:tcBorders>
            <w:vAlign w:val="center"/>
          </w:tcPr>
          <w:p w14:paraId="4686EF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41A464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45,000</w:t>
            </w:r>
          </w:p>
        </w:tc>
        <w:tc>
          <w:tcPr>
            <w:tcW w:w="914" w:type="dxa"/>
            <w:tcBorders>
              <w:top w:val="single" w:sz="2" w:space="0" w:color="auto"/>
              <w:left w:val="single" w:sz="2" w:space="0" w:color="auto"/>
              <w:bottom w:val="single" w:sz="2" w:space="0" w:color="auto"/>
              <w:right w:val="single" w:sz="2" w:space="0" w:color="auto"/>
            </w:tcBorders>
            <w:vAlign w:val="center"/>
          </w:tcPr>
          <w:p w14:paraId="5AA05C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18,612</w:t>
            </w:r>
          </w:p>
        </w:tc>
        <w:tc>
          <w:tcPr>
            <w:tcW w:w="643" w:type="dxa"/>
            <w:tcBorders>
              <w:top w:val="single" w:sz="2" w:space="0" w:color="auto"/>
              <w:left w:val="single" w:sz="2" w:space="0" w:color="auto"/>
              <w:bottom w:val="single" w:sz="2" w:space="0" w:color="auto"/>
              <w:right w:val="single" w:sz="2" w:space="0" w:color="auto"/>
            </w:tcBorders>
            <w:vAlign w:val="center"/>
          </w:tcPr>
          <w:p w14:paraId="551C03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3" w:type="dxa"/>
            <w:tcBorders>
              <w:top w:val="single" w:sz="2" w:space="0" w:color="auto"/>
              <w:left w:val="single" w:sz="2" w:space="0" w:color="auto"/>
              <w:bottom w:val="single" w:sz="2" w:space="0" w:color="auto"/>
              <w:right w:val="single" w:sz="2" w:space="0" w:color="auto"/>
            </w:tcBorders>
            <w:vAlign w:val="center"/>
          </w:tcPr>
          <w:p w14:paraId="2ECC36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18,612</w:t>
            </w:r>
          </w:p>
        </w:tc>
        <w:tc>
          <w:tcPr>
            <w:tcW w:w="708" w:type="dxa"/>
            <w:tcBorders>
              <w:top w:val="single" w:sz="2" w:space="0" w:color="auto"/>
              <w:left w:val="single" w:sz="2" w:space="0" w:color="auto"/>
              <w:bottom w:val="single" w:sz="2" w:space="0" w:color="auto"/>
              <w:right w:val="single" w:sz="2" w:space="0" w:color="auto"/>
            </w:tcBorders>
            <w:vAlign w:val="center"/>
          </w:tcPr>
          <w:p w14:paraId="6B4866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709" w:type="dxa"/>
            <w:tcBorders>
              <w:top w:val="single" w:sz="2" w:space="0" w:color="auto"/>
              <w:left w:val="single" w:sz="2" w:space="0" w:color="auto"/>
              <w:bottom w:val="single" w:sz="2" w:space="0" w:color="auto"/>
              <w:right w:val="single" w:sz="2" w:space="0" w:color="auto"/>
            </w:tcBorders>
            <w:vAlign w:val="center"/>
          </w:tcPr>
          <w:p w14:paraId="5398938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F608C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5F5C25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502CAB44"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567" w:type="dxa"/>
            <w:tcBorders>
              <w:top w:val="single" w:sz="2" w:space="0" w:color="auto"/>
              <w:left w:val="single" w:sz="2" w:space="0" w:color="auto"/>
              <w:bottom w:val="single" w:sz="2" w:space="0" w:color="auto"/>
              <w:right w:val="single" w:sz="2" w:space="0" w:color="auto"/>
            </w:tcBorders>
            <w:vAlign w:val="center"/>
          </w:tcPr>
          <w:p w14:paraId="5CB3239F"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04EA524B" w14:textId="77777777" w:rsidTr="002D722A">
        <w:trPr>
          <w:trHeight w:val="240"/>
        </w:trPr>
        <w:tc>
          <w:tcPr>
            <w:tcW w:w="1031" w:type="dxa"/>
            <w:tcBorders>
              <w:top w:val="single" w:sz="2" w:space="0" w:color="auto"/>
              <w:left w:val="single" w:sz="2" w:space="0" w:color="auto"/>
              <w:bottom w:val="single" w:sz="2" w:space="0" w:color="auto"/>
              <w:right w:val="single" w:sz="2" w:space="0" w:color="auto"/>
            </w:tcBorders>
            <w:vAlign w:val="center"/>
          </w:tcPr>
          <w:p w14:paraId="12261CA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年非公开发行股票</w:t>
            </w:r>
          </w:p>
        </w:tc>
        <w:tc>
          <w:tcPr>
            <w:tcW w:w="642" w:type="dxa"/>
            <w:tcBorders>
              <w:top w:val="single" w:sz="2" w:space="0" w:color="auto"/>
              <w:left w:val="single" w:sz="2" w:space="0" w:color="auto"/>
              <w:bottom w:val="single" w:sz="2" w:space="0" w:color="auto"/>
              <w:right w:val="single" w:sz="2" w:space="0" w:color="auto"/>
            </w:tcBorders>
            <w:vAlign w:val="center"/>
          </w:tcPr>
          <w:p w14:paraId="5B25E3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642" w:type="dxa"/>
            <w:tcBorders>
              <w:top w:val="single" w:sz="2" w:space="0" w:color="auto"/>
              <w:left w:val="single" w:sz="2" w:space="0" w:color="auto"/>
              <w:bottom w:val="single" w:sz="2" w:space="0" w:color="auto"/>
              <w:right w:val="single" w:sz="2" w:space="0" w:color="auto"/>
            </w:tcBorders>
            <w:vAlign w:val="center"/>
          </w:tcPr>
          <w:p w14:paraId="578DB00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、山东新建年出栏生猪</w:t>
            </w:r>
            <w:r w:rsidRPr="005B5EC1">
              <w:rPr>
                <w:rFonts w:ascii="Times New Roman" w:eastAsia="宋体" w:hAnsi="Times New Roman" w:cs="Times New Roman"/>
                <w:sz w:val="18"/>
                <w:szCs w:val="18"/>
              </w:rPr>
              <w:t>66</w:t>
            </w:r>
            <w:r w:rsidRPr="005B5EC1">
              <w:rPr>
                <w:rFonts w:ascii="Times New Roman" w:eastAsia="宋体" w:hAnsi="Times New Roman" w:cs="Times New Roman"/>
                <w:sz w:val="18"/>
                <w:szCs w:val="18"/>
              </w:rPr>
              <w:t>万头养殖项目（苟各庄猪场、马台石猪场）</w:t>
            </w:r>
          </w:p>
        </w:tc>
        <w:tc>
          <w:tcPr>
            <w:tcW w:w="521" w:type="dxa"/>
            <w:tcBorders>
              <w:top w:val="single" w:sz="2" w:space="0" w:color="auto"/>
              <w:left w:val="single" w:sz="2" w:space="0" w:color="auto"/>
              <w:bottom w:val="single" w:sz="2" w:space="0" w:color="auto"/>
              <w:right w:val="single" w:sz="2" w:space="0" w:color="auto"/>
            </w:tcBorders>
            <w:vAlign w:val="center"/>
          </w:tcPr>
          <w:p w14:paraId="71A6D91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生产建设</w:t>
            </w:r>
          </w:p>
        </w:tc>
        <w:tc>
          <w:tcPr>
            <w:tcW w:w="425" w:type="dxa"/>
            <w:tcBorders>
              <w:top w:val="single" w:sz="2" w:space="0" w:color="auto"/>
              <w:left w:val="single" w:sz="2" w:space="0" w:color="auto"/>
              <w:bottom w:val="single" w:sz="2" w:space="0" w:color="auto"/>
              <w:right w:val="single" w:sz="2" w:space="0" w:color="auto"/>
            </w:tcBorders>
            <w:vAlign w:val="center"/>
          </w:tcPr>
          <w:p w14:paraId="28E2BA9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1D1E1E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105,000</w:t>
            </w:r>
          </w:p>
        </w:tc>
        <w:tc>
          <w:tcPr>
            <w:tcW w:w="914" w:type="dxa"/>
            <w:tcBorders>
              <w:top w:val="single" w:sz="2" w:space="0" w:color="auto"/>
              <w:left w:val="single" w:sz="2" w:space="0" w:color="auto"/>
              <w:bottom w:val="single" w:sz="2" w:space="0" w:color="auto"/>
              <w:right w:val="single" w:sz="2" w:space="0" w:color="auto"/>
            </w:tcBorders>
            <w:vAlign w:val="center"/>
          </w:tcPr>
          <w:p w14:paraId="277302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42,466.64</w:t>
            </w:r>
          </w:p>
        </w:tc>
        <w:tc>
          <w:tcPr>
            <w:tcW w:w="643" w:type="dxa"/>
            <w:tcBorders>
              <w:top w:val="single" w:sz="2" w:space="0" w:color="auto"/>
              <w:left w:val="single" w:sz="2" w:space="0" w:color="auto"/>
              <w:bottom w:val="single" w:sz="2" w:space="0" w:color="auto"/>
              <w:right w:val="single" w:sz="2" w:space="0" w:color="auto"/>
            </w:tcBorders>
            <w:vAlign w:val="center"/>
          </w:tcPr>
          <w:p w14:paraId="0235DFC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1,488.31</w:t>
            </w:r>
          </w:p>
        </w:tc>
        <w:tc>
          <w:tcPr>
            <w:tcW w:w="853" w:type="dxa"/>
            <w:tcBorders>
              <w:top w:val="single" w:sz="2" w:space="0" w:color="auto"/>
              <w:left w:val="single" w:sz="2" w:space="0" w:color="auto"/>
              <w:bottom w:val="single" w:sz="2" w:space="0" w:color="auto"/>
              <w:right w:val="single" w:sz="2" w:space="0" w:color="auto"/>
            </w:tcBorders>
            <w:vAlign w:val="center"/>
          </w:tcPr>
          <w:p w14:paraId="67D66EC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33,205.1</w:t>
            </w:r>
          </w:p>
        </w:tc>
        <w:tc>
          <w:tcPr>
            <w:tcW w:w="708" w:type="dxa"/>
            <w:tcBorders>
              <w:top w:val="single" w:sz="2" w:space="0" w:color="auto"/>
              <w:left w:val="single" w:sz="2" w:space="0" w:color="auto"/>
              <w:bottom w:val="single" w:sz="2" w:space="0" w:color="auto"/>
              <w:right w:val="single" w:sz="2" w:space="0" w:color="auto"/>
            </w:tcBorders>
            <w:vAlign w:val="center"/>
          </w:tcPr>
          <w:p w14:paraId="28644C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78.19%</w:t>
            </w:r>
          </w:p>
        </w:tc>
        <w:tc>
          <w:tcPr>
            <w:tcW w:w="709" w:type="dxa"/>
            <w:tcBorders>
              <w:top w:val="single" w:sz="2" w:space="0" w:color="auto"/>
              <w:left w:val="single" w:sz="2" w:space="0" w:color="auto"/>
              <w:bottom w:val="single" w:sz="2" w:space="0" w:color="auto"/>
              <w:right w:val="single" w:sz="2" w:space="0" w:color="auto"/>
            </w:tcBorders>
            <w:vAlign w:val="center"/>
          </w:tcPr>
          <w:p w14:paraId="2AC8EF7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99891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-858.42</w:t>
            </w:r>
          </w:p>
        </w:tc>
        <w:tc>
          <w:tcPr>
            <w:tcW w:w="567" w:type="dxa"/>
            <w:tcBorders>
              <w:top w:val="single" w:sz="2" w:space="0" w:color="auto"/>
              <w:left w:val="single" w:sz="2" w:space="0" w:color="auto"/>
              <w:bottom w:val="single" w:sz="2" w:space="0" w:color="auto"/>
              <w:right w:val="single" w:sz="2" w:space="0" w:color="auto"/>
            </w:tcBorders>
            <w:vAlign w:val="center"/>
          </w:tcPr>
          <w:p w14:paraId="6D0E49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5836BD2C"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7" w:type="dxa"/>
            <w:tcBorders>
              <w:top w:val="single" w:sz="2" w:space="0" w:color="auto"/>
              <w:left w:val="single" w:sz="2" w:space="0" w:color="auto"/>
              <w:bottom w:val="single" w:sz="2" w:space="0" w:color="auto"/>
              <w:right w:val="single" w:sz="2" w:space="0" w:color="auto"/>
            </w:tcBorders>
            <w:vAlign w:val="center"/>
          </w:tcPr>
          <w:p w14:paraId="4704241D"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9356177" w14:textId="77777777" w:rsidTr="002D722A">
        <w:trPr>
          <w:trHeight w:val="240"/>
        </w:trPr>
        <w:tc>
          <w:tcPr>
            <w:tcW w:w="283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C63ADF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承诺投资项目小计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071672D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03416B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245,000</w:t>
            </w:r>
          </w:p>
        </w:tc>
        <w:tc>
          <w:tcPr>
            <w:tcW w:w="914" w:type="dxa"/>
            <w:tcBorders>
              <w:top w:val="single" w:sz="2" w:space="0" w:color="auto"/>
              <w:left w:val="single" w:sz="2" w:space="0" w:color="auto"/>
              <w:bottom w:val="single" w:sz="2" w:space="0" w:color="auto"/>
              <w:right w:val="single" w:sz="2" w:space="0" w:color="auto"/>
            </w:tcBorders>
            <w:vAlign w:val="center"/>
          </w:tcPr>
          <w:p w14:paraId="7FCE26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156,078.64</w:t>
            </w:r>
          </w:p>
        </w:tc>
        <w:tc>
          <w:tcPr>
            <w:tcW w:w="643" w:type="dxa"/>
            <w:tcBorders>
              <w:top w:val="single" w:sz="2" w:space="0" w:color="auto"/>
              <w:left w:val="single" w:sz="2" w:space="0" w:color="auto"/>
              <w:bottom w:val="single" w:sz="2" w:space="0" w:color="auto"/>
              <w:right w:val="single" w:sz="2" w:space="0" w:color="auto"/>
            </w:tcBorders>
            <w:vAlign w:val="center"/>
          </w:tcPr>
          <w:p w14:paraId="22B12A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3,123.65</w:t>
            </w:r>
          </w:p>
        </w:tc>
        <w:tc>
          <w:tcPr>
            <w:tcW w:w="853" w:type="dxa"/>
            <w:tcBorders>
              <w:top w:val="single" w:sz="2" w:space="0" w:color="auto"/>
              <w:left w:val="single" w:sz="2" w:space="0" w:color="auto"/>
              <w:bottom w:val="single" w:sz="2" w:space="0" w:color="auto"/>
              <w:right w:val="single" w:sz="2" w:space="0" w:color="auto"/>
            </w:tcBorders>
            <w:vAlign w:val="center"/>
          </w:tcPr>
          <w:p w14:paraId="01A557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109,504.81</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3F0E725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845BD1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1673EA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-1,794.11</w:t>
            </w:r>
          </w:p>
        </w:tc>
        <w:tc>
          <w:tcPr>
            <w:tcW w:w="567" w:type="dxa"/>
            <w:tcBorders>
              <w:top w:val="single" w:sz="2" w:space="0" w:color="auto"/>
              <w:left w:val="single" w:sz="2" w:space="0" w:color="auto"/>
              <w:bottom w:val="single" w:sz="2" w:space="0" w:color="auto"/>
              <w:right w:val="single" w:sz="2" w:space="0" w:color="auto"/>
            </w:tcBorders>
            <w:vAlign w:val="center"/>
          </w:tcPr>
          <w:p w14:paraId="7805A2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B3EE63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0712D9A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r w:rsidR="00E32FE0" w:rsidRPr="005B5EC1" w14:paraId="79755516" w14:textId="77777777" w:rsidTr="002D722A">
        <w:trPr>
          <w:trHeight w:val="240"/>
        </w:trPr>
        <w:tc>
          <w:tcPr>
            <w:tcW w:w="10490"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0FE9051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超募资金投向</w:t>
            </w:r>
          </w:p>
        </w:tc>
      </w:tr>
      <w:tr w:rsidR="00E32FE0" w:rsidRPr="005B5EC1" w14:paraId="47B79E4B" w14:textId="77777777" w:rsidTr="002D722A">
        <w:trPr>
          <w:trHeight w:val="240"/>
        </w:trPr>
        <w:tc>
          <w:tcPr>
            <w:tcW w:w="1031" w:type="dxa"/>
            <w:tcBorders>
              <w:top w:val="single" w:sz="2" w:space="0" w:color="auto"/>
              <w:left w:val="single" w:sz="2" w:space="0" w:color="auto"/>
              <w:bottom w:val="single" w:sz="2" w:space="0" w:color="auto"/>
              <w:right w:val="single" w:sz="2" w:space="0" w:color="auto"/>
            </w:tcBorders>
            <w:vAlign w:val="center"/>
          </w:tcPr>
          <w:p w14:paraId="254E385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642" w:type="dxa"/>
            <w:tcBorders>
              <w:top w:val="single" w:sz="2" w:space="0" w:color="auto"/>
              <w:left w:val="single" w:sz="2" w:space="0" w:color="auto"/>
              <w:bottom w:val="single" w:sz="2" w:space="0" w:color="auto"/>
              <w:right w:val="single" w:sz="2" w:space="0" w:color="auto"/>
            </w:tcBorders>
            <w:vAlign w:val="center"/>
          </w:tcPr>
          <w:p w14:paraId="44D4F5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642" w:type="dxa"/>
            <w:tcBorders>
              <w:top w:val="single" w:sz="2" w:space="0" w:color="auto"/>
              <w:left w:val="single" w:sz="2" w:space="0" w:color="auto"/>
              <w:bottom w:val="single" w:sz="2" w:space="0" w:color="auto"/>
              <w:right w:val="single" w:sz="2" w:space="0" w:color="auto"/>
            </w:tcBorders>
            <w:vAlign w:val="center"/>
          </w:tcPr>
          <w:p w14:paraId="38DD94D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521" w:type="dxa"/>
            <w:tcBorders>
              <w:top w:val="single" w:sz="2" w:space="0" w:color="auto"/>
              <w:left w:val="single" w:sz="2" w:space="0" w:color="auto"/>
              <w:bottom w:val="single" w:sz="2" w:space="0" w:color="auto"/>
              <w:right w:val="single" w:sz="2" w:space="0" w:color="auto"/>
            </w:tcBorders>
            <w:vAlign w:val="center"/>
          </w:tcPr>
          <w:p w14:paraId="27A3DBC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425" w:type="dxa"/>
            <w:tcBorders>
              <w:top w:val="single" w:sz="2" w:space="0" w:color="auto"/>
              <w:left w:val="single" w:sz="2" w:space="0" w:color="auto"/>
              <w:bottom w:val="single" w:sz="2" w:space="0" w:color="auto"/>
              <w:right w:val="single" w:sz="2" w:space="0" w:color="auto"/>
            </w:tcBorders>
            <w:vAlign w:val="center"/>
          </w:tcPr>
          <w:p w14:paraId="5433AC7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709" w:type="dxa"/>
            <w:tcBorders>
              <w:top w:val="single" w:sz="2" w:space="0" w:color="auto"/>
              <w:left w:val="single" w:sz="2" w:space="0" w:color="auto"/>
              <w:bottom w:val="single" w:sz="2" w:space="0" w:color="auto"/>
              <w:right w:val="single" w:sz="2" w:space="0" w:color="auto"/>
            </w:tcBorders>
            <w:vAlign w:val="center"/>
          </w:tcPr>
          <w:p w14:paraId="5D6D75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14" w:type="dxa"/>
            <w:tcBorders>
              <w:top w:val="single" w:sz="2" w:space="0" w:color="auto"/>
              <w:left w:val="single" w:sz="2" w:space="0" w:color="auto"/>
              <w:bottom w:val="single" w:sz="2" w:space="0" w:color="auto"/>
              <w:right w:val="single" w:sz="2" w:space="0" w:color="auto"/>
            </w:tcBorders>
            <w:vAlign w:val="center"/>
          </w:tcPr>
          <w:p w14:paraId="4B3BE92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643" w:type="dxa"/>
            <w:tcBorders>
              <w:top w:val="single" w:sz="2" w:space="0" w:color="auto"/>
              <w:left w:val="single" w:sz="2" w:space="0" w:color="auto"/>
              <w:bottom w:val="single" w:sz="2" w:space="0" w:color="auto"/>
              <w:right w:val="single" w:sz="2" w:space="0" w:color="auto"/>
            </w:tcBorders>
            <w:vAlign w:val="center"/>
          </w:tcPr>
          <w:p w14:paraId="546BF6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4CCB20B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27B418E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432D18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40885D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14:paraId="4603C8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14:paraId="1A3FDF93"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567" w:type="dxa"/>
            <w:tcBorders>
              <w:top w:val="single" w:sz="2" w:space="0" w:color="auto"/>
              <w:left w:val="single" w:sz="2" w:space="0" w:color="auto"/>
              <w:bottom w:val="single" w:sz="2" w:space="0" w:color="auto"/>
              <w:right w:val="single" w:sz="2" w:space="0" w:color="auto"/>
            </w:tcBorders>
            <w:vAlign w:val="center"/>
          </w:tcPr>
          <w:p w14:paraId="1F70DC14" w14:textId="77777777" w:rsidR="00E32FE0" w:rsidRPr="005B5EC1" w:rsidRDefault="00000000" w:rsidP="002D722A">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79E9C8F" w14:textId="77777777" w:rsidTr="002D722A">
        <w:trPr>
          <w:trHeight w:val="240"/>
        </w:trPr>
        <w:tc>
          <w:tcPr>
            <w:tcW w:w="283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A40717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归还银行贷款（如有）</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454DFAB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5B97E4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14" w:type="dxa"/>
            <w:tcBorders>
              <w:top w:val="single" w:sz="2" w:space="0" w:color="auto"/>
              <w:left w:val="single" w:sz="2" w:space="0" w:color="auto"/>
              <w:bottom w:val="single" w:sz="2" w:space="0" w:color="auto"/>
              <w:right w:val="single" w:sz="2" w:space="0" w:color="auto"/>
            </w:tcBorders>
            <w:vAlign w:val="center"/>
          </w:tcPr>
          <w:p w14:paraId="6D164D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643" w:type="dxa"/>
            <w:tcBorders>
              <w:top w:val="single" w:sz="2" w:space="0" w:color="auto"/>
              <w:left w:val="single" w:sz="2" w:space="0" w:color="auto"/>
              <w:bottom w:val="single" w:sz="2" w:space="0" w:color="auto"/>
              <w:right w:val="single" w:sz="2" w:space="0" w:color="auto"/>
            </w:tcBorders>
            <w:vAlign w:val="center"/>
          </w:tcPr>
          <w:p w14:paraId="0BABE1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5BF567D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709EC7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656872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08ADCA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3A408A9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91200C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22B57D8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r w:rsidR="00E32FE0" w:rsidRPr="005B5EC1" w14:paraId="7F418E48" w14:textId="77777777" w:rsidTr="002D722A">
        <w:trPr>
          <w:trHeight w:val="240"/>
        </w:trPr>
        <w:tc>
          <w:tcPr>
            <w:tcW w:w="283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AE8E9F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补充流动资金（如有）</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2464CF0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4A65E8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14" w:type="dxa"/>
            <w:tcBorders>
              <w:top w:val="single" w:sz="2" w:space="0" w:color="auto"/>
              <w:left w:val="single" w:sz="2" w:space="0" w:color="auto"/>
              <w:bottom w:val="single" w:sz="2" w:space="0" w:color="auto"/>
              <w:right w:val="single" w:sz="2" w:space="0" w:color="auto"/>
            </w:tcBorders>
            <w:vAlign w:val="center"/>
          </w:tcPr>
          <w:p w14:paraId="42A0C3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643" w:type="dxa"/>
            <w:tcBorders>
              <w:top w:val="single" w:sz="2" w:space="0" w:color="auto"/>
              <w:left w:val="single" w:sz="2" w:space="0" w:color="auto"/>
              <w:bottom w:val="single" w:sz="2" w:space="0" w:color="auto"/>
              <w:right w:val="single" w:sz="2" w:space="0" w:color="auto"/>
            </w:tcBorders>
            <w:vAlign w:val="center"/>
          </w:tcPr>
          <w:p w14:paraId="2C8B67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7B05C2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vAlign w:val="center"/>
          </w:tcPr>
          <w:p w14:paraId="26FAA2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842063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7F4AEB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20DE7FF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2DFDB0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30E2938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r w:rsidR="00E32FE0" w:rsidRPr="005B5EC1" w14:paraId="37F164DF" w14:textId="77777777" w:rsidTr="002D722A">
        <w:trPr>
          <w:trHeight w:val="240"/>
        </w:trPr>
        <w:tc>
          <w:tcPr>
            <w:tcW w:w="283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0FC58D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超募资金投向小计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3BEA081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1C45A3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14" w:type="dxa"/>
            <w:tcBorders>
              <w:top w:val="single" w:sz="2" w:space="0" w:color="auto"/>
              <w:left w:val="single" w:sz="2" w:space="0" w:color="auto"/>
              <w:bottom w:val="single" w:sz="2" w:space="0" w:color="auto"/>
              <w:right w:val="single" w:sz="2" w:space="0" w:color="auto"/>
            </w:tcBorders>
            <w:vAlign w:val="center"/>
          </w:tcPr>
          <w:p w14:paraId="36AE13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643" w:type="dxa"/>
            <w:tcBorders>
              <w:top w:val="single" w:sz="2" w:space="0" w:color="auto"/>
              <w:left w:val="single" w:sz="2" w:space="0" w:color="auto"/>
              <w:bottom w:val="single" w:sz="2" w:space="0" w:color="auto"/>
              <w:right w:val="single" w:sz="2" w:space="0" w:color="auto"/>
            </w:tcBorders>
            <w:vAlign w:val="center"/>
          </w:tcPr>
          <w:p w14:paraId="4F1C2D1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3" w:type="dxa"/>
            <w:tcBorders>
              <w:top w:val="single" w:sz="2" w:space="0" w:color="auto"/>
              <w:left w:val="single" w:sz="2" w:space="0" w:color="auto"/>
              <w:bottom w:val="single" w:sz="2" w:space="0" w:color="auto"/>
              <w:right w:val="single" w:sz="2" w:space="0" w:color="auto"/>
            </w:tcBorders>
            <w:vAlign w:val="center"/>
          </w:tcPr>
          <w:p w14:paraId="06FB6E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76DA64B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355ACC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78D2E7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14:paraId="4E07E7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2051965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500BA2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r w:rsidR="00E32FE0" w:rsidRPr="005B5EC1" w14:paraId="0E6E1296" w14:textId="77777777" w:rsidTr="002D722A">
        <w:trPr>
          <w:trHeight w:val="240"/>
        </w:trPr>
        <w:tc>
          <w:tcPr>
            <w:tcW w:w="283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2B7939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14:paraId="17A67DE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69398DB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245,000</w:t>
            </w:r>
          </w:p>
        </w:tc>
        <w:tc>
          <w:tcPr>
            <w:tcW w:w="914" w:type="dxa"/>
            <w:tcBorders>
              <w:top w:val="single" w:sz="2" w:space="0" w:color="auto"/>
              <w:left w:val="single" w:sz="2" w:space="0" w:color="auto"/>
              <w:bottom w:val="single" w:sz="2" w:space="0" w:color="auto"/>
              <w:right w:val="single" w:sz="2" w:space="0" w:color="auto"/>
            </w:tcBorders>
            <w:vAlign w:val="center"/>
          </w:tcPr>
          <w:p w14:paraId="5FFD99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156,078.64</w:t>
            </w:r>
          </w:p>
        </w:tc>
        <w:tc>
          <w:tcPr>
            <w:tcW w:w="643" w:type="dxa"/>
            <w:tcBorders>
              <w:top w:val="single" w:sz="2" w:space="0" w:color="auto"/>
              <w:left w:val="single" w:sz="2" w:space="0" w:color="auto"/>
              <w:bottom w:val="single" w:sz="2" w:space="0" w:color="auto"/>
              <w:right w:val="single" w:sz="2" w:space="0" w:color="auto"/>
            </w:tcBorders>
            <w:vAlign w:val="center"/>
          </w:tcPr>
          <w:p w14:paraId="1EFCEA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3,123.65</w:t>
            </w:r>
          </w:p>
        </w:tc>
        <w:tc>
          <w:tcPr>
            <w:tcW w:w="853" w:type="dxa"/>
            <w:tcBorders>
              <w:top w:val="single" w:sz="2" w:space="0" w:color="auto"/>
              <w:left w:val="single" w:sz="2" w:space="0" w:color="auto"/>
              <w:bottom w:val="single" w:sz="2" w:space="0" w:color="auto"/>
              <w:right w:val="single" w:sz="2" w:space="0" w:color="auto"/>
            </w:tcBorders>
            <w:vAlign w:val="center"/>
          </w:tcPr>
          <w:p w14:paraId="67CA43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109,504.81</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55878AB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BE1B4A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14:paraId="2CDCFF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-1,794.11</w:t>
            </w:r>
          </w:p>
        </w:tc>
        <w:tc>
          <w:tcPr>
            <w:tcW w:w="567" w:type="dxa"/>
            <w:tcBorders>
              <w:top w:val="single" w:sz="2" w:space="0" w:color="auto"/>
              <w:left w:val="single" w:sz="2" w:space="0" w:color="auto"/>
              <w:bottom w:val="single" w:sz="2" w:space="0" w:color="auto"/>
              <w:right w:val="single" w:sz="2" w:space="0" w:color="auto"/>
            </w:tcBorders>
            <w:vAlign w:val="center"/>
          </w:tcPr>
          <w:p w14:paraId="35497D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F6D93D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09CCBCA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r w:rsidR="00E32FE0" w:rsidRPr="005B5EC1" w14:paraId="7EF6D8A3" w14:textId="77777777" w:rsidTr="002D722A">
        <w:trPr>
          <w:trHeight w:val="240"/>
        </w:trPr>
        <w:tc>
          <w:tcPr>
            <w:tcW w:w="167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FCBB5A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分项目说明未达到计划进度、预计收益的情况和原因（含</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是否达到预计效益</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选择</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不适用</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的原因）</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35045AC7"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、补充流动资金：</w:t>
            </w:r>
          </w:p>
          <w:p w14:paraId="031B43FC"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补充流动资金无法单独核算效益，但通过增加公司营运资金，提高公司资产运转能力和支付能力，提高公司经营抗风险能力，对公司经营业绩产生积极影响，从而间接提高公司效益。</w:t>
            </w:r>
          </w:p>
          <w:p w14:paraId="480BDD28"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、安丘市石埠子镇新建年出栏</w:t>
            </w:r>
            <w:r w:rsidRPr="005B5EC1">
              <w:rPr>
                <w:rFonts w:ascii="Times New Roman" w:eastAsia="宋体" w:hAnsi="Times New Roman" w:cs="Times New Roman"/>
                <w:sz w:val="18"/>
                <w:szCs w:val="18"/>
              </w:rPr>
              <w:t>50</w:t>
            </w:r>
            <w:r w:rsidRPr="005B5EC1">
              <w:rPr>
                <w:rFonts w:ascii="Times New Roman" w:eastAsia="宋体" w:hAnsi="Times New Roman" w:cs="Times New Roman"/>
                <w:sz w:val="18"/>
                <w:szCs w:val="18"/>
              </w:rPr>
              <w:t>万头商品猪项目：</w:t>
            </w:r>
          </w:p>
          <w:p w14:paraId="0A3033BC"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截止目前，公司募投项目主体工程部分已全部完工，因公司募集资金投资项目主要为生猪养殖，且目前疫病对生猪养殖影响也较为突出，生物安全风险较大，为保证募集资金安全、合理运用，严格把控风险，公司结合行业的整体发展状况，并按照谨慎性原则对本项目投产进度进行一定的放缓；截止</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年底，项目尚未全部投入使用。因此该项目尚未达到预计收益。</w:t>
            </w:r>
          </w:p>
          <w:p w14:paraId="763D6280"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、山东新建年出栏生猪</w:t>
            </w:r>
            <w:r w:rsidRPr="005B5EC1">
              <w:rPr>
                <w:rFonts w:ascii="Times New Roman" w:eastAsia="宋体" w:hAnsi="Times New Roman" w:cs="Times New Roman"/>
                <w:sz w:val="18"/>
                <w:szCs w:val="18"/>
              </w:rPr>
              <w:t>66</w:t>
            </w:r>
            <w:r w:rsidRPr="005B5EC1">
              <w:rPr>
                <w:rFonts w:ascii="Times New Roman" w:eastAsia="宋体" w:hAnsi="Times New Roman" w:cs="Times New Roman"/>
                <w:sz w:val="18"/>
                <w:szCs w:val="18"/>
              </w:rPr>
              <w:t>万头养殖项目：</w:t>
            </w:r>
          </w:p>
          <w:p w14:paraId="2BF8B2FA"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截止目前，公司募投项目主体工程部分已全部完工，因公司募集资金投资项目主要为生猪养殖，且目前疫病对生猪养殖影响也较为突出，生物安全风险较大，为保证募集资金安全、合理运用，严格把控风险，公司结合行业的整体发展状况，并按照谨慎性原则对本项目投产进度进行一定的放缓；截止</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年底，该项目已转固。</w:t>
            </w:r>
          </w:p>
        </w:tc>
      </w:tr>
      <w:tr w:rsidR="00E32FE0" w:rsidRPr="005B5EC1" w14:paraId="70C8ECD8" w14:textId="77777777" w:rsidTr="002D722A">
        <w:trPr>
          <w:trHeight w:val="240"/>
        </w:trPr>
        <w:tc>
          <w:tcPr>
            <w:tcW w:w="167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EE1F1C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项目可行性发生重大变化的情况说明</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1D05563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32FE0" w:rsidRPr="005B5EC1" w14:paraId="5C9DEC7F" w14:textId="77777777" w:rsidTr="002D722A">
        <w:trPr>
          <w:trHeight w:val="240"/>
        </w:trPr>
        <w:tc>
          <w:tcPr>
            <w:tcW w:w="167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733002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超募资金的金额、用途及使用进展情况</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2A9978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32FE0" w:rsidRPr="005B5EC1" w14:paraId="256248BB" w14:textId="77777777" w:rsidTr="002D722A">
        <w:trPr>
          <w:trHeight w:val="240"/>
        </w:trPr>
        <w:tc>
          <w:tcPr>
            <w:tcW w:w="167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186A31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募集资金投资项目实施地点变更情况</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152AC8B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32FE0" w:rsidRPr="005B5EC1" w14:paraId="28159317" w14:textId="77777777" w:rsidTr="002D722A">
        <w:trPr>
          <w:trHeight w:val="240"/>
        </w:trPr>
        <w:tc>
          <w:tcPr>
            <w:tcW w:w="167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68CEF4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募集资金投资项目实施方式调整情况</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27C412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32FE0" w:rsidRPr="005B5EC1" w14:paraId="539618E7" w14:textId="77777777" w:rsidTr="002D722A">
        <w:trPr>
          <w:trHeight w:val="240"/>
        </w:trPr>
        <w:tc>
          <w:tcPr>
            <w:tcW w:w="167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B8A02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募集资金投资项目先期投入及置换情况</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6BE537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适用</w:t>
            </w:r>
          </w:p>
        </w:tc>
      </w:tr>
      <w:tr w:rsidR="00E32FE0" w:rsidRPr="005B5EC1" w14:paraId="46769368" w14:textId="77777777" w:rsidTr="002D722A">
        <w:trPr>
          <w:trHeight w:val="240"/>
        </w:trPr>
        <w:tc>
          <w:tcPr>
            <w:tcW w:w="167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40463826" w14:textId="77777777" w:rsidR="00E32FE0" w:rsidRPr="005B5EC1" w:rsidRDefault="00E32FE0">
            <w:pPr>
              <w:rPr>
                <w:rFonts w:ascii="Times New Roman" w:hAnsi="Times New Roman" w:cs="Times New Roman"/>
              </w:rPr>
            </w:pP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60E4E8AA"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日，经公司董事会审议通过，公司以募集资金</w:t>
            </w:r>
            <w:r w:rsidRPr="005B5EC1">
              <w:rPr>
                <w:rFonts w:ascii="Times New Roman" w:eastAsia="宋体" w:hAnsi="Times New Roman" w:cs="Times New Roman"/>
                <w:sz w:val="18"/>
                <w:szCs w:val="18"/>
              </w:rPr>
              <w:t>3,581.42</w:t>
            </w:r>
            <w:r w:rsidRPr="005B5EC1">
              <w:rPr>
                <w:rFonts w:ascii="Times New Roman" w:eastAsia="宋体" w:hAnsi="Times New Roman" w:cs="Times New Roman"/>
                <w:sz w:val="18"/>
                <w:szCs w:val="18"/>
              </w:rPr>
              <w:t>万元对先期投入的</w:t>
            </w:r>
            <w:r w:rsidRPr="005B5EC1">
              <w:rPr>
                <w:rFonts w:ascii="Times New Roman" w:eastAsia="宋体" w:hAnsi="Times New Roman" w:cs="Times New Roman"/>
                <w:sz w:val="18"/>
                <w:szCs w:val="18"/>
              </w:rPr>
              <w:t>3,581.42</w:t>
            </w:r>
            <w:r w:rsidRPr="005B5EC1">
              <w:rPr>
                <w:rFonts w:ascii="Times New Roman" w:eastAsia="宋体" w:hAnsi="Times New Roman" w:cs="Times New Roman"/>
                <w:sz w:val="18"/>
                <w:szCs w:val="18"/>
              </w:rPr>
              <w:t>万元自筹资金进行了置换。该事项已经中审众环会计师事务所（特殊普通合伙）于</w:t>
            </w: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日出具众环专字</w:t>
            </w:r>
            <w:r w:rsidRPr="005B5EC1">
              <w:rPr>
                <w:rFonts w:ascii="Times New Roman" w:eastAsia="宋体" w:hAnsi="Times New Roman" w:cs="Times New Roman"/>
                <w:sz w:val="18"/>
                <w:szCs w:val="18"/>
              </w:rPr>
              <w:t>[2020]280025</w:t>
            </w:r>
            <w:r w:rsidRPr="005B5EC1">
              <w:rPr>
                <w:rFonts w:ascii="Times New Roman" w:eastAsia="宋体" w:hAnsi="Times New Roman" w:cs="Times New Roman"/>
                <w:sz w:val="18"/>
                <w:szCs w:val="18"/>
              </w:rPr>
              <w:t>号专项报告予以鉴证。</w:t>
            </w:r>
          </w:p>
          <w:p w14:paraId="48BE99F3"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公司第四届董事会第三十四次会议审议通过了《关于使用非公开发行股票募集资金置换预先投入募投项目自筹资金的议案》，同意公司使用非公开发行股票募集资金置换已投入募集资金项目的自筹资金，合计金额为</w:t>
            </w:r>
            <w:r w:rsidRPr="005B5EC1">
              <w:rPr>
                <w:rFonts w:ascii="Times New Roman" w:eastAsia="宋体" w:hAnsi="Times New Roman" w:cs="Times New Roman"/>
                <w:sz w:val="18"/>
                <w:szCs w:val="18"/>
              </w:rPr>
              <w:t>12,210.29</w:t>
            </w:r>
            <w:r w:rsidRPr="005B5EC1">
              <w:rPr>
                <w:rFonts w:ascii="Times New Roman" w:eastAsia="宋体" w:hAnsi="Times New Roman" w:cs="Times New Roman"/>
                <w:sz w:val="18"/>
                <w:szCs w:val="18"/>
              </w:rPr>
              <w:t>万元。该事项已经中审众环会计师事务所（特殊普通合伙）出具《山东龙大肉食品股份有限公司以自筹资金预先投入募集资金投资项目情况报告的鉴证报告》（众环专字（</w:t>
            </w: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2800021</w:t>
            </w:r>
            <w:r w:rsidRPr="005B5EC1">
              <w:rPr>
                <w:rFonts w:ascii="Times New Roman" w:eastAsia="宋体" w:hAnsi="Times New Roman" w:cs="Times New Roman"/>
                <w:sz w:val="18"/>
                <w:szCs w:val="18"/>
              </w:rPr>
              <w:t>号）予以鉴证。</w:t>
            </w:r>
          </w:p>
          <w:p w14:paraId="5324D119"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公司独立董事、监事会及保荐机构已分别对上述事项发表同意意见。</w:t>
            </w:r>
          </w:p>
        </w:tc>
      </w:tr>
      <w:tr w:rsidR="00E32FE0" w:rsidRPr="005B5EC1" w14:paraId="124A9DB6" w14:textId="77777777" w:rsidTr="002D722A">
        <w:trPr>
          <w:trHeight w:val="240"/>
        </w:trPr>
        <w:tc>
          <w:tcPr>
            <w:tcW w:w="167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01E92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用闲置募集资金暂时补充流动资金情况</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3A59637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适用</w:t>
            </w:r>
          </w:p>
        </w:tc>
      </w:tr>
      <w:tr w:rsidR="00E32FE0" w:rsidRPr="005B5EC1" w14:paraId="44A35C97" w14:textId="77777777" w:rsidTr="002D722A">
        <w:trPr>
          <w:trHeight w:val="240"/>
        </w:trPr>
        <w:tc>
          <w:tcPr>
            <w:tcW w:w="167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539106CA" w14:textId="77777777" w:rsidR="00E32FE0" w:rsidRPr="005B5EC1" w:rsidRDefault="00E32FE0">
            <w:pPr>
              <w:rPr>
                <w:rFonts w:ascii="Times New Roman" w:hAnsi="Times New Roman" w:cs="Times New Roman"/>
              </w:rPr>
            </w:pP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7DBE4BA5" w14:textId="3B9F7CF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日，公司第四届董事会第三十四次会议审议通过了《关于使用部分闲置募集资金暂时补充流动资金的议案》，公司决定使用可转换债券部分闲置募集资金</w:t>
            </w:r>
            <w:r w:rsidRPr="005B5EC1">
              <w:rPr>
                <w:rFonts w:ascii="Times New Roman" w:eastAsia="宋体" w:hAnsi="Times New Roman" w:cs="Times New Roman"/>
                <w:sz w:val="18"/>
                <w:szCs w:val="18"/>
              </w:rPr>
              <w:t>46,247.96</w:t>
            </w:r>
            <w:r w:rsidRPr="005B5EC1">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14:paraId="0868F819"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截至</w:t>
            </w: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日，公司已按规定将上述用于暂时补充流动资金的募集资金全部归还至募集资金专项账户，使用期限均未超过</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个月。</w:t>
            </w:r>
          </w:p>
          <w:p w14:paraId="3E029400" w14:textId="7089E213"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日，公司第五届董事会第五次会议审议通过了《关于继续使用部分闲置募集资金暂时补充流动资金的议案》，公司决定使用可转换债券部分闲置募集资金</w:t>
            </w:r>
            <w:r w:rsidRPr="005B5EC1">
              <w:rPr>
                <w:rFonts w:ascii="Times New Roman" w:eastAsia="宋体" w:hAnsi="Times New Roman" w:cs="Times New Roman"/>
                <w:sz w:val="18"/>
                <w:szCs w:val="18"/>
              </w:rPr>
              <w:t>40,572.67</w:t>
            </w:r>
            <w:r w:rsidRPr="005B5EC1">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03F49154"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截至</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日，公司已按规定将上述用于暂时补充流动资金的募集资金全部归还至募集资金专项账户，使用期限均未超过</w:t>
            </w:r>
            <w:r w:rsidRPr="005B5EC1">
              <w:rPr>
                <w:rFonts w:ascii="Times New Roman" w:eastAsia="宋体" w:hAnsi="Times New Roman" w:cs="Times New Roman"/>
                <w:sz w:val="18"/>
                <w:szCs w:val="18"/>
              </w:rPr>
              <w:t xml:space="preserve"> 12 </w:t>
            </w:r>
            <w:r w:rsidRPr="005B5EC1">
              <w:rPr>
                <w:rFonts w:ascii="Times New Roman" w:eastAsia="宋体" w:hAnsi="Times New Roman" w:cs="Times New Roman"/>
                <w:sz w:val="18"/>
                <w:szCs w:val="18"/>
              </w:rPr>
              <w:t>个月。</w:t>
            </w:r>
          </w:p>
          <w:p w14:paraId="58780860" w14:textId="74B2E4A4"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14</w:t>
            </w:r>
            <w:r w:rsidRPr="005B5EC1">
              <w:rPr>
                <w:rFonts w:ascii="Times New Roman" w:eastAsia="宋体" w:hAnsi="Times New Roman" w:cs="Times New Roman"/>
                <w:sz w:val="18"/>
                <w:szCs w:val="18"/>
              </w:rPr>
              <w:t>日，公司第五届董事会第十五次会议审议通过了《关于继续使用部分闲置募集资金暂时补充流动资金的议案》，公司决定使用可转换债券部分闲置募集资金</w:t>
            </w:r>
            <w:r w:rsidRPr="005B5EC1">
              <w:rPr>
                <w:rFonts w:ascii="Times New Roman" w:eastAsia="宋体" w:hAnsi="Times New Roman" w:cs="Times New Roman"/>
                <w:sz w:val="18"/>
                <w:szCs w:val="18"/>
              </w:rPr>
              <w:t>39,900.00</w:t>
            </w:r>
            <w:r w:rsidRPr="005B5EC1">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0FE621F2"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截至</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日，公司已按规定将上述用于暂时补充流动资金的募集资金全部归还至募集资金专项账户，上述资金使用期限均未超过</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个月。</w:t>
            </w:r>
          </w:p>
          <w:p w14:paraId="0AB0F6F1" w14:textId="0DFA5D98"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日，公司第五届董事会第十五次会议审议通过了《关于继续使用部分闲置募集资金暂时补充流动资金的议案》，公司决定使用可转换债券部分闲置募集资金</w:t>
            </w:r>
            <w:r w:rsidRPr="005B5EC1">
              <w:rPr>
                <w:rFonts w:ascii="Times New Roman" w:eastAsia="宋体" w:hAnsi="Times New Roman" w:cs="Times New Roman"/>
                <w:sz w:val="18"/>
                <w:szCs w:val="18"/>
              </w:rPr>
              <w:t xml:space="preserve">39,600.00 </w:t>
            </w:r>
            <w:r w:rsidRPr="005B5EC1">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41FE2D9A" w14:textId="58E546FD"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日，公司第四届董事会第三十四次会议审议通过了《关于使用部分闲置募集资金暂时补充流动资金的议案》，公司决定使用非公开发行股票部分闲置募集资金</w:t>
            </w:r>
            <w:r w:rsidRPr="005B5EC1">
              <w:rPr>
                <w:rFonts w:ascii="Times New Roman" w:eastAsia="宋体" w:hAnsi="Times New Roman" w:cs="Times New Roman"/>
                <w:sz w:val="18"/>
                <w:szCs w:val="18"/>
              </w:rPr>
              <w:t>28,256.35</w:t>
            </w:r>
            <w:r w:rsidRPr="005B5EC1">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14:paraId="4F2853AC"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截至</w:t>
            </w: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日，公司已按规定将上述用于暂时补充流动资金的募集资金全部归还至募集资金专项账户，使用期限均未超过</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个月。</w:t>
            </w:r>
          </w:p>
          <w:p w14:paraId="591EC872" w14:textId="45C883A5"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日，公司第五届董事会第五次会议审议通过了《关于继续使用部分闲置募集资金暂时补充流动资金的议案》，公司决定使用非公开发行股票部分闲置募集资金补充流动资金的金额不超过</w:t>
            </w:r>
            <w:r w:rsidRPr="005B5EC1">
              <w:rPr>
                <w:rFonts w:ascii="Times New Roman" w:eastAsia="宋体" w:hAnsi="Times New Roman" w:cs="Times New Roman"/>
                <w:sz w:val="18"/>
                <w:szCs w:val="18"/>
              </w:rPr>
              <w:t xml:space="preserve"> 12,182.35</w:t>
            </w:r>
            <w:r w:rsidR="00975D82">
              <w:rPr>
                <w:rFonts w:ascii="Times New Roman" w:eastAsia="宋体" w:hAnsi="Times New Roman" w:cs="Times New Roman" w:hint="eastAsia"/>
                <w:sz w:val="18"/>
                <w:szCs w:val="18"/>
              </w:rPr>
              <w:t>万元</w:t>
            </w:r>
            <w:r w:rsidRPr="005B5EC1">
              <w:rPr>
                <w:rFonts w:ascii="Times New Roman" w:eastAsia="宋体" w:hAnsi="Times New Roman" w:cs="Times New Roman"/>
                <w:sz w:val="18"/>
                <w:szCs w:val="18"/>
              </w:rPr>
              <w:t>（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0CFCAAE3"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截至</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日，公司已按规定将上述用于暂时补充流动资金的募集资金全部归还至募集资金专项账户，使用期限均未超过</w:t>
            </w:r>
            <w:r w:rsidRPr="005B5EC1">
              <w:rPr>
                <w:rFonts w:ascii="Times New Roman" w:eastAsia="宋体" w:hAnsi="Times New Roman" w:cs="Times New Roman"/>
                <w:sz w:val="18"/>
                <w:szCs w:val="18"/>
              </w:rPr>
              <w:t xml:space="preserve"> 12 </w:t>
            </w:r>
            <w:r w:rsidRPr="005B5EC1">
              <w:rPr>
                <w:rFonts w:ascii="Times New Roman" w:eastAsia="宋体" w:hAnsi="Times New Roman" w:cs="Times New Roman"/>
                <w:sz w:val="18"/>
                <w:szCs w:val="18"/>
              </w:rPr>
              <w:t>个月。</w:t>
            </w:r>
          </w:p>
          <w:p w14:paraId="54348867" w14:textId="386F19B3"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14</w:t>
            </w:r>
            <w:r w:rsidRPr="005B5EC1">
              <w:rPr>
                <w:rFonts w:ascii="Times New Roman" w:eastAsia="宋体" w:hAnsi="Times New Roman" w:cs="Times New Roman"/>
                <w:sz w:val="18"/>
                <w:szCs w:val="18"/>
              </w:rPr>
              <w:t>日，公司第五届董事会第十五次会议审议通过了《关于继续使用部分闲置募集资金暂时补充流动资金的议案》，公司决定使用非公开发行股票部分闲置募集资金补充流动资金的金额不超过</w:t>
            </w:r>
            <w:r w:rsidRPr="005B5EC1">
              <w:rPr>
                <w:rFonts w:ascii="Times New Roman" w:eastAsia="宋体" w:hAnsi="Times New Roman" w:cs="Times New Roman"/>
                <w:sz w:val="18"/>
                <w:szCs w:val="18"/>
              </w:rPr>
              <w:t xml:space="preserve"> 10,100.00</w:t>
            </w:r>
            <w:r w:rsidR="00975D82">
              <w:rPr>
                <w:rFonts w:ascii="Times New Roman" w:eastAsia="宋体" w:hAnsi="Times New Roman" w:cs="Times New Roman" w:hint="eastAsia"/>
                <w:sz w:val="18"/>
                <w:szCs w:val="18"/>
              </w:rPr>
              <w:t>万元</w:t>
            </w:r>
            <w:r w:rsidRPr="005B5EC1">
              <w:rPr>
                <w:rFonts w:ascii="Times New Roman" w:eastAsia="宋体" w:hAnsi="Times New Roman" w:cs="Times New Roman"/>
                <w:sz w:val="18"/>
                <w:szCs w:val="18"/>
              </w:rPr>
              <w:t>（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14:paraId="7E61AB42"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截至</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日，公司已按规定将上述用于暂时补充流动资金的募集资金全部归还至募集资金专项账户，上述资金使用期限均未超过</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个月。</w:t>
            </w:r>
          </w:p>
          <w:p w14:paraId="03F40D00" w14:textId="645E6712"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日，公司第五届董事会第十五次会议审议通过了《关于继续使用部分闲置募集资金暂时补充流动资金的议案》，公司决定使用非公开发行股票部分闲置募集资金补充流动资金的金额不超过</w:t>
            </w:r>
            <w:r w:rsidRPr="005B5EC1">
              <w:rPr>
                <w:rFonts w:ascii="Times New Roman" w:eastAsia="宋体" w:hAnsi="Times New Roman" w:cs="Times New Roman"/>
                <w:sz w:val="18"/>
                <w:szCs w:val="18"/>
              </w:rPr>
              <w:t xml:space="preserve">9,880.00 </w:t>
            </w:r>
            <w:r w:rsidRPr="005B5EC1">
              <w:rPr>
                <w:rFonts w:ascii="Times New Roman" w:eastAsia="宋体" w:hAnsi="Times New Roman" w:cs="Times New Roman"/>
                <w:sz w:val="18"/>
                <w:szCs w:val="18"/>
              </w:rPr>
              <w:t>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tc>
      </w:tr>
      <w:tr w:rsidR="00E32FE0" w:rsidRPr="005B5EC1" w14:paraId="3F793EFF" w14:textId="77777777" w:rsidTr="002D722A">
        <w:trPr>
          <w:trHeight w:val="240"/>
        </w:trPr>
        <w:tc>
          <w:tcPr>
            <w:tcW w:w="167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A23F16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项目实施出现募集资金结余的金额及原因</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5FF119D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32FE0" w:rsidRPr="005B5EC1" w14:paraId="4B8CE193" w14:textId="77777777" w:rsidTr="002D722A">
        <w:trPr>
          <w:trHeight w:val="240"/>
        </w:trPr>
        <w:tc>
          <w:tcPr>
            <w:tcW w:w="167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9729A1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尚未使用的募集资金用途及去向</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2C8D91C9"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尚未使用的募集资金主要用于以下用途：</w:t>
            </w:r>
          </w:p>
          <w:p w14:paraId="4E1E9F6A"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）暂时补充流动资金</w:t>
            </w:r>
            <w:r w:rsidRPr="005B5EC1">
              <w:rPr>
                <w:rFonts w:ascii="Times New Roman" w:eastAsia="宋体" w:hAnsi="Times New Roman" w:cs="Times New Roman"/>
                <w:sz w:val="18"/>
                <w:szCs w:val="18"/>
              </w:rPr>
              <w:t>38,530.00</w:t>
            </w:r>
            <w:r w:rsidRPr="005B5EC1">
              <w:rPr>
                <w:rFonts w:ascii="Times New Roman" w:eastAsia="宋体" w:hAnsi="Times New Roman" w:cs="Times New Roman"/>
                <w:sz w:val="18"/>
                <w:szCs w:val="18"/>
              </w:rPr>
              <w:t>万元；</w:t>
            </w:r>
          </w:p>
          <w:p w14:paraId="07D685B8"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）其余未使用的募集资金人民币</w:t>
            </w:r>
            <w:r w:rsidRPr="005B5EC1">
              <w:rPr>
                <w:rFonts w:ascii="Times New Roman" w:eastAsia="宋体" w:hAnsi="Times New Roman" w:cs="Times New Roman"/>
                <w:sz w:val="18"/>
                <w:szCs w:val="18"/>
              </w:rPr>
              <w:t>44.86</w:t>
            </w:r>
            <w:r w:rsidRPr="005B5EC1">
              <w:rPr>
                <w:rFonts w:ascii="Times New Roman" w:eastAsia="宋体" w:hAnsi="Times New Roman" w:cs="Times New Roman"/>
                <w:sz w:val="18"/>
                <w:szCs w:val="18"/>
              </w:rPr>
              <w:t>万元存放于募集资金专用账户。</w:t>
            </w:r>
          </w:p>
          <w:p w14:paraId="4BD4A003"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）暂时补充流动资金</w:t>
            </w:r>
            <w:r w:rsidRPr="005B5EC1">
              <w:rPr>
                <w:rFonts w:ascii="Times New Roman" w:eastAsia="宋体" w:hAnsi="Times New Roman" w:cs="Times New Roman"/>
                <w:sz w:val="18"/>
                <w:szCs w:val="18"/>
              </w:rPr>
              <w:t>9183.68</w:t>
            </w:r>
            <w:r w:rsidRPr="005B5EC1">
              <w:rPr>
                <w:rFonts w:ascii="Times New Roman" w:eastAsia="宋体" w:hAnsi="Times New Roman" w:cs="Times New Roman"/>
                <w:sz w:val="18"/>
                <w:szCs w:val="18"/>
              </w:rPr>
              <w:t>万元；</w:t>
            </w:r>
          </w:p>
          <w:p w14:paraId="370B6776" w14:textId="77777777" w:rsidR="00E32FE0" w:rsidRPr="005B5EC1" w:rsidRDefault="00000000" w:rsidP="002D722A">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）其余未使用的募集资金人民币</w:t>
            </w:r>
            <w:r w:rsidRPr="005B5EC1">
              <w:rPr>
                <w:rFonts w:ascii="Times New Roman" w:eastAsia="宋体" w:hAnsi="Times New Roman" w:cs="Times New Roman"/>
                <w:sz w:val="18"/>
                <w:szCs w:val="18"/>
              </w:rPr>
              <w:t>92.47</w:t>
            </w:r>
            <w:r w:rsidRPr="005B5EC1">
              <w:rPr>
                <w:rFonts w:ascii="Times New Roman" w:eastAsia="宋体" w:hAnsi="Times New Roman" w:cs="Times New Roman"/>
                <w:sz w:val="18"/>
                <w:szCs w:val="18"/>
              </w:rPr>
              <w:t>万元存放于募集资金专用账户。</w:t>
            </w:r>
          </w:p>
        </w:tc>
      </w:tr>
      <w:tr w:rsidR="00E32FE0" w:rsidRPr="005B5EC1" w14:paraId="2A5E9524" w14:textId="77777777" w:rsidTr="002D722A">
        <w:trPr>
          <w:trHeight w:val="240"/>
        </w:trPr>
        <w:tc>
          <w:tcPr>
            <w:tcW w:w="167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6B697B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募集资金使用及披露中存在的问题或其他情况</w:t>
            </w:r>
          </w:p>
        </w:tc>
        <w:tc>
          <w:tcPr>
            <w:tcW w:w="8817" w:type="dxa"/>
            <w:gridSpan w:val="13"/>
            <w:tcBorders>
              <w:top w:val="single" w:sz="2" w:space="0" w:color="auto"/>
              <w:left w:val="single" w:sz="2" w:space="0" w:color="auto"/>
              <w:bottom w:val="single" w:sz="2" w:space="0" w:color="auto"/>
              <w:right w:val="single" w:sz="2" w:space="0" w:color="auto"/>
            </w:tcBorders>
            <w:vAlign w:val="center"/>
          </w:tcPr>
          <w:p w14:paraId="55E76D7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bl>
    <w:p w14:paraId="098C610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6" w:name="_Toc988935"/>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募集资金变更项目情况</w:t>
      </w:r>
      <w:bookmarkEnd w:id="46"/>
    </w:p>
    <w:p w14:paraId="6973AA1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5518FC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公司报告期不存在募集资金变更项目情况。</w:t>
      </w:r>
    </w:p>
    <w:p w14:paraId="7504663B"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7" w:name="_Toc988936"/>
      <w:r w:rsidRPr="005B5EC1">
        <w:rPr>
          <w:rFonts w:ascii="Times New Roman" w:eastAsia="宋体" w:hAnsi="Times New Roman" w:cs="Times New Roman"/>
          <w:b/>
          <w:bCs/>
          <w:sz w:val="24"/>
          <w:szCs w:val="24"/>
        </w:rPr>
        <w:t>八、重大资产和股权出售</w:t>
      </w:r>
      <w:bookmarkEnd w:id="47"/>
    </w:p>
    <w:p w14:paraId="44D2C917" w14:textId="77777777" w:rsidR="00E32FE0" w:rsidRPr="005B5EC1" w:rsidRDefault="00000000">
      <w:pPr>
        <w:pStyle w:val="3"/>
        <w:spacing w:line="280" w:lineRule="exact"/>
        <w:jc w:val="left"/>
        <w:rPr>
          <w:rFonts w:ascii="Times New Roman" w:hAnsi="Times New Roman" w:cs="Times New Roman"/>
          <w:b/>
          <w:bCs/>
        </w:rPr>
      </w:pPr>
      <w:bookmarkStart w:id="48" w:name="_Toc988937"/>
      <w:r w:rsidRPr="005B5EC1">
        <w:rPr>
          <w:rFonts w:ascii="Times New Roman" w:hAnsi="Times New Roman" w:cs="Times New Roman"/>
          <w:b/>
          <w:bCs/>
        </w:rPr>
        <w:t>1</w:t>
      </w:r>
      <w:r w:rsidRPr="005B5EC1">
        <w:rPr>
          <w:rFonts w:ascii="Times New Roman" w:hAnsi="Times New Roman" w:cs="Times New Roman"/>
          <w:b/>
          <w:bCs/>
        </w:rPr>
        <w:t>、出售重大资产情况</w:t>
      </w:r>
      <w:bookmarkEnd w:id="48"/>
    </w:p>
    <w:p w14:paraId="6579414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7CB584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公司报告期未出售重大资产。</w:t>
      </w:r>
    </w:p>
    <w:p w14:paraId="4F05864F" w14:textId="77777777" w:rsidR="00E32FE0" w:rsidRPr="005B5EC1" w:rsidRDefault="00000000">
      <w:pPr>
        <w:pStyle w:val="3"/>
        <w:spacing w:line="280" w:lineRule="exact"/>
        <w:jc w:val="left"/>
        <w:rPr>
          <w:rFonts w:ascii="Times New Roman" w:hAnsi="Times New Roman" w:cs="Times New Roman"/>
          <w:b/>
          <w:bCs/>
        </w:rPr>
      </w:pPr>
      <w:bookmarkStart w:id="49" w:name="_Toc988938"/>
      <w:r w:rsidRPr="005B5EC1">
        <w:rPr>
          <w:rFonts w:ascii="Times New Roman" w:hAnsi="Times New Roman" w:cs="Times New Roman"/>
          <w:b/>
          <w:bCs/>
        </w:rPr>
        <w:t>2</w:t>
      </w:r>
      <w:r w:rsidRPr="005B5EC1">
        <w:rPr>
          <w:rFonts w:ascii="Times New Roman" w:hAnsi="Times New Roman" w:cs="Times New Roman"/>
          <w:b/>
          <w:bCs/>
        </w:rPr>
        <w:t>、出售重大股权情况</w:t>
      </w:r>
      <w:bookmarkEnd w:id="49"/>
    </w:p>
    <w:p w14:paraId="21FE76A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A1B3C2A"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0" w:name="_Toc988939"/>
      <w:r w:rsidRPr="005B5EC1">
        <w:rPr>
          <w:rFonts w:ascii="Times New Roman" w:eastAsia="宋体" w:hAnsi="Times New Roman" w:cs="Times New Roman"/>
          <w:b/>
          <w:bCs/>
          <w:sz w:val="24"/>
          <w:szCs w:val="24"/>
        </w:rPr>
        <w:t>九、主要控股参股公司分析</w:t>
      </w:r>
      <w:bookmarkEnd w:id="50"/>
    </w:p>
    <w:p w14:paraId="41DFDA0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43BBC59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主要子公司及对公司净利润影响达</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以上的参股公司情况</w:t>
      </w:r>
    </w:p>
    <w:p w14:paraId="1597E82E"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单位：万元</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992"/>
        <w:gridCol w:w="992"/>
        <w:gridCol w:w="992"/>
        <w:gridCol w:w="993"/>
        <w:gridCol w:w="992"/>
        <w:gridCol w:w="1134"/>
        <w:gridCol w:w="1134"/>
        <w:gridCol w:w="992"/>
      </w:tblGrid>
      <w:tr w:rsidR="00E32FE0" w:rsidRPr="005B5EC1" w14:paraId="019372AC" w14:textId="77777777" w:rsidTr="002D722A">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FB2FAA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公司名称</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1046157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公司类型</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6BB2060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主要业务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79E93F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注册资本</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9A0092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总资产</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B8D135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净资产</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E2C8E9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E67B68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营业利润</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BD1902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净利润</w:t>
            </w:r>
          </w:p>
        </w:tc>
      </w:tr>
      <w:tr w:rsidR="00E32FE0" w:rsidRPr="005B5EC1" w14:paraId="1E72E093" w14:textId="77777777" w:rsidTr="002D722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10A2EFC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992" w:type="dxa"/>
            <w:tcBorders>
              <w:top w:val="single" w:sz="2" w:space="0" w:color="auto"/>
              <w:left w:val="single" w:sz="2" w:space="0" w:color="auto"/>
              <w:bottom w:val="single" w:sz="2" w:space="0" w:color="auto"/>
              <w:right w:val="single" w:sz="2" w:space="0" w:color="auto"/>
            </w:tcBorders>
            <w:vAlign w:val="center"/>
          </w:tcPr>
          <w:p w14:paraId="55D6519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子公司</w:t>
            </w:r>
          </w:p>
        </w:tc>
        <w:tc>
          <w:tcPr>
            <w:tcW w:w="992" w:type="dxa"/>
            <w:tcBorders>
              <w:top w:val="single" w:sz="2" w:space="0" w:color="auto"/>
              <w:left w:val="single" w:sz="2" w:space="0" w:color="auto"/>
              <w:bottom w:val="single" w:sz="2" w:space="0" w:color="auto"/>
              <w:right w:val="single" w:sz="2" w:space="0" w:color="auto"/>
            </w:tcBorders>
            <w:vAlign w:val="center"/>
          </w:tcPr>
          <w:p w14:paraId="1A058D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w:t>
            </w:r>
          </w:p>
        </w:tc>
        <w:tc>
          <w:tcPr>
            <w:tcW w:w="992" w:type="dxa"/>
            <w:tcBorders>
              <w:top w:val="single" w:sz="2" w:space="0" w:color="auto"/>
              <w:left w:val="single" w:sz="2" w:space="0" w:color="auto"/>
              <w:bottom w:val="single" w:sz="2" w:space="0" w:color="auto"/>
              <w:right w:val="single" w:sz="2" w:space="0" w:color="auto"/>
            </w:tcBorders>
            <w:vAlign w:val="center"/>
          </w:tcPr>
          <w:p w14:paraId="62089BA0" w14:textId="1CD5882E"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15</w:t>
            </w:r>
            <w:r w:rsidR="002D722A" w:rsidRPr="005B5EC1">
              <w:rPr>
                <w:rFonts w:ascii="Times New Roman" w:eastAsia="宋体" w:hAnsi="Times New Roman" w:cs="Times New Roman" w:hint="eastAsia"/>
                <w:sz w:val="18"/>
                <w:szCs w:val="18"/>
              </w:rPr>
              <w:t>,</w:t>
            </w:r>
            <w:r w:rsidRPr="005B5EC1">
              <w:rPr>
                <w:rFonts w:ascii="Times New Roman" w:eastAsia="宋体" w:hAnsi="Times New Roman" w:cs="Times New Roman"/>
                <w:sz w:val="18"/>
                <w:szCs w:val="18"/>
              </w:rPr>
              <w:t>000</w:t>
            </w:r>
          </w:p>
        </w:tc>
        <w:tc>
          <w:tcPr>
            <w:tcW w:w="993" w:type="dxa"/>
            <w:tcBorders>
              <w:top w:val="single" w:sz="2" w:space="0" w:color="auto"/>
              <w:left w:val="single" w:sz="2" w:space="0" w:color="auto"/>
              <w:bottom w:val="single" w:sz="2" w:space="0" w:color="auto"/>
              <w:right w:val="single" w:sz="2" w:space="0" w:color="auto"/>
            </w:tcBorders>
            <w:vAlign w:val="center"/>
          </w:tcPr>
          <w:p w14:paraId="7F473E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68,132.98</w:t>
            </w:r>
          </w:p>
        </w:tc>
        <w:tc>
          <w:tcPr>
            <w:tcW w:w="992" w:type="dxa"/>
            <w:tcBorders>
              <w:top w:val="single" w:sz="2" w:space="0" w:color="auto"/>
              <w:left w:val="single" w:sz="2" w:space="0" w:color="auto"/>
              <w:bottom w:val="single" w:sz="2" w:space="0" w:color="auto"/>
              <w:right w:val="single" w:sz="2" w:space="0" w:color="auto"/>
            </w:tcBorders>
            <w:vAlign w:val="center"/>
          </w:tcPr>
          <w:p w14:paraId="6B483F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30,713.99</w:t>
            </w:r>
          </w:p>
        </w:tc>
        <w:tc>
          <w:tcPr>
            <w:tcW w:w="1134" w:type="dxa"/>
            <w:tcBorders>
              <w:top w:val="single" w:sz="2" w:space="0" w:color="auto"/>
              <w:left w:val="single" w:sz="2" w:space="0" w:color="auto"/>
              <w:bottom w:val="single" w:sz="2" w:space="0" w:color="auto"/>
              <w:right w:val="single" w:sz="2" w:space="0" w:color="auto"/>
            </w:tcBorders>
            <w:vAlign w:val="center"/>
          </w:tcPr>
          <w:p w14:paraId="4DA70E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243,190.09</w:t>
            </w:r>
          </w:p>
        </w:tc>
        <w:tc>
          <w:tcPr>
            <w:tcW w:w="1134" w:type="dxa"/>
            <w:tcBorders>
              <w:top w:val="single" w:sz="2" w:space="0" w:color="auto"/>
              <w:left w:val="single" w:sz="2" w:space="0" w:color="auto"/>
              <w:bottom w:val="single" w:sz="2" w:space="0" w:color="auto"/>
              <w:right w:val="single" w:sz="2" w:space="0" w:color="auto"/>
            </w:tcBorders>
            <w:vAlign w:val="center"/>
          </w:tcPr>
          <w:p w14:paraId="1CF40E5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651.93</w:t>
            </w:r>
          </w:p>
        </w:tc>
        <w:tc>
          <w:tcPr>
            <w:tcW w:w="992" w:type="dxa"/>
            <w:tcBorders>
              <w:top w:val="single" w:sz="2" w:space="0" w:color="auto"/>
              <w:left w:val="single" w:sz="2" w:space="0" w:color="auto"/>
              <w:bottom w:val="single" w:sz="2" w:space="0" w:color="auto"/>
              <w:right w:val="single" w:sz="2" w:space="0" w:color="auto"/>
            </w:tcBorders>
            <w:vAlign w:val="center"/>
          </w:tcPr>
          <w:p w14:paraId="59D6BF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685.47</w:t>
            </w:r>
          </w:p>
        </w:tc>
      </w:tr>
      <w:tr w:rsidR="00E32FE0" w:rsidRPr="005B5EC1" w14:paraId="46678AEE" w14:textId="77777777" w:rsidTr="002D722A">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381E2C5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992" w:type="dxa"/>
            <w:tcBorders>
              <w:top w:val="single" w:sz="2" w:space="0" w:color="auto"/>
              <w:left w:val="single" w:sz="2" w:space="0" w:color="auto"/>
              <w:bottom w:val="single" w:sz="2" w:space="0" w:color="auto"/>
              <w:right w:val="single" w:sz="2" w:space="0" w:color="auto"/>
            </w:tcBorders>
            <w:vAlign w:val="center"/>
          </w:tcPr>
          <w:p w14:paraId="7897BD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子公司</w:t>
            </w:r>
          </w:p>
        </w:tc>
        <w:tc>
          <w:tcPr>
            <w:tcW w:w="992" w:type="dxa"/>
            <w:tcBorders>
              <w:top w:val="single" w:sz="2" w:space="0" w:color="auto"/>
              <w:left w:val="single" w:sz="2" w:space="0" w:color="auto"/>
              <w:bottom w:val="single" w:sz="2" w:space="0" w:color="auto"/>
              <w:right w:val="single" w:sz="2" w:space="0" w:color="auto"/>
            </w:tcBorders>
            <w:vAlign w:val="center"/>
          </w:tcPr>
          <w:p w14:paraId="7045250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w:t>
            </w:r>
          </w:p>
        </w:tc>
        <w:tc>
          <w:tcPr>
            <w:tcW w:w="992" w:type="dxa"/>
            <w:tcBorders>
              <w:top w:val="single" w:sz="2" w:space="0" w:color="auto"/>
              <w:left w:val="single" w:sz="2" w:space="0" w:color="auto"/>
              <w:bottom w:val="single" w:sz="2" w:space="0" w:color="auto"/>
              <w:right w:val="single" w:sz="2" w:space="0" w:color="auto"/>
            </w:tcBorders>
            <w:vAlign w:val="center"/>
          </w:tcPr>
          <w:p w14:paraId="27AB8964" w14:textId="46D5FE63"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7</w:t>
            </w:r>
            <w:r w:rsidR="002D722A" w:rsidRPr="005B5EC1">
              <w:rPr>
                <w:rFonts w:ascii="Times New Roman" w:eastAsia="宋体" w:hAnsi="Times New Roman" w:cs="Times New Roman" w:hint="eastAsia"/>
                <w:sz w:val="18"/>
                <w:szCs w:val="18"/>
              </w:rPr>
              <w:t>,</w:t>
            </w:r>
            <w:r w:rsidRPr="005B5EC1">
              <w:rPr>
                <w:rFonts w:ascii="Times New Roman" w:eastAsia="宋体" w:hAnsi="Times New Roman" w:cs="Times New Roman"/>
                <w:sz w:val="18"/>
                <w:szCs w:val="18"/>
              </w:rPr>
              <w:t>000</w:t>
            </w:r>
          </w:p>
        </w:tc>
        <w:tc>
          <w:tcPr>
            <w:tcW w:w="993" w:type="dxa"/>
            <w:tcBorders>
              <w:top w:val="single" w:sz="2" w:space="0" w:color="auto"/>
              <w:left w:val="single" w:sz="2" w:space="0" w:color="auto"/>
              <w:bottom w:val="single" w:sz="2" w:space="0" w:color="auto"/>
              <w:right w:val="single" w:sz="2" w:space="0" w:color="auto"/>
            </w:tcBorders>
            <w:vAlign w:val="center"/>
          </w:tcPr>
          <w:p w14:paraId="7AC28C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56,906.88</w:t>
            </w:r>
          </w:p>
        </w:tc>
        <w:tc>
          <w:tcPr>
            <w:tcW w:w="992" w:type="dxa"/>
            <w:tcBorders>
              <w:top w:val="single" w:sz="2" w:space="0" w:color="auto"/>
              <w:left w:val="single" w:sz="2" w:space="0" w:color="auto"/>
              <w:bottom w:val="single" w:sz="2" w:space="0" w:color="auto"/>
              <w:right w:val="single" w:sz="2" w:space="0" w:color="auto"/>
            </w:tcBorders>
            <w:vAlign w:val="center"/>
          </w:tcPr>
          <w:p w14:paraId="1488AC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10,048.54</w:t>
            </w:r>
          </w:p>
        </w:tc>
        <w:tc>
          <w:tcPr>
            <w:tcW w:w="1134" w:type="dxa"/>
            <w:tcBorders>
              <w:top w:val="single" w:sz="2" w:space="0" w:color="auto"/>
              <w:left w:val="single" w:sz="2" w:space="0" w:color="auto"/>
              <w:bottom w:val="single" w:sz="2" w:space="0" w:color="auto"/>
              <w:right w:val="single" w:sz="2" w:space="0" w:color="auto"/>
            </w:tcBorders>
            <w:vAlign w:val="center"/>
          </w:tcPr>
          <w:p w14:paraId="5A4166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200,964.20</w:t>
            </w:r>
          </w:p>
        </w:tc>
        <w:tc>
          <w:tcPr>
            <w:tcW w:w="1134" w:type="dxa"/>
            <w:tcBorders>
              <w:top w:val="single" w:sz="2" w:space="0" w:color="auto"/>
              <w:left w:val="single" w:sz="2" w:space="0" w:color="auto"/>
              <w:bottom w:val="single" w:sz="2" w:space="0" w:color="auto"/>
              <w:right w:val="single" w:sz="2" w:space="0" w:color="auto"/>
            </w:tcBorders>
            <w:vAlign w:val="center"/>
          </w:tcPr>
          <w:p w14:paraId="1A0BF2A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-2,068.65</w:t>
            </w:r>
          </w:p>
        </w:tc>
        <w:tc>
          <w:tcPr>
            <w:tcW w:w="992" w:type="dxa"/>
            <w:tcBorders>
              <w:top w:val="single" w:sz="2" w:space="0" w:color="auto"/>
              <w:left w:val="single" w:sz="2" w:space="0" w:color="auto"/>
              <w:bottom w:val="single" w:sz="2" w:space="0" w:color="auto"/>
              <w:right w:val="single" w:sz="2" w:space="0" w:color="auto"/>
            </w:tcBorders>
            <w:vAlign w:val="center"/>
          </w:tcPr>
          <w:p w14:paraId="5767DB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-2,077.48</w:t>
            </w:r>
          </w:p>
        </w:tc>
      </w:tr>
    </w:tbl>
    <w:p w14:paraId="0D49AF4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报告期内取得和处置子公司的情况</w:t>
      </w:r>
    </w:p>
    <w:p w14:paraId="5ED69A2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355"/>
      </w:tblGrid>
      <w:tr w:rsidR="00E32FE0" w:rsidRPr="005B5EC1" w14:paraId="45F0D310" w14:textId="77777777" w:rsidTr="002D722A">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E39B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C63B6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报告期内取得和处置子公司方式</w:t>
            </w:r>
          </w:p>
        </w:tc>
        <w:tc>
          <w:tcPr>
            <w:tcW w:w="3355" w:type="dxa"/>
            <w:tcBorders>
              <w:top w:val="single" w:sz="2" w:space="0" w:color="auto"/>
              <w:left w:val="single" w:sz="2" w:space="0" w:color="auto"/>
              <w:bottom w:val="single" w:sz="2" w:space="0" w:color="auto"/>
              <w:right w:val="single" w:sz="2" w:space="0" w:color="auto"/>
            </w:tcBorders>
            <w:shd w:val="clear" w:color="auto" w:fill="D3D3D3"/>
            <w:vAlign w:val="center"/>
          </w:tcPr>
          <w:p w14:paraId="5EE302D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对整体生产经营和业绩的影响</w:t>
            </w:r>
          </w:p>
        </w:tc>
      </w:tr>
      <w:tr w:rsidR="00E32FE0" w:rsidRPr="005B5EC1" w14:paraId="38E91953" w14:textId="77777777" w:rsidTr="002D722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2DDE8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巴中龙大肉食品贸易有限公司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5625A37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新设</w:t>
            </w:r>
          </w:p>
        </w:tc>
        <w:tc>
          <w:tcPr>
            <w:tcW w:w="3355" w:type="dxa"/>
            <w:tcBorders>
              <w:top w:val="single" w:sz="2" w:space="0" w:color="auto"/>
              <w:left w:val="single" w:sz="2" w:space="0" w:color="auto"/>
              <w:bottom w:val="single" w:sz="2" w:space="0" w:color="auto"/>
              <w:right w:val="single" w:sz="2" w:space="0" w:color="auto"/>
            </w:tcBorders>
            <w:vAlign w:val="center"/>
          </w:tcPr>
          <w:p w14:paraId="7CFE0A9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日纳入合并范围</w:t>
            </w:r>
          </w:p>
        </w:tc>
      </w:tr>
      <w:tr w:rsidR="00E32FE0" w:rsidRPr="005B5EC1" w14:paraId="5CC31ED1" w14:textId="77777777" w:rsidTr="002D722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17D504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莒南龙大肉食品有限公司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1F7EA1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注销</w:t>
            </w:r>
          </w:p>
        </w:tc>
        <w:tc>
          <w:tcPr>
            <w:tcW w:w="3355" w:type="dxa"/>
            <w:tcBorders>
              <w:top w:val="single" w:sz="2" w:space="0" w:color="auto"/>
              <w:left w:val="single" w:sz="2" w:space="0" w:color="auto"/>
              <w:bottom w:val="single" w:sz="2" w:space="0" w:color="auto"/>
              <w:right w:val="single" w:sz="2" w:space="0" w:color="auto"/>
            </w:tcBorders>
            <w:vAlign w:val="center"/>
          </w:tcPr>
          <w:p w14:paraId="57FE95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日注销</w:t>
            </w:r>
          </w:p>
        </w:tc>
      </w:tr>
      <w:tr w:rsidR="00E32FE0" w:rsidRPr="005B5EC1" w14:paraId="3E88F550" w14:textId="77777777" w:rsidTr="002D722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48229B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北京晓食探科技有限公司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5088347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注销</w:t>
            </w:r>
          </w:p>
        </w:tc>
        <w:tc>
          <w:tcPr>
            <w:tcW w:w="3355" w:type="dxa"/>
            <w:tcBorders>
              <w:top w:val="single" w:sz="2" w:space="0" w:color="auto"/>
              <w:left w:val="single" w:sz="2" w:space="0" w:color="auto"/>
              <w:bottom w:val="single" w:sz="2" w:space="0" w:color="auto"/>
              <w:right w:val="single" w:sz="2" w:space="0" w:color="auto"/>
            </w:tcBorders>
            <w:vAlign w:val="center"/>
          </w:tcPr>
          <w:p w14:paraId="145290C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日注销</w:t>
            </w:r>
          </w:p>
        </w:tc>
      </w:tr>
      <w:tr w:rsidR="00E32FE0" w:rsidRPr="005B5EC1" w14:paraId="35AF45E1" w14:textId="77777777" w:rsidTr="002D722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737E1C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乳山龙大养殖有限公司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25DDF98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注销</w:t>
            </w:r>
          </w:p>
        </w:tc>
        <w:tc>
          <w:tcPr>
            <w:tcW w:w="3355" w:type="dxa"/>
            <w:tcBorders>
              <w:top w:val="single" w:sz="2" w:space="0" w:color="auto"/>
              <w:left w:val="single" w:sz="2" w:space="0" w:color="auto"/>
              <w:bottom w:val="single" w:sz="2" w:space="0" w:color="auto"/>
              <w:right w:val="single" w:sz="2" w:space="0" w:color="auto"/>
            </w:tcBorders>
            <w:vAlign w:val="center"/>
          </w:tcPr>
          <w:p w14:paraId="4FBA35D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日注销</w:t>
            </w:r>
          </w:p>
        </w:tc>
      </w:tr>
      <w:tr w:rsidR="00E32FE0" w:rsidRPr="005B5EC1" w14:paraId="73BA5634" w14:textId="77777777" w:rsidTr="002D722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0188FF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龙大美食（广东）食品科技有限公司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6958F9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注销</w:t>
            </w:r>
          </w:p>
        </w:tc>
        <w:tc>
          <w:tcPr>
            <w:tcW w:w="3355" w:type="dxa"/>
            <w:tcBorders>
              <w:top w:val="single" w:sz="2" w:space="0" w:color="auto"/>
              <w:left w:val="single" w:sz="2" w:space="0" w:color="auto"/>
              <w:bottom w:val="single" w:sz="2" w:space="0" w:color="auto"/>
              <w:right w:val="single" w:sz="2" w:space="0" w:color="auto"/>
            </w:tcBorders>
            <w:vAlign w:val="center"/>
          </w:tcPr>
          <w:p w14:paraId="1568E23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日注销</w:t>
            </w:r>
          </w:p>
        </w:tc>
      </w:tr>
      <w:tr w:rsidR="00E32FE0" w:rsidRPr="005B5EC1" w14:paraId="4B381482" w14:textId="77777777" w:rsidTr="002D722A">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E89F2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通辽金泉食品有限责任公司</w:t>
            </w:r>
          </w:p>
        </w:tc>
        <w:tc>
          <w:tcPr>
            <w:tcW w:w="3213" w:type="dxa"/>
            <w:tcBorders>
              <w:top w:val="single" w:sz="2" w:space="0" w:color="auto"/>
              <w:left w:val="single" w:sz="2" w:space="0" w:color="auto"/>
              <w:bottom w:val="single" w:sz="2" w:space="0" w:color="auto"/>
              <w:right w:val="single" w:sz="2" w:space="0" w:color="auto"/>
            </w:tcBorders>
            <w:vAlign w:val="center"/>
          </w:tcPr>
          <w:p w14:paraId="1D1657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出售</w:t>
            </w:r>
          </w:p>
        </w:tc>
        <w:tc>
          <w:tcPr>
            <w:tcW w:w="3355" w:type="dxa"/>
            <w:tcBorders>
              <w:top w:val="single" w:sz="2" w:space="0" w:color="auto"/>
              <w:left w:val="single" w:sz="2" w:space="0" w:color="auto"/>
              <w:bottom w:val="single" w:sz="2" w:space="0" w:color="auto"/>
              <w:right w:val="single" w:sz="2" w:space="0" w:color="auto"/>
            </w:tcBorders>
            <w:vAlign w:val="center"/>
          </w:tcPr>
          <w:p w14:paraId="7D1FE24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日丧失控制权</w:t>
            </w:r>
          </w:p>
        </w:tc>
      </w:tr>
    </w:tbl>
    <w:p w14:paraId="417795E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主要控股参股公司情况说明</w:t>
      </w:r>
    </w:p>
    <w:p w14:paraId="23BF3848" w14:textId="77777777" w:rsidR="00AF139E" w:rsidRPr="005B5EC1" w:rsidRDefault="00000000">
      <w:pPr>
        <w:pStyle w:val="a3"/>
        <w:divId w:val="943923751"/>
        <w:rPr>
          <w:rFonts w:ascii="Times New Roman" w:hAnsi="Times New Roman" w:cs="Times New Roman"/>
          <w:sz w:val="18"/>
          <w:szCs w:val="18"/>
        </w:rPr>
      </w:pPr>
      <w:r w:rsidRPr="005B5EC1">
        <w:rPr>
          <w:rFonts w:ascii="Times New Roman" w:hAnsi="Times New Roman" w:cs="Times New Roman"/>
          <w:sz w:val="18"/>
          <w:szCs w:val="18"/>
        </w:rPr>
        <w:t>无</w:t>
      </w:r>
    </w:p>
    <w:p w14:paraId="79DEE8CF"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1" w:name="_Toc988940"/>
      <w:r w:rsidRPr="005B5EC1">
        <w:rPr>
          <w:rFonts w:ascii="Times New Roman" w:eastAsia="宋体" w:hAnsi="Times New Roman" w:cs="Times New Roman"/>
          <w:b/>
          <w:bCs/>
          <w:sz w:val="24"/>
          <w:szCs w:val="24"/>
        </w:rPr>
        <w:t>十、公司控制的结构化主体情况</w:t>
      </w:r>
      <w:bookmarkEnd w:id="51"/>
    </w:p>
    <w:p w14:paraId="7796586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DCAC73A"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2" w:name="_Toc988941"/>
      <w:r w:rsidRPr="005B5EC1">
        <w:rPr>
          <w:rFonts w:ascii="Times New Roman" w:eastAsia="宋体" w:hAnsi="Times New Roman" w:cs="Times New Roman"/>
          <w:b/>
          <w:bCs/>
          <w:sz w:val="24"/>
          <w:szCs w:val="24"/>
        </w:rPr>
        <w:t>十一、公司未来发展的展望</w:t>
      </w:r>
      <w:bookmarkEnd w:id="52"/>
    </w:p>
    <w:p w14:paraId="4749EB7D"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Style w:val="a4"/>
          <w:rFonts w:ascii="Times New Roman" w:hAnsi="Times New Roman" w:cs="Times New Roman"/>
          <w:b w:val="0"/>
          <w:bCs w:val="0"/>
          <w:sz w:val="18"/>
          <w:szCs w:val="18"/>
        </w:rPr>
        <w:t>（一）发展战略</w:t>
      </w:r>
    </w:p>
    <w:p w14:paraId="79DBF811"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公司立足全国、面向全球，以食品为核心主业，传承中华美食精髓，发扬中华美食文化，为全社会持续供应健康、美味、安全的好产品。未来将继续坚持</w:t>
      </w:r>
      <w:r w:rsidRPr="005B5EC1">
        <w:rPr>
          <w:rFonts w:ascii="Times New Roman" w:hAnsi="Times New Roman" w:cs="Times New Roman"/>
          <w:sz w:val="18"/>
          <w:szCs w:val="18"/>
        </w:rPr>
        <w:t>“</w:t>
      </w:r>
      <w:r w:rsidRPr="005B5EC1">
        <w:rPr>
          <w:rFonts w:ascii="Times New Roman" w:hAnsi="Times New Roman" w:cs="Times New Roman"/>
          <w:sz w:val="18"/>
          <w:szCs w:val="18"/>
        </w:rPr>
        <w:t>一体两翼</w:t>
      </w:r>
      <w:r w:rsidRPr="005B5EC1">
        <w:rPr>
          <w:rFonts w:ascii="Times New Roman" w:hAnsi="Times New Roman" w:cs="Times New Roman"/>
          <w:sz w:val="18"/>
          <w:szCs w:val="18"/>
        </w:rPr>
        <w:t>”</w:t>
      </w:r>
      <w:r w:rsidRPr="005B5EC1">
        <w:rPr>
          <w:rFonts w:ascii="Times New Roman" w:hAnsi="Times New Roman" w:cs="Times New Roman"/>
          <w:sz w:val="18"/>
          <w:szCs w:val="18"/>
        </w:rPr>
        <w:t>发展战略，坚持以食品为主体、以养殖和屠宰为两翼支撑，持续深耕食品业务，为中国人健康饮食提供高品质的系统解决方案。</w:t>
      </w:r>
    </w:p>
    <w:p w14:paraId="06C8A654"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Style w:val="a4"/>
          <w:rFonts w:ascii="Times New Roman" w:hAnsi="Times New Roman" w:cs="Times New Roman"/>
          <w:b w:val="0"/>
          <w:bCs w:val="0"/>
          <w:sz w:val="18"/>
          <w:szCs w:val="18"/>
        </w:rPr>
        <w:t>（二）</w:t>
      </w:r>
      <w:r w:rsidRPr="005B5EC1">
        <w:rPr>
          <w:rStyle w:val="a4"/>
          <w:rFonts w:ascii="Times New Roman" w:hAnsi="Times New Roman" w:cs="Times New Roman"/>
          <w:b w:val="0"/>
          <w:bCs w:val="0"/>
          <w:sz w:val="18"/>
          <w:szCs w:val="18"/>
        </w:rPr>
        <w:t>2025</w:t>
      </w:r>
      <w:r w:rsidRPr="005B5EC1">
        <w:rPr>
          <w:rStyle w:val="a4"/>
          <w:rFonts w:ascii="Times New Roman" w:hAnsi="Times New Roman" w:cs="Times New Roman"/>
          <w:b w:val="0"/>
          <w:bCs w:val="0"/>
          <w:sz w:val="18"/>
          <w:szCs w:val="18"/>
        </w:rPr>
        <w:t>年经营计划</w:t>
      </w:r>
    </w:p>
    <w:p w14:paraId="5AA1AB9F"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2025</w:t>
      </w:r>
      <w:r w:rsidRPr="005B5EC1">
        <w:rPr>
          <w:rFonts w:ascii="Times New Roman" w:hAnsi="Times New Roman" w:cs="Times New Roman"/>
          <w:sz w:val="18"/>
          <w:szCs w:val="18"/>
        </w:rPr>
        <w:t>年，公司将持续坚持</w:t>
      </w:r>
      <w:r w:rsidRPr="005B5EC1">
        <w:rPr>
          <w:rFonts w:ascii="Times New Roman" w:hAnsi="Times New Roman" w:cs="Times New Roman"/>
          <w:sz w:val="18"/>
          <w:szCs w:val="18"/>
        </w:rPr>
        <w:t>“</w:t>
      </w:r>
      <w:r w:rsidRPr="005B5EC1">
        <w:rPr>
          <w:rFonts w:ascii="Times New Roman" w:hAnsi="Times New Roman" w:cs="Times New Roman"/>
          <w:sz w:val="18"/>
          <w:szCs w:val="18"/>
        </w:rPr>
        <w:t>一体两翼</w:t>
      </w:r>
      <w:r w:rsidRPr="005B5EC1">
        <w:rPr>
          <w:rFonts w:ascii="Times New Roman" w:hAnsi="Times New Roman" w:cs="Times New Roman"/>
          <w:sz w:val="18"/>
          <w:szCs w:val="18"/>
        </w:rPr>
        <w:t>”</w:t>
      </w:r>
      <w:r w:rsidRPr="005B5EC1">
        <w:rPr>
          <w:rFonts w:ascii="Times New Roman" w:hAnsi="Times New Roman" w:cs="Times New Roman"/>
          <w:sz w:val="18"/>
          <w:szCs w:val="18"/>
        </w:rPr>
        <w:t>的发展战略，面对市场竞争日益激烈的形势，公司将秉持</w:t>
      </w:r>
      <w:r w:rsidRPr="005B5EC1">
        <w:rPr>
          <w:rFonts w:ascii="Times New Roman" w:hAnsi="Times New Roman" w:cs="Times New Roman"/>
          <w:sz w:val="18"/>
          <w:szCs w:val="18"/>
        </w:rPr>
        <w:t>“</w:t>
      </w:r>
      <w:r w:rsidRPr="005B5EC1">
        <w:rPr>
          <w:rFonts w:ascii="Times New Roman" w:hAnsi="Times New Roman" w:cs="Times New Roman"/>
          <w:sz w:val="18"/>
          <w:szCs w:val="18"/>
        </w:rPr>
        <w:t>销售为王、诚信为本、品控为命、研发为天、服务至上</w:t>
      </w:r>
      <w:r w:rsidRPr="005B5EC1">
        <w:rPr>
          <w:rFonts w:ascii="Times New Roman" w:hAnsi="Times New Roman" w:cs="Times New Roman"/>
          <w:sz w:val="18"/>
          <w:szCs w:val="18"/>
        </w:rPr>
        <w:t>”</w:t>
      </w:r>
      <w:r w:rsidRPr="005B5EC1">
        <w:rPr>
          <w:rFonts w:ascii="Times New Roman" w:hAnsi="Times New Roman" w:cs="Times New Roman"/>
          <w:sz w:val="18"/>
          <w:szCs w:val="18"/>
        </w:rPr>
        <w:t>的基本原则，在新的一年中以更加饱满的热情、更加务实的作风、更加创新的思维，全力以赴推动公司各项工作取得新突破。</w:t>
      </w:r>
    </w:p>
    <w:p w14:paraId="0741DB11"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lastRenderedPageBreak/>
        <w:t>同时，把</w:t>
      </w:r>
      <w:r w:rsidRPr="005B5EC1">
        <w:rPr>
          <w:rFonts w:ascii="Times New Roman" w:hAnsi="Times New Roman" w:cs="Times New Roman"/>
          <w:sz w:val="18"/>
          <w:szCs w:val="18"/>
        </w:rPr>
        <w:t>“</w:t>
      </w:r>
      <w:r w:rsidRPr="005B5EC1">
        <w:rPr>
          <w:rFonts w:ascii="Times New Roman" w:hAnsi="Times New Roman" w:cs="Times New Roman"/>
          <w:sz w:val="18"/>
          <w:szCs w:val="18"/>
        </w:rPr>
        <w:t>销售为王</w:t>
      </w:r>
      <w:r w:rsidRPr="005B5EC1">
        <w:rPr>
          <w:rFonts w:ascii="Times New Roman" w:hAnsi="Times New Roman" w:cs="Times New Roman"/>
          <w:sz w:val="18"/>
          <w:szCs w:val="18"/>
        </w:rPr>
        <w:t>”</w:t>
      </w:r>
      <w:r w:rsidRPr="005B5EC1">
        <w:rPr>
          <w:rFonts w:ascii="Times New Roman" w:hAnsi="Times New Roman" w:cs="Times New Roman"/>
          <w:sz w:val="18"/>
          <w:szCs w:val="18"/>
        </w:rPr>
        <w:t>作为核心策略，守正创新，致力于市场驱动的深化，强化成本控制和创新研发，确保各业务部门精准发力，共同为实现企业</w:t>
      </w:r>
      <w:r w:rsidRPr="005B5EC1">
        <w:rPr>
          <w:rFonts w:ascii="Times New Roman" w:hAnsi="Times New Roman" w:cs="Times New Roman"/>
          <w:sz w:val="18"/>
          <w:szCs w:val="18"/>
        </w:rPr>
        <w:t>“</w:t>
      </w:r>
      <w:r w:rsidRPr="005B5EC1">
        <w:rPr>
          <w:rFonts w:ascii="Times New Roman" w:hAnsi="Times New Roman" w:cs="Times New Roman"/>
          <w:sz w:val="18"/>
          <w:szCs w:val="18"/>
        </w:rPr>
        <w:t>中国猪肉类优质原材料供应商及深加工产品生产商</w:t>
      </w:r>
      <w:r w:rsidRPr="005B5EC1">
        <w:rPr>
          <w:rFonts w:ascii="Times New Roman" w:hAnsi="Times New Roman" w:cs="Times New Roman"/>
          <w:sz w:val="18"/>
          <w:szCs w:val="18"/>
        </w:rPr>
        <w:t>”“</w:t>
      </w:r>
      <w:r w:rsidRPr="005B5EC1">
        <w:rPr>
          <w:rFonts w:ascii="Times New Roman" w:hAnsi="Times New Roman" w:cs="Times New Roman"/>
          <w:sz w:val="18"/>
          <w:szCs w:val="18"/>
        </w:rPr>
        <w:t>中国食品消费场景解决商</w:t>
      </w:r>
      <w:r w:rsidRPr="005B5EC1">
        <w:rPr>
          <w:rFonts w:ascii="Times New Roman" w:hAnsi="Times New Roman" w:cs="Times New Roman"/>
          <w:sz w:val="18"/>
          <w:szCs w:val="18"/>
        </w:rPr>
        <w:t>”</w:t>
      </w:r>
      <w:r w:rsidRPr="005B5EC1">
        <w:rPr>
          <w:rFonts w:ascii="Times New Roman" w:hAnsi="Times New Roman" w:cs="Times New Roman"/>
          <w:sz w:val="18"/>
          <w:szCs w:val="18"/>
        </w:rPr>
        <w:t>的愿景而努力。</w:t>
      </w:r>
    </w:p>
    <w:p w14:paraId="047DC8A9" w14:textId="77777777" w:rsidR="00AF139E" w:rsidRPr="005B5EC1" w:rsidRDefault="00000000" w:rsidP="002D722A">
      <w:pPr>
        <w:pStyle w:val="a3"/>
        <w:spacing w:before="0" w:beforeAutospacing="0" w:after="0" w:afterAutospacing="0" w:line="276" w:lineRule="auto"/>
        <w:ind w:firstLineChars="200" w:firstLine="360"/>
        <w:divId w:val="929969056"/>
        <w:rPr>
          <w:rFonts w:ascii="Times New Roman" w:hAnsi="Times New Roman" w:cs="Times New Roman"/>
        </w:rPr>
      </w:pPr>
      <w:r w:rsidRPr="005B5EC1">
        <w:rPr>
          <w:rStyle w:val="a4"/>
          <w:rFonts w:ascii="Times New Roman" w:hAnsi="Times New Roman" w:cs="Times New Roman"/>
          <w:b w:val="0"/>
          <w:bCs w:val="0"/>
          <w:sz w:val="18"/>
          <w:szCs w:val="18"/>
        </w:rPr>
        <w:t>（三）可能面对的风险</w:t>
      </w:r>
    </w:p>
    <w:p w14:paraId="6887B8AF" w14:textId="77777777" w:rsidR="00AF139E" w:rsidRPr="005B5EC1" w:rsidRDefault="00000000" w:rsidP="002D722A">
      <w:pPr>
        <w:pStyle w:val="a3"/>
        <w:spacing w:before="0" w:beforeAutospacing="0" w:after="0" w:afterAutospacing="0" w:line="276" w:lineRule="auto"/>
        <w:ind w:firstLineChars="200" w:firstLine="360"/>
        <w:divId w:val="929969056"/>
        <w:rPr>
          <w:rFonts w:ascii="Times New Roman" w:hAnsi="Times New Roman" w:cs="Times New Roman"/>
        </w:rPr>
      </w:pPr>
      <w:r w:rsidRPr="005B5EC1">
        <w:rPr>
          <w:rStyle w:val="a4"/>
          <w:rFonts w:ascii="Times New Roman" w:hAnsi="Times New Roman" w:cs="Times New Roman"/>
          <w:b w:val="0"/>
          <w:bCs w:val="0"/>
          <w:sz w:val="18"/>
          <w:szCs w:val="18"/>
        </w:rPr>
        <w:t>1</w:t>
      </w:r>
      <w:r w:rsidRPr="005B5EC1">
        <w:rPr>
          <w:rStyle w:val="a4"/>
          <w:rFonts w:ascii="Times New Roman" w:hAnsi="Times New Roman" w:cs="Times New Roman"/>
          <w:b w:val="0"/>
          <w:bCs w:val="0"/>
          <w:sz w:val="18"/>
          <w:szCs w:val="18"/>
        </w:rPr>
        <w:t>、发生疫病的风险</w:t>
      </w:r>
    </w:p>
    <w:p w14:paraId="39C501BE"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公司业务为食品、屠宰、养殖等，主要原料为生猪，生猪存在动物疫病风险。</w:t>
      </w:r>
      <w:r w:rsidRPr="005B5EC1">
        <w:rPr>
          <w:rFonts w:ascii="Times New Roman" w:hAnsi="Times New Roman" w:cs="Times New Roman"/>
          <w:sz w:val="18"/>
          <w:szCs w:val="18"/>
        </w:rPr>
        <w:t>2018</w:t>
      </w:r>
      <w:r w:rsidRPr="005B5EC1">
        <w:rPr>
          <w:rFonts w:ascii="Times New Roman" w:hAnsi="Times New Roman" w:cs="Times New Roman"/>
          <w:sz w:val="18"/>
          <w:szCs w:val="18"/>
        </w:rPr>
        <w:t>年爆发的非洲猪瘟，由于高传染性和高致死率，对生猪养殖行业产生了重大的影响，对生猪养殖场的生物防护体系和管理措施提出了更高的要求。一旦发生非洲猪瘟，由于非洲猪瘟的高传染性和高致死率，将对公司生猪养殖业务产生很大的不利影响。</w:t>
      </w:r>
    </w:p>
    <w:p w14:paraId="55E0ACA4" w14:textId="77777777" w:rsidR="00AF139E" w:rsidRPr="005B5EC1" w:rsidRDefault="00000000" w:rsidP="002D722A">
      <w:pPr>
        <w:pStyle w:val="a3"/>
        <w:spacing w:before="0" w:beforeAutospacing="0" w:after="0" w:afterAutospacing="0" w:line="276" w:lineRule="auto"/>
        <w:ind w:firstLineChars="200" w:firstLine="360"/>
        <w:divId w:val="929969056"/>
        <w:rPr>
          <w:rFonts w:ascii="Times New Roman" w:hAnsi="Times New Roman" w:cs="Times New Roman"/>
        </w:rPr>
      </w:pPr>
      <w:r w:rsidRPr="005B5EC1">
        <w:rPr>
          <w:rStyle w:val="a4"/>
          <w:rFonts w:ascii="Times New Roman" w:hAnsi="Times New Roman" w:cs="Times New Roman"/>
          <w:b w:val="0"/>
          <w:bCs w:val="0"/>
          <w:sz w:val="18"/>
          <w:szCs w:val="18"/>
        </w:rPr>
        <w:t>2</w:t>
      </w:r>
      <w:r w:rsidRPr="005B5EC1">
        <w:rPr>
          <w:rStyle w:val="a4"/>
          <w:rFonts w:ascii="Times New Roman" w:hAnsi="Times New Roman" w:cs="Times New Roman"/>
          <w:b w:val="0"/>
          <w:bCs w:val="0"/>
          <w:sz w:val="18"/>
          <w:szCs w:val="18"/>
        </w:rPr>
        <w:t>、食品安全风险</w:t>
      </w:r>
    </w:p>
    <w:p w14:paraId="274BE885"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近年来，消费者对食品安全的要求与日俱增，食品安全问题也日益受到监管部门和社会舆论的高度关注。虽然公司建立了严格的食品安全控制体系，但食品安全的风险仍然是公司关注的重中之重，一旦出现食品安全问题，将对公司的品牌形象以及相关产品的销售造成不良影响。</w:t>
      </w:r>
    </w:p>
    <w:p w14:paraId="26240119"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虽然国家不断强化食品安全方面的监管，但食品行业分支众多，企业数量庞大，难免存在部分企业不规范运作的情况，若某个食品子行业的个别企业发生严重食品安全事故，也将可能给整个食品行业经营发展造成负面影响。</w:t>
      </w:r>
    </w:p>
    <w:p w14:paraId="4E4ADA32" w14:textId="77777777" w:rsidR="00AF139E" w:rsidRPr="005B5EC1" w:rsidRDefault="00000000" w:rsidP="002D722A">
      <w:pPr>
        <w:pStyle w:val="a3"/>
        <w:spacing w:before="0" w:beforeAutospacing="0" w:after="0" w:afterAutospacing="0" w:line="276" w:lineRule="auto"/>
        <w:ind w:firstLineChars="200" w:firstLine="360"/>
        <w:divId w:val="929969056"/>
        <w:rPr>
          <w:rFonts w:ascii="Times New Roman" w:hAnsi="Times New Roman" w:cs="Times New Roman"/>
        </w:rPr>
      </w:pPr>
      <w:r w:rsidRPr="005B5EC1">
        <w:rPr>
          <w:rStyle w:val="a4"/>
          <w:rFonts w:ascii="Times New Roman" w:hAnsi="Times New Roman" w:cs="Times New Roman"/>
          <w:b w:val="0"/>
          <w:bCs w:val="0"/>
          <w:sz w:val="18"/>
          <w:szCs w:val="18"/>
        </w:rPr>
        <w:t>3</w:t>
      </w:r>
      <w:r w:rsidRPr="005B5EC1">
        <w:rPr>
          <w:rStyle w:val="a4"/>
          <w:rFonts w:ascii="Times New Roman" w:hAnsi="Times New Roman" w:cs="Times New Roman"/>
          <w:b w:val="0"/>
          <w:bCs w:val="0"/>
          <w:sz w:val="18"/>
          <w:szCs w:val="18"/>
        </w:rPr>
        <w:t>、市场开拓风险</w:t>
      </w:r>
    </w:p>
    <w:p w14:paraId="28A1A042"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在战略的指导下，公司加速推进食品业务的发展，并在全国范围内进行了一系列产能布局，拓展市场，如果公司的市场开拓未取得预期效果，将对公司生产经营产生不利影响。</w:t>
      </w:r>
    </w:p>
    <w:p w14:paraId="5B8DD3A0" w14:textId="77777777" w:rsidR="00AF139E" w:rsidRPr="005B5EC1" w:rsidRDefault="00000000" w:rsidP="002D722A">
      <w:pPr>
        <w:pStyle w:val="a3"/>
        <w:spacing w:before="0" w:beforeAutospacing="0" w:after="0" w:afterAutospacing="0" w:line="276" w:lineRule="auto"/>
        <w:ind w:firstLineChars="200" w:firstLine="360"/>
        <w:divId w:val="929969056"/>
        <w:rPr>
          <w:rFonts w:ascii="Times New Roman" w:hAnsi="Times New Roman" w:cs="Times New Roman"/>
        </w:rPr>
      </w:pPr>
      <w:r w:rsidRPr="005B5EC1">
        <w:rPr>
          <w:rStyle w:val="a4"/>
          <w:rFonts w:ascii="Times New Roman" w:hAnsi="Times New Roman" w:cs="Times New Roman"/>
          <w:b w:val="0"/>
          <w:bCs w:val="0"/>
          <w:sz w:val="18"/>
          <w:szCs w:val="18"/>
        </w:rPr>
        <w:t>4</w:t>
      </w:r>
      <w:r w:rsidRPr="005B5EC1">
        <w:rPr>
          <w:rStyle w:val="a4"/>
          <w:rFonts w:ascii="Times New Roman" w:hAnsi="Times New Roman" w:cs="Times New Roman"/>
          <w:b w:val="0"/>
          <w:bCs w:val="0"/>
          <w:sz w:val="18"/>
          <w:szCs w:val="18"/>
        </w:rPr>
        <w:t>、生猪价格波动风险</w:t>
      </w:r>
    </w:p>
    <w:p w14:paraId="6AFC7E2F" w14:textId="2B36EDAA"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生猪价格受市场供求关系、养殖成本、疫病及自然灾害等因素的影响而呈现周期性波动态势，对公司主要业务板块均有较大影响。如生猪价格进入下行或</w:t>
      </w:r>
      <w:r w:rsidR="00901425">
        <w:rPr>
          <w:rFonts w:ascii="Times New Roman" w:hAnsi="Times New Roman" w:cs="Times New Roman" w:hint="eastAsia"/>
          <w:sz w:val="18"/>
          <w:szCs w:val="18"/>
        </w:rPr>
        <w:t>处于</w:t>
      </w:r>
      <w:r w:rsidRPr="005B5EC1">
        <w:rPr>
          <w:rFonts w:ascii="Times New Roman" w:hAnsi="Times New Roman" w:cs="Times New Roman"/>
          <w:sz w:val="18"/>
          <w:szCs w:val="18"/>
        </w:rPr>
        <w:t>周期底部</w:t>
      </w:r>
      <w:r w:rsidR="00901425">
        <w:rPr>
          <w:rFonts w:ascii="Times New Roman" w:hAnsi="Times New Roman" w:cs="Times New Roman" w:hint="eastAsia"/>
          <w:sz w:val="18"/>
          <w:szCs w:val="18"/>
        </w:rPr>
        <w:t>时</w:t>
      </w:r>
      <w:r w:rsidRPr="005B5EC1">
        <w:rPr>
          <w:rFonts w:ascii="Times New Roman" w:hAnsi="Times New Roman" w:cs="Times New Roman"/>
          <w:sz w:val="18"/>
          <w:szCs w:val="18"/>
        </w:rPr>
        <w:t>，将对公司</w:t>
      </w:r>
      <w:r w:rsidR="001D2CFD" w:rsidRPr="005B5EC1">
        <w:rPr>
          <w:rFonts w:ascii="Times New Roman" w:hAnsi="Times New Roman" w:cs="Times New Roman"/>
          <w:sz w:val="18"/>
          <w:szCs w:val="18"/>
        </w:rPr>
        <w:t>经营</w:t>
      </w:r>
      <w:r w:rsidRPr="005B5EC1">
        <w:rPr>
          <w:rFonts w:ascii="Times New Roman" w:hAnsi="Times New Roman" w:cs="Times New Roman"/>
          <w:sz w:val="18"/>
          <w:szCs w:val="18"/>
        </w:rPr>
        <w:t>带来不利影响。</w:t>
      </w:r>
    </w:p>
    <w:p w14:paraId="7381C1D7" w14:textId="77777777" w:rsidR="00AF139E" w:rsidRPr="005B5EC1" w:rsidRDefault="00000000" w:rsidP="002D722A">
      <w:pPr>
        <w:pStyle w:val="a3"/>
        <w:spacing w:before="0" w:beforeAutospacing="0" w:after="0" w:afterAutospacing="0" w:line="276" w:lineRule="auto"/>
        <w:ind w:firstLineChars="200" w:firstLine="360"/>
        <w:divId w:val="929969056"/>
        <w:rPr>
          <w:rFonts w:ascii="Times New Roman" w:hAnsi="Times New Roman" w:cs="Times New Roman"/>
        </w:rPr>
      </w:pPr>
      <w:r w:rsidRPr="005B5EC1">
        <w:rPr>
          <w:rStyle w:val="a4"/>
          <w:rFonts w:ascii="Times New Roman" w:hAnsi="Times New Roman" w:cs="Times New Roman"/>
          <w:b w:val="0"/>
          <w:bCs w:val="0"/>
          <w:sz w:val="18"/>
          <w:szCs w:val="18"/>
        </w:rPr>
        <w:t>5</w:t>
      </w:r>
      <w:r w:rsidRPr="005B5EC1">
        <w:rPr>
          <w:rStyle w:val="a4"/>
          <w:rFonts w:ascii="Times New Roman" w:hAnsi="Times New Roman" w:cs="Times New Roman"/>
          <w:b w:val="0"/>
          <w:bCs w:val="0"/>
          <w:sz w:val="18"/>
          <w:szCs w:val="18"/>
        </w:rPr>
        <w:t>、不可抗力风险</w:t>
      </w:r>
    </w:p>
    <w:p w14:paraId="53F63D2E"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自然灾害、突发性公共卫生事件可能会对公司的财产、人员造成损害，并有可能影响公司的正常生产经营，此类不可抗力的发生可能还会给公司增加额外成本，从而影响公司的盈利水平。</w:t>
      </w:r>
    </w:p>
    <w:p w14:paraId="2895F317" w14:textId="77777777" w:rsidR="00AF139E" w:rsidRPr="005B5EC1" w:rsidRDefault="00000000" w:rsidP="002D722A">
      <w:pPr>
        <w:pStyle w:val="a3"/>
        <w:spacing w:before="0" w:beforeAutospacing="0" w:after="0" w:afterAutospacing="0" w:line="276" w:lineRule="auto"/>
        <w:ind w:firstLineChars="200" w:firstLine="360"/>
        <w:divId w:val="929969056"/>
        <w:rPr>
          <w:rFonts w:ascii="Times New Roman" w:hAnsi="Times New Roman" w:cs="Times New Roman"/>
        </w:rPr>
      </w:pPr>
      <w:r w:rsidRPr="005B5EC1">
        <w:rPr>
          <w:rStyle w:val="a4"/>
          <w:rFonts w:ascii="Times New Roman" w:hAnsi="Times New Roman" w:cs="Times New Roman"/>
          <w:b w:val="0"/>
          <w:bCs w:val="0"/>
          <w:sz w:val="18"/>
          <w:szCs w:val="18"/>
        </w:rPr>
        <w:t>（四）应对措施</w:t>
      </w:r>
    </w:p>
    <w:p w14:paraId="1B9B89FB"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1</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公司将持续做好疫病防疫防控工作，并在各个生产环节疫病防疫体系进行季节性系统化升级，同时一如既往的严格执行防疫防控措施，确保公司所有单位生产经营有序进行。</w:t>
      </w:r>
    </w:p>
    <w:p w14:paraId="390926BE"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2</w:t>
      </w:r>
      <w:r w:rsidRPr="005B5EC1">
        <w:rPr>
          <w:rFonts w:ascii="Times New Roman" w:hAnsi="Times New Roman" w:cs="Times New Roman"/>
          <w:sz w:val="18"/>
          <w:szCs w:val="18"/>
        </w:rPr>
        <w:t>、公司长期高度重视食品安全，严格要求把食品安全落实到生产经营的每个环节。公司在生产经营中根据国家法律法规及市场监督管理部门的规章制度要求，建立了完善的食品安全控制体系，通过了</w:t>
      </w:r>
      <w:r w:rsidRPr="005B5EC1">
        <w:rPr>
          <w:rFonts w:ascii="Times New Roman" w:hAnsi="Times New Roman" w:cs="Times New Roman"/>
          <w:sz w:val="18"/>
          <w:szCs w:val="18"/>
        </w:rPr>
        <w:t>ISO9001</w:t>
      </w:r>
      <w:r w:rsidRPr="005B5EC1">
        <w:rPr>
          <w:rFonts w:ascii="Times New Roman" w:hAnsi="Times New Roman" w:cs="Times New Roman"/>
          <w:sz w:val="18"/>
          <w:szCs w:val="18"/>
        </w:rPr>
        <w:t>国际质量管理体系和</w:t>
      </w:r>
      <w:r w:rsidRPr="005B5EC1">
        <w:rPr>
          <w:rFonts w:ascii="Times New Roman" w:hAnsi="Times New Roman" w:cs="Times New Roman"/>
          <w:sz w:val="18"/>
          <w:szCs w:val="18"/>
        </w:rPr>
        <w:t>ISO22000</w:t>
      </w:r>
      <w:r w:rsidRPr="005B5EC1">
        <w:rPr>
          <w:rFonts w:ascii="Times New Roman" w:hAnsi="Times New Roman" w:cs="Times New Roman"/>
          <w:sz w:val="18"/>
          <w:szCs w:val="18"/>
        </w:rPr>
        <w:t>食品安全管理体系的认证，并对关键环节在国家标准的基础上制定了更为严格的多个企业标准，进一步细化食品安全控制工作。在每个生产基地配备专职质量控制人员、每个市场安排专职质量监督人员，从而达到对采购、生产、储存、运输、销售等环节实施有效的食品安全质量控制的目标；通过执行《标识和可追溯性管理制度》等相关产品质量控制制度，使产品质量和食品安全控制具有可追溯性，尽可能降低食品安全事件发生的可能性。</w:t>
      </w:r>
    </w:p>
    <w:p w14:paraId="2F202895"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3</w:t>
      </w:r>
      <w:r w:rsidRPr="005B5EC1">
        <w:rPr>
          <w:rFonts w:ascii="Times New Roman" w:hAnsi="Times New Roman" w:cs="Times New Roman"/>
          <w:sz w:val="18"/>
          <w:szCs w:val="18"/>
        </w:rPr>
        <w:t>、公司将一方面加强管理、提高效率进行成本控制，一方面充分发挥公司全产业链布局的优势，通过调节产品结构、生产高附加值产品、加快食品业务发展等方式，尽可能化解生猪价格波动对公司盈利能力带来的风险。</w:t>
      </w:r>
    </w:p>
    <w:p w14:paraId="7FC1A2A2" w14:textId="77777777" w:rsidR="00AF139E" w:rsidRPr="005B5EC1" w:rsidRDefault="00000000" w:rsidP="002D722A">
      <w:pPr>
        <w:pStyle w:val="a3"/>
        <w:spacing w:before="0" w:beforeAutospacing="0" w:after="0" w:afterAutospacing="0" w:line="276" w:lineRule="auto"/>
        <w:ind w:firstLineChars="200" w:firstLine="360"/>
        <w:jc w:val="both"/>
        <w:divId w:val="929969056"/>
        <w:rPr>
          <w:rFonts w:ascii="Times New Roman" w:hAnsi="Times New Roman" w:cs="Times New Roman"/>
        </w:rPr>
      </w:pPr>
      <w:r w:rsidRPr="005B5EC1">
        <w:rPr>
          <w:rFonts w:ascii="Times New Roman" w:hAnsi="Times New Roman" w:cs="Times New Roman"/>
          <w:sz w:val="18"/>
          <w:szCs w:val="18"/>
        </w:rPr>
        <w:t>4</w:t>
      </w:r>
      <w:r w:rsidRPr="005B5EC1">
        <w:rPr>
          <w:rFonts w:ascii="Times New Roman" w:hAnsi="Times New Roman" w:cs="Times New Roman"/>
          <w:sz w:val="18"/>
          <w:szCs w:val="18"/>
        </w:rPr>
        <w:t>、公司着力构建消费市场洞察体系，服务广大食品加工和餐饮企业，协同进行市场推广，创新营销模式，积极应用市场思维打造爆款明星单品，以大单品策略快速服务市场。此外，公司加快开拓专业销售渠道，加强定制化服务；聚焦核心区域，打造样板市场，实现优势区域全覆盖；构建流通经销商网络，实现全国范围渠道拓展。</w:t>
      </w:r>
    </w:p>
    <w:p w14:paraId="42891E22"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3" w:name="_Toc988942"/>
      <w:r w:rsidRPr="005B5EC1">
        <w:rPr>
          <w:rFonts w:ascii="Times New Roman" w:eastAsia="宋体" w:hAnsi="Times New Roman" w:cs="Times New Roman"/>
          <w:b/>
          <w:bCs/>
          <w:sz w:val="24"/>
          <w:szCs w:val="24"/>
        </w:rPr>
        <w:lastRenderedPageBreak/>
        <w:t>十二、报告期内接待调研、沟通、采访等活动</w:t>
      </w:r>
      <w:bookmarkEnd w:id="53"/>
    </w:p>
    <w:p w14:paraId="2155CCC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942"/>
        <w:gridCol w:w="1134"/>
        <w:gridCol w:w="850"/>
        <w:gridCol w:w="709"/>
        <w:gridCol w:w="3250"/>
        <w:gridCol w:w="1377"/>
        <w:gridCol w:w="1377"/>
      </w:tblGrid>
      <w:tr w:rsidR="00E32FE0" w:rsidRPr="005B5EC1" w14:paraId="3CB7E4F4" w14:textId="77777777" w:rsidTr="002D722A">
        <w:trPr>
          <w:trHeight w:val="240"/>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739EB52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接待时间</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A9798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接待地点</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4D41DD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接待方式</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288885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接待对象类型</w:t>
            </w:r>
          </w:p>
        </w:tc>
        <w:tc>
          <w:tcPr>
            <w:tcW w:w="3250" w:type="dxa"/>
            <w:tcBorders>
              <w:top w:val="single" w:sz="2" w:space="0" w:color="auto"/>
              <w:left w:val="single" w:sz="2" w:space="0" w:color="auto"/>
              <w:bottom w:val="single" w:sz="2" w:space="0" w:color="auto"/>
              <w:right w:val="single" w:sz="2" w:space="0" w:color="auto"/>
            </w:tcBorders>
            <w:shd w:val="clear" w:color="auto" w:fill="D3D3D3"/>
            <w:vAlign w:val="center"/>
          </w:tcPr>
          <w:p w14:paraId="1875C67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4C2DC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谈论的主要内容及提供的资料</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A84337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调研的基本情况索引</w:t>
            </w:r>
          </w:p>
        </w:tc>
      </w:tr>
      <w:tr w:rsidR="00E32FE0" w:rsidRPr="005B5EC1" w14:paraId="172BBECD" w14:textId="77777777" w:rsidTr="002D722A">
        <w:trPr>
          <w:trHeight w:val="240"/>
        </w:trPr>
        <w:tc>
          <w:tcPr>
            <w:tcW w:w="942" w:type="dxa"/>
            <w:tcBorders>
              <w:top w:val="single" w:sz="2" w:space="0" w:color="auto"/>
              <w:left w:val="single" w:sz="2" w:space="0" w:color="auto"/>
              <w:bottom w:val="single" w:sz="2" w:space="0" w:color="auto"/>
              <w:right w:val="single" w:sz="2" w:space="0" w:color="auto"/>
            </w:tcBorders>
            <w:vAlign w:val="center"/>
          </w:tcPr>
          <w:p w14:paraId="75D7347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1134" w:type="dxa"/>
            <w:tcBorders>
              <w:top w:val="single" w:sz="2" w:space="0" w:color="auto"/>
              <w:left w:val="single" w:sz="2" w:space="0" w:color="auto"/>
              <w:bottom w:val="single" w:sz="2" w:space="0" w:color="auto"/>
              <w:right w:val="single" w:sz="2" w:space="0" w:color="auto"/>
            </w:tcBorders>
            <w:vAlign w:val="center"/>
          </w:tcPr>
          <w:p w14:paraId="5C0397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公司会议室</w:t>
            </w:r>
          </w:p>
        </w:tc>
        <w:tc>
          <w:tcPr>
            <w:tcW w:w="850" w:type="dxa"/>
            <w:tcBorders>
              <w:top w:val="single" w:sz="2" w:space="0" w:color="auto"/>
              <w:left w:val="single" w:sz="2" w:space="0" w:color="auto"/>
              <w:bottom w:val="single" w:sz="2" w:space="0" w:color="auto"/>
              <w:right w:val="single" w:sz="2" w:space="0" w:color="auto"/>
            </w:tcBorders>
            <w:vAlign w:val="center"/>
          </w:tcPr>
          <w:p w14:paraId="10DEFD1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电话沟通</w:t>
            </w:r>
          </w:p>
        </w:tc>
        <w:tc>
          <w:tcPr>
            <w:tcW w:w="709" w:type="dxa"/>
            <w:tcBorders>
              <w:top w:val="single" w:sz="2" w:space="0" w:color="auto"/>
              <w:left w:val="single" w:sz="2" w:space="0" w:color="auto"/>
              <w:bottom w:val="single" w:sz="2" w:space="0" w:color="auto"/>
              <w:right w:val="single" w:sz="2" w:space="0" w:color="auto"/>
            </w:tcBorders>
            <w:vAlign w:val="center"/>
          </w:tcPr>
          <w:p w14:paraId="55A090D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机构</w:t>
            </w:r>
          </w:p>
        </w:tc>
        <w:tc>
          <w:tcPr>
            <w:tcW w:w="3250" w:type="dxa"/>
            <w:tcBorders>
              <w:top w:val="single" w:sz="2" w:space="0" w:color="auto"/>
              <w:left w:val="single" w:sz="2" w:space="0" w:color="auto"/>
              <w:bottom w:val="single" w:sz="2" w:space="0" w:color="auto"/>
              <w:right w:val="single" w:sz="2" w:space="0" w:color="auto"/>
            </w:tcBorders>
            <w:vAlign w:val="center"/>
          </w:tcPr>
          <w:p w14:paraId="0BE112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华西证券</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吴越；泰康资产</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卢日欣；建信基金</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张正；鹏扬基金</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王亦沁；交银施罗德</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庄旨歆；国联基金</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陈方园；银华基金</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李爽；摩根华鑫基金</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胡斯雨、方旭赟、吴慧文。</w:t>
            </w:r>
          </w:p>
        </w:tc>
        <w:tc>
          <w:tcPr>
            <w:tcW w:w="1377" w:type="dxa"/>
            <w:tcBorders>
              <w:top w:val="single" w:sz="2" w:space="0" w:color="auto"/>
              <w:left w:val="single" w:sz="2" w:space="0" w:color="auto"/>
              <w:bottom w:val="single" w:sz="2" w:space="0" w:color="auto"/>
              <w:right w:val="single" w:sz="2" w:space="0" w:color="auto"/>
            </w:tcBorders>
            <w:vAlign w:val="center"/>
          </w:tcPr>
          <w:p w14:paraId="54961B6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年经营情况及</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年规划；未提供书面资料。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1DA67D9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日刊登在巨潮资讯网上的《龙大美食：</w:t>
            </w:r>
            <w:r w:rsidRPr="005B5EC1">
              <w:rPr>
                <w:rFonts w:ascii="Times New Roman" w:eastAsia="宋体" w:hAnsi="Times New Roman" w:cs="Times New Roman"/>
                <w:sz w:val="18"/>
                <w:szCs w:val="18"/>
              </w:rPr>
              <w:t>002726</w:t>
            </w:r>
            <w:r w:rsidRPr="005B5EC1">
              <w:rPr>
                <w:rFonts w:ascii="Times New Roman" w:eastAsia="宋体" w:hAnsi="Times New Roman" w:cs="Times New Roman"/>
                <w:sz w:val="18"/>
                <w:szCs w:val="18"/>
              </w:rPr>
              <w:t>龙大美食投资者关系管理档案</w:t>
            </w:r>
            <w:r w:rsidRPr="005B5EC1">
              <w:rPr>
                <w:rFonts w:ascii="Times New Roman" w:eastAsia="宋体" w:hAnsi="Times New Roman" w:cs="Times New Roman"/>
                <w:sz w:val="18"/>
                <w:szCs w:val="18"/>
              </w:rPr>
              <w:t>20240130</w:t>
            </w:r>
            <w:r w:rsidRPr="005B5EC1">
              <w:rPr>
                <w:rFonts w:ascii="Times New Roman" w:eastAsia="宋体" w:hAnsi="Times New Roman" w:cs="Times New Roman"/>
                <w:sz w:val="18"/>
                <w:szCs w:val="18"/>
              </w:rPr>
              <w:t>》编号：</w:t>
            </w:r>
            <w:r w:rsidRPr="005B5EC1">
              <w:rPr>
                <w:rFonts w:ascii="Times New Roman" w:eastAsia="宋体" w:hAnsi="Times New Roman" w:cs="Times New Roman"/>
                <w:sz w:val="18"/>
                <w:szCs w:val="18"/>
              </w:rPr>
              <w:t>2024-01</w:t>
            </w:r>
            <w:r w:rsidRPr="005B5EC1">
              <w:rPr>
                <w:rFonts w:ascii="Times New Roman" w:eastAsia="宋体" w:hAnsi="Times New Roman" w:cs="Times New Roman"/>
                <w:sz w:val="18"/>
                <w:szCs w:val="18"/>
              </w:rPr>
              <w:t>。</w:t>
            </w:r>
          </w:p>
        </w:tc>
      </w:tr>
      <w:tr w:rsidR="00E32FE0" w:rsidRPr="005B5EC1" w14:paraId="4B27F436" w14:textId="77777777" w:rsidTr="002D722A">
        <w:trPr>
          <w:trHeight w:val="240"/>
        </w:trPr>
        <w:tc>
          <w:tcPr>
            <w:tcW w:w="942" w:type="dxa"/>
            <w:tcBorders>
              <w:top w:val="single" w:sz="2" w:space="0" w:color="auto"/>
              <w:left w:val="single" w:sz="2" w:space="0" w:color="auto"/>
              <w:bottom w:val="single" w:sz="2" w:space="0" w:color="auto"/>
              <w:right w:val="single" w:sz="2" w:space="0" w:color="auto"/>
            </w:tcBorders>
            <w:vAlign w:val="center"/>
          </w:tcPr>
          <w:p w14:paraId="04438EE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16</w:t>
            </w:r>
            <w:r w:rsidRPr="005B5EC1">
              <w:rPr>
                <w:rFonts w:ascii="Times New Roman" w:eastAsia="宋体" w:hAnsi="Times New Roman" w:cs="Times New Roman"/>
                <w:sz w:val="18"/>
                <w:szCs w:val="18"/>
              </w:rPr>
              <w:t>日</w:t>
            </w:r>
          </w:p>
        </w:tc>
        <w:tc>
          <w:tcPr>
            <w:tcW w:w="1134" w:type="dxa"/>
            <w:tcBorders>
              <w:top w:val="single" w:sz="2" w:space="0" w:color="auto"/>
              <w:left w:val="single" w:sz="2" w:space="0" w:color="auto"/>
              <w:bottom w:val="single" w:sz="2" w:space="0" w:color="auto"/>
              <w:right w:val="single" w:sz="2" w:space="0" w:color="auto"/>
            </w:tcBorders>
            <w:vAlign w:val="center"/>
          </w:tcPr>
          <w:p w14:paraId="2ECCD70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公司会议室</w:t>
            </w:r>
          </w:p>
        </w:tc>
        <w:tc>
          <w:tcPr>
            <w:tcW w:w="850" w:type="dxa"/>
            <w:tcBorders>
              <w:top w:val="single" w:sz="2" w:space="0" w:color="auto"/>
              <w:left w:val="single" w:sz="2" w:space="0" w:color="auto"/>
              <w:bottom w:val="single" w:sz="2" w:space="0" w:color="auto"/>
              <w:right w:val="single" w:sz="2" w:space="0" w:color="auto"/>
            </w:tcBorders>
            <w:vAlign w:val="center"/>
          </w:tcPr>
          <w:p w14:paraId="0362157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电话沟通</w:t>
            </w:r>
          </w:p>
        </w:tc>
        <w:tc>
          <w:tcPr>
            <w:tcW w:w="709" w:type="dxa"/>
            <w:tcBorders>
              <w:top w:val="single" w:sz="2" w:space="0" w:color="auto"/>
              <w:left w:val="single" w:sz="2" w:space="0" w:color="auto"/>
              <w:bottom w:val="single" w:sz="2" w:space="0" w:color="auto"/>
              <w:right w:val="single" w:sz="2" w:space="0" w:color="auto"/>
            </w:tcBorders>
            <w:vAlign w:val="center"/>
          </w:tcPr>
          <w:p w14:paraId="64DE3B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机构</w:t>
            </w:r>
          </w:p>
        </w:tc>
        <w:tc>
          <w:tcPr>
            <w:tcW w:w="3250" w:type="dxa"/>
            <w:tcBorders>
              <w:top w:val="single" w:sz="2" w:space="0" w:color="auto"/>
              <w:left w:val="single" w:sz="2" w:space="0" w:color="auto"/>
              <w:bottom w:val="single" w:sz="2" w:space="0" w:color="auto"/>
              <w:right w:val="single" w:sz="2" w:space="0" w:color="auto"/>
            </w:tcBorders>
            <w:vAlign w:val="center"/>
          </w:tcPr>
          <w:p w14:paraId="3CA1D78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华泰资管、华夏基金、建信理财、建信养老、景顺长城、中天汇富基金、太平基金、博时基金、光大保德信、光大永明、诺德基金、鹏华</w:t>
            </w:r>
          </w:p>
          <w:p w14:paraId="27D5C8D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基金、平安资管、工银国际、</w:t>
            </w:r>
            <w:r w:rsidRPr="005B5EC1">
              <w:rPr>
                <w:rFonts w:ascii="Times New Roman" w:eastAsia="宋体" w:hAnsi="Times New Roman" w:cs="Times New Roman"/>
                <w:sz w:val="18"/>
                <w:szCs w:val="18"/>
              </w:rPr>
              <w:t>IGWT Investment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King tower Asset Management</w:t>
            </w:r>
            <w:r w:rsidRPr="005B5EC1">
              <w:rPr>
                <w:rFonts w:ascii="Times New Roman" w:eastAsia="宋体" w:hAnsi="Times New Roman" w:cs="Times New Roman"/>
                <w:sz w:val="18"/>
                <w:szCs w:val="18"/>
              </w:rPr>
              <w:t>、睿远基金、淡水泉资管、旌安投资、银华基金、永赢基金、招商基金、</w:t>
            </w:r>
            <w:r w:rsidRPr="005B5EC1">
              <w:rPr>
                <w:rFonts w:ascii="Times New Roman" w:eastAsia="宋体" w:hAnsi="Times New Roman" w:cs="Times New Roman"/>
                <w:sz w:val="18"/>
                <w:szCs w:val="18"/>
              </w:rPr>
              <w:t>SECF</w:t>
            </w:r>
            <w:r w:rsidRPr="005B5EC1">
              <w:rPr>
                <w:rFonts w:ascii="Times New Roman" w:eastAsia="宋体" w:hAnsi="Times New Roman" w:cs="Times New Roman"/>
                <w:sz w:val="18"/>
                <w:szCs w:val="18"/>
              </w:rPr>
              <w:t>、金百镕投资、德邦证券、东海证券资管、方正证券、光大证券、国都证券、国海证券、国金证券、国联证券、国盛证券、国信证券、厚生投资、华福证券、华鑫证券、华泰证券、华金证券、华西证券、开源证券、龙全投资、民生证券、明睿资本、白溪私募、贵源投资、理成资管、金泊投资、九方投资、明达资管、禾丰正则资管、温润投资、西部证券、西藏东财基金、西藏长金投资、兴业证券、海宸资管、浙商证券、中金公司、中金资管、太平洋证券、盘京投资、天风证券、天治基金、鸿运私募、中信证券、中信建投等</w:t>
            </w:r>
            <w:r w:rsidRPr="005B5EC1">
              <w:rPr>
                <w:rFonts w:ascii="Times New Roman" w:eastAsia="宋体" w:hAnsi="Times New Roman" w:cs="Times New Roman"/>
                <w:sz w:val="18"/>
                <w:szCs w:val="18"/>
              </w:rPr>
              <w:t xml:space="preserve"> 83 </w:t>
            </w:r>
            <w:r w:rsidRPr="005B5EC1">
              <w:rPr>
                <w:rFonts w:ascii="Times New Roman" w:eastAsia="宋体" w:hAnsi="Times New Roman" w:cs="Times New Roman"/>
                <w:sz w:val="18"/>
                <w:szCs w:val="18"/>
              </w:rPr>
              <w:t>人</w:t>
            </w:r>
          </w:p>
        </w:tc>
        <w:tc>
          <w:tcPr>
            <w:tcW w:w="1377" w:type="dxa"/>
            <w:tcBorders>
              <w:top w:val="single" w:sz="2" w:space="0" w:color="auto"/>
              <w:left w:val="single" w:sz="2" w:space="0" w:color="auto"/>
              <w:bottom w:val="single" w:sz="2" w:space="0" w:color="auto"/>
              <w:right w:val="single" w:sz="2" w:space="0" w:color="auto"/>
            </w:tcBorders>
            <w:vAlign w:val="center"/>
          </w:tcPr>
          <w:p w14:paraId="4F87549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年经营情况及</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年规划；未提供书面资料。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15C53FA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16</w:t>
            </w:r>
            <w:r w:rsidRPr="005B5EC1">
              <w:rPr>
                <w:rFonts w:ascii="Times New Roman" w:eastAsia="宋体" w:hAnsi="Times New Roman" w:cs="Times New Roman"/>
                <w:sz w:val="18"/>
                <w:szCs w:val="18"/>
              </w:rPr>
              <w:t>日刊登在巨潮资讯网上的《龙大美食：</w:t>
            </w:r>
            <w:r w:rsidRPr="005B5EC1">
              <w:rPr>
                <w:rFonts w:ascii="Times New Roman" w:eastAsia="宋体" w:hAnsi="Times New Roman" w:cs="Times New Roman"/>
                <w:sz w:val="18"/>
                <w:szCs w:val="18"/>
              </w:rPr>
              <w:t>002726</w:t>
            </w:r>
            <w:r w:rsidRPr="005B5EC1">
              <w:rPr>
                <w:rFonts w:ascii="Times New Roman" w:eastAsia="宋体" w:hAnsi="Times New Roman" w:cs="Times New Roman"/>
                <w:sz w:val="18"/>
                <w:szCs w:val="18"/>
              </w:rPr>
              <w:t>龙大美食投资者关系管理档案</w:t>
            </w:r>
            <w:r w:rsidRPr="005B5EC1">
              <w:rPr>
                <w:rFonts w:ascii="Times New Roman" w:eastAsia="宋体" w:hAnsi="Times New Roman" w:cs="Times New Roman"/>
                <w:sz w:val="18"/>
                <w:szCs w:val="18"/>
              </w:rPr>
              <w:t>20240416</w:t>
            </w:r>
            <w:r w:rsidRPr="005B5EC1">
              <w:rPr>
                <w:rFonts w:ascii="Times New Roman" w:eastAsia="宋体" w:hAnsi="Times New Roman" w:cs="Times New Roman"/>
                <w:sz w:val="18"/>
                <w:szCs w:val="18"/>
              </w:rPr>
              <w:t>》编号：</w:t>
            </w:r>
            <w:r w:rsidRPr="005B5EC1">
              <w:rPr>
                <w:rFonts w:ascii="Times New Roman" w:eastAsia="宋体" w:hAnsi="Times New Roman" w:cs="Times New Roman"/>
                <w:sz w:val="18"/>
                <w:szCs w:val="18"/>
              </w:rPr>
              <w:t>2024-02</w:t>
            </w:r>
            <w:r w:rsidRPr="005B5EC1">
              <w:rPr>
                <w:rFonts w:ascii="Times New Roman" w:eastAsia="宋体" w:hAnsi="Times New Roman" w:cs="Times New Roman"/>
                <w:sz w:val="18"/>
                <w:szCs w:val="18"/>
              </w:rPr>
              <w:t>。</w:t>
            </w:r>
          </w:p>
        </w:tc>
      </w:tr>
      <w:tr w:rsidR="00E32FE0" w:rsidRPr="005B5EC1" w14:paraId="5460320C" w14:textId="77777777" w:rsidTr="002D722A">
        <w:trPr>
          <w:trHeight w:val="240"/>
        </w:trPr>
        <w:tc>
          <w:tcPr>
            <w:tcW w:w="942" w:type="dxa"/>
            <w:tcBorders>
              <w:top w:val="single" w:sz="2" w:space="0" w:color="auto"/>
              <w:left w:val="single" w:sz="2" w:space="0" w:color="auto"/>
              <w:bottom w:val="single" w:sz="2" w:space="0" w:color="auto"/>
              <w:right w:val="single" w:sz="2" w:space="0" w:color="auto"/>
            </w:tcBorders>
            <w:vAlign w:val="center"/>
          </w:tcPr>
          <w:p w14:paraId="56D08F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134" w:type="dxa"/>
            <w:tcBorders>
              <w:top w:val="single" w:sz="2" w:space="0" w:color="auto"/>
              <w:left w:val="single" w:sz="2" w:space="0" w:color="auto"/>
              <w:bottom w:val="single" w:sz="2" w:space="0" w:color="auto"/>
              <w:right w:val="single" w:sz="2" w:space="0" w:color="auto"/>
            </w:tcBorders>
            <w:vAlign w:val="center"/>
          </w:tcPr>
          <w:p w14:paraId="1A2AE4E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龙大美食投资者关系</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微信小程序</w:t>
            </w:r>
          </w:p>
        </w:tc>
        <w:tc>
          <w:tcPr>
            <w:tcW w:w="850" w:type="dxa"/>
            <w:tcBorders>
              <w:top w:val="single" w:sz="2" w:space="0" w:color="auto"/>
              <w:left w:val="single" w:sz="2" w:space="0" w:color="auto"/>
              <w:bottom w:val="single" w:sz="2" w:space="0" w:color="auto"/>
              <w:right w:val="single" w:sz="2" w:space="0" w:color="auto"/>
            </w:tcBorders>
            <w:vAlign w:val="center"/>
          </w:tcPr>
          <w:p w14:paraId="7A9B40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709" w:type="dxa"/>
            <w:tcBorders>
              <w:top w:val="single" w:sz="2" w:space="0" w:color="auto"/>
              <w:left w:val="single" w:sz="2" w:space="0" w:color="auto"/>
              <w:bottom w:val="single" w:sz="2" w:space="0" w:color="auto"/>
              <w:right w:val="single" w:sz="2" w:space="0" w:color="auto"/>
            </w:tcBorders>
            <w:vAlign w:val="center"/>
          </w:tcPr>
          <w:p w14:paraId="31170FA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3250" w:type="dxa"/>
            <w:tcBorders>
              <w:top w:val="single" w:sz="2" w:space="0" w:color="auto"/>
              <w:left w:val="single" w:sz="2" w:space="0" w:color="auto"/>
              <w:bottom w:val="single" w:sz="2" w:space="0" w:color="auto"/>
              <w:right w:val="single" w:sz="2" w:space="0" w:color="auto"/>
            </w:tcBorders>
            <w:vAlign w:val="center"/>
          </w:tcPr>
          <w:p w14:paraId="5CC14D9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通过</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龙大美食投资者关系</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微信小程序参与公司</w:t>
            </w:r>
            <w:r w:rsidRPr="005B5EC1">
              <w:rPr>
                <w:rFonts w:ascii="Times New Roman" w:eastAsia="宋体" w:hAnsi="Times New Roman" w:cs="Times New Roman"/>
                <w:sz w:val="18"/>
                <w:szCs w:val="18"/>
              </w:rPr>
              <w:t xml:space="preserve"> 2023 </w:t>
            </w:r>
            <w:r w:rsidRPr="005B5EC1">
              <w:rPr>
                <w:rFonts w:ascii="Times New Roman" w:eastAsia="宋体" w:hAnsi="Times New Roman" w:cs="Times New Roman"/>
                <w:sz w:val="18"/>
                <w:szCs w:val="18"/>
              </w:rPr>
              <w:t>年度网上业绩说明会的广大投资者</w:t>
            </w:r>
          </w:p>
        </w:tc>
        <w:tc>
          <w:tcPr>
            <w:tcW w:w="1377" w:type="dxa"/>
            <w:tcBorders>
              <w:top w:val="single" w:sz="2" w:space="0" w:color="auto"/>
              <w:left w:val="single" w:sz="2" w:space="0" w:color="auto"/>
              <w:bottom w:val="single" w:sz="2" w:space="0" w:color="auto"/>
              <w:right w:val="single" w:sz="2" w:space="0" w:color="auto"/>
            </w:tcBorders>
            <w:vAlign w:val="center"/>
          </w:tcPr>
          <w:p w14:paraId="7ECB8435" w14:textId="1939A9D1"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年全年经营情况、</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季度主要业绩及</w:t>
            </w:r>
            <w:r w:rsidRPr="005B5EC1">
              <w:rPr>
                <w:rFonts w:ascii="Times New Roman" w:eastAsia="宋体" w:hAnsi="Times New Roman" w:cs="Times New Roman"/>
                <w:sz w:val="18"/>
                <w:szCs w:val="18"/>
              </w:rPr>
              <w:t xml:space="preserve"> 2024</w:t>
            </w:r>
            <w:r w:rsidRPr="005B5EC1">
              <w:rPr>
                <w:rFonts w:ascii="Times New Roman" w:eastAsia="宋体" w:hAnsi="Times New Roman" w:cs="Times New Roman"/>
                <w:sz w:val="18"/>
                <w:szCs w:val="18"/>
              </w:rPr>
              <w:t>年经营规划；未提供书面资料。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609BCE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日刊登在巨潮资讯网上的《龙大美食：</w:t>
            </w:r>
            <w:r w:rsidRPr="005B5EC1">
              <w:rPr>
                <w:rFonts w:ascii="Times New Roman" w:eastAsia="宋体" w:hAnsi="Times New Roman" w:cs="Times New Roman"/>
                <w:sz w:val="18"/>
                <w:szCs w:val="18"/>
              </w:rPr>
              <w:t>002726</w:t>
            </w:r>
            <w:r w:rsidRPr="005B5EC1">
              <w:rPr>
                <w:rFonts w:ascii="Times New Roman" w:eastAsia="宋体" w:hAnsi="Times New Roman" w:cs="Times New Roman"/>
                <w:sz w:val="18"/>
                <w:szCs w:val="18"/>
              </w:rPr>
              <w:t>龙大美食投资者关系管理档案</w:t>
            </w:r>
            <w:r w:rsidRPr="005B5EC1">
              <w:rPr>
                <w:rFonts w:ascii="Times New Roman" w:eastAsia="宋体" w:hAnsi="Times New Roman" w:cs="Times New Roman"/>
                <w:sz w:val="18"/>
                <w:szCs w:val="18"/>
              </w:rPr>
              <w:t>20240424</w:t>
            </w:r>
            <w:r w:rsidRPr="005B5EC1">
              <w:rPr>
                <w:rFonts w:ascii="Times New Roman" w:eastAsia="宋体" w:hAnsi="Times New Roman" w:cs="Times New Roman"/>
                <w:sz w:val="18"/>
                <w:szCs w:val="18"/>
              </w:rPr>
              <w:t>》编号：</w:t>
            </w:r>
            <w:r w:rsidRPr="005B5EC1">
              <w:rPr>
                <w:rFonts w:ascii="Times New Roman" w:eastAsia="宋体" w:hAnsi="Times New Roman" w:cs="Times New Roman"/>
                <w:sz w:val="18"/>
                <w:szCs w:val="18"/>
              </w:rPr>
              <w:t>2024-03</w:t>
            </w:r>
            <w:r w:rsidRPr="005B5EC1">
              <w:rPr>
                <w:rFonts w:ascii="Times New Roman" w:eastAsia="宋体" w:hAnsi="Times New Roman" w:cs="Times New Roman"/>
                <w:sz w:val="18"/>
                <w:szCs w:val="18"/>
              </w:rPr>
              <w:t>。</w:t>
            </w:r>
          </w:p>
        </w:tc>
      </w:tr>
      <w:tr w:rsidR="00E32FE0" w:rsidRPr="005B5EC1" w14:paraId="2CEA6CBE" w14:textId="77777777" w:rsidTr="002D722A">
        <w:trPr>
          <w:trHeight w:val="2368"/>
        </w:trPr>
        <w:tc>
          <w:tcPr>
            <w:tcW w:w="942" w:type="dxa"/>
            <w:tcBorders>
              <w:top w:val="single" w:sz="2" w:space="0" w:color="auto"/>
              <w:left w:val="single" w:sz="2" w:space="0" w:color="auto"/>
              <w:bottom w:val="single" w:sz="2" w:space="0" w:color="auto"/>
              <w:right w:val="single" w:sz="2" w:space="0" w:color="auto"/>
            </w:tcBorders>
            <w:vAlign w:val="center"/>
          </w:tcPr>
          <w:p w14:paraId="096CDF6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1134" w:type="dxa"/>
            <w:tcBorders>
              <w:top w:val="single" w:sz="2" w:space="0" w:color="auto"/>
              <w:left w:val="single" w:sz="2" w:space="0" w:color="auto"/>
              <w:bottom w:val="single" w:sz="2" w:space="0" w:color="auto"/>
              <w:right w:val="single" w:sz="2" w:space="0" w:color="auto"/>
            </w:tcBorders>
            <w:vAlign w:val="center"/>
          </w:tcPr>
          <w:p w14:paraId="30C38BF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公司会议室</w:t>
            </w:r>
          </w:p>
        </w:tc>
        <w:tc>
          <w:tcPr>
            <w:tcW w:w="850" w:type="dxa"/>
            <w:tcBorders>
              <w:top w:val="single" w:sz="2" w:space="0" w:color="auto"/>
              <w:left w:val="single" w:sz="2" w:space="0" w:color="auto"/>
              <w:bottom w:val="single" w:sz="2" w:space="0" w:color="auto"/>
              <w:right w:val="single" w:sz="2" w:space="0" w:color="auto"/>
            </w:tcBorders>
            <w:vAlign w:val="center"/>
          </w:tcPr>
          <w:p w14:paraId="58DCA3B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电话沟通</w:t>
            </w:r>
          </w:p>
        </w:tc>
        <w:tc>
          <w:tcPr>
            <w:tcW w:w="709" w:type="dxa"/>
            <w:tcBorders>
              <w:top w:val="single" w:sz="2" w:space="0" w:color="auto"/>
              <w:left w:val="single" w:sz="2" w:space="0" w:color="auto"/>
              <w:bottom w:val="single" w:sz="2" w:space="0" w:color="auto"/>
              <w:right w:val="single" w:sz="2" w:space="0" w:color="auto"/>
            </w:tcBorders>
            <w:vAlign w:val="center"/>
          </w:tcPr>
          <w:p w14:paraId="2381BDC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机构</w:t>
            </w:r>
          </w:p>
        </w:tc>
        <w:tc>
          <w:tcPr>
            <w:tcW w:w="3250" w:type="dxa"/>
            <w:tcBorders>
              <w:top w:val="single" w:sz="2" w:space="0" w:color="auto"/>
              <w:left w:val="single" w:sz="2" w:space="0" w:color="auto"/>
              <w:bottom w:val="single" w:sz="2" w:space="0" w:color="auto"/>
              <w:right w:val="single" w:sz="2" w:space="0" w:color="auto"/>
            </w:tcBorders>
            <w:vAlign w:val="center"/>
          </w:tcPr>
          <w:p w14:paraId="435995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开源证券、华鑫证券、中信证券、浙商证券、华西证券、国海证券、</w:t>
            </w:r>
          </w:p>
          <w:p w14:paraId="5EBF363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华泰证券、东方证券、民生证券、</w:t>
            </w:r>
            <w:r w:rsidRPr="005B5EC1">
              <w:rPr>
                <w:rFonts w:ascii="Times New Roman" w:eastAsia="宋体" w:hAnsi="Times New Roman" w:cs="Times New Roman"/>
                <w:sz w:val="18"/>
                <w:szCs w:val="18"/>
              </w:rPr>
              <w:t>IGWT Investment</w:t>
            </w:r>
            <w:r w:rsidRPr="005B5EC1">
              <w:rPr>
                <w:rFonts w:ascii="Times New Roman" w:eastAsia="宋体" w:hAnsi="Times New Roman" w:cs="Times New Roman"/>
                <w:sz w:val="18"/>
                <w:szCs w:val="18"/>
              </w:rPr>
              <w:t>、光大保德信基金、青骊泰川、财信证券、华福证券、兴业证券、中天汇富基金、国</w:t>
            </w:r>
          </w:p>
          <w:p w14:paraId="68902C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寿安保基金、兴合基金、雪球私募基金、登程资产、方德投资、沣博</w:t>
            </w:r>
          </w:p>
          <w:p w14:paraId="7E0B1D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资管、上海贵源投资等</w:t>
            </w:r>
            <w:r w:rsidRPr="005B5EC1">
              <w:rPr>
                <w:rFonts w:ascii="Times New Roman" w:eastAsia="宋体" w:hAnsi="Times New Roman" w:cs="Times New Roman"/>
                <w:sz w:val="18"/>
                <w:szCs w:val="18"/>
              </w:rPr>
              <w:t xml:space="preserve"> 29 </w:t>
            </w:r>
            <w:r w:rsidRPr="005B5EC1">
              <w:rPr>
                <w:rFonts w:ascii="Times New Roman" w:eastAsia="宋体" w:hAnsi="Times New Roman" w:cs="Times New Roman"/>
                <w:sz w:val="18"/>
                <w:szCs w:val="18"/>
              </w:rPr>
              <w:t>人</w:t>
            </w:r>
          </w:p>
        </w:tc>
        <w:tc>
          <w:tcPr>
            <w:tcW w:w="1377" w:type="dxa"/>
            <w:tcBorders>
              <w:top w:val="single" w:sz="2" w:space="0" w:color="auto"/>
              <w:left w:val="single" w:sz="2" w:space="0" w:color="auto"/>
              <w:bottom w:val="single" w:sz="2" w:space="0" w:color="auto"/>
              <w:right w:val="single" w:sz="2" w:space="0" w:color="auto"/>
            </w:tcBorders>
            <w:vAlign w:val="center"/>
          </w:tcPr>
          <w:p w14:paraId="0B89F57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年半年度经营情况及</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年全年展望；未提供书面资料。</w:t>
            </w:r>
          </w:p>
        </w:tc>
        <w:tc>
          <w:tcPr>
            <w:tcW w:w="1377" w:type="dxa"/>
            <w:tcBorders>
              <w:top w:val="single" w:sz="2" w:space="0" w:color="auto"/>
              <w:left w:val="single" w:sz="2" w:space="0" w:color="auto"/>
              <w:bottom w:val="single" w:sz="2" w:space="0" w:color="auto"/>
              <w:right w:val="single" w:sz="2" w:space="0" w:color="auto"/>
            </w:tcBorders>
            <w:vAlign w:val="center"/>
          </w:tcPr>
          <w:p w14:paraId="469A6A3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日刊登在巨潮资讯网上的《龙大美食：</w:t>
            </w:r>
            <w:r w:rsidRPr="005B5EC1">
              <w:rPr>
                <w:rFonts w:ascii="Times New Roman" w:eastAsia="宋体" w:hAnsi="Times New Roman" w:cs="Times New Roman"/>
                <w:sz w:val="18"/>
                <w:szCs w:val="18"/>
              </w:rPr>
              <w:t>002726</w:t>
            </w:r>
            <w:r w:rsidRPr="005B5EC1">
              <w:rPr>
                <w:rFonts w:ascii="Times New Roman" w:eastAsia="宋体" w:hAnsi="Times New Roman" w:cs="Times New Roman"/>
                <w:sz w:val="18"/>
                <w:szCs w:val="18"/>
              </w:rPr>
              <w:t>龙大美食投资者关系管理档案</w:t>
            </w:r>
            <w:r w:rsidRPr="005B5EC1">
              <w:rPr>
                <w:rFonts w:ascii="Times New Roman" w:eastAsia="宋体" w:hAnsi="Times New Roman" w:cs="Times New Roman"/>
                <w:sz w:val="18"/>
                <w:szCs w:val="18"/>
              </w:rPr>
              <w:t>20240831</w:t>
            </w:r>
            <w:r w:rsidRPr="005B5EC1">
              <w:rPr>
                <w:rFonts w:ascii="Times New Roman" w:eastAsia="宋体" w:hAnsi="Times New Roman" w:cs="Times New Roman"/>
                <w:sz w:val="18"/>
                <w:szCs w:val="18"/>
              </w:rPr>
              <w:t>》编号：</w:t>
            </w:r>
            <w:r w:rsidRPr="005B5EC1">
              <w:rPr>
                <w:rFonts w:ascii="Times New Roman" w:eastAsia="宋体" w:hAnsi="Times New Roman" w:cs="Times New Roman"/>
                <w:sz w:val="18"/>
                <w:szCs w:val="18"/>
              </w:rPr>
              <w:t>2024-04</w:t>
            </w:r>
            <w:r w:rsidRPr="005B5EC1">
              <w:rPr>
                <w:rFonts w:ascii="Times New Roman" w:eastAsia="宋体" w:hAnsi="Times New Roman" w:cs="Times New Roman"/>
                <w:sz w:val="18"/>
                <w:szCs w:val="18"/>
              </w:rPr>
              <w:t>。</w:t>
            </w:r>
          </w:p>
        </w:tc>
      </w:tr>
      <w:tr w:rsidR="00E32FE0" w:rsidRPr="005B5EC1" w14:paraId="0FB297D6" w14:textId="77777777" w:rsidTr="002D722A">
        <w:trPr>
          <w:trHeight w:val="240"/>
        </w:trPr>
        <w:tc>
          <w:tcPr>
            <w:tcW w:w="942" w:type="dxa"/>
            <w:tcBorders>
              <w:top w:val="single" w:sz="2" w:space="0" w:color="auto"/>
              <w:left w:val="single" w:sz="2" w:space="0" w:color="auto"/>
              <w:bottom w:val="single" w:sz="2" w:space="0" w:color="auto"/>
              <w:right w:val="single" w:sz="2" w:space="0" w:color="auto"/>
            </w:tcBorders>
            <w:vAlign w:val="center"/>
          </w:tcPr>
          <w:p w14:paraId="385A92E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1134" w:type="dxa"/>
            <w:tcBorders>
              <w:top w:val="single" w:sz="2" w:space="0" w:color="auto"/>
              <w:left w:val="single" w:sz="2" w:space="0" w:color="auto"/>
              <w:bottom w:val="single" w:sz="2" w:space="0" w:color="auto"/>
              <w:right w:val="single" w:sz="2" w:space="0" w:color="auto"/>
            </w:tcBorders>
            <w:vAlign w:val="center"/>
          </w:tcPr>
          <w:p w14:paraId="05C2BE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公司会议室</w:t>
            </w:r>
          </w:p>
        </w:tc>
        <w:tc>
          <w:tcPr>
            <w:tcW w:w="850" w:type="dxa"/>
            <w:tcBorders>
              <w:top w:val="single" w:sz="2" w:space="0" w:color="auto"/>
              <w:left w:val="single" w:sz="2" w:space="0" w:color="auto"/>
              <w:bottom w:val="single" w:sz="2" w:space="0" w:color="auto"/>
              <w:right w:val="single" w:sz="2" w:space="0" w:color="auto"/>
            </w:tcBorders>
            <w:vAlign w:val="center"/>
          </w:tcPr>
          <w:p w14:paraId="1B25377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电话沟通</w:t>
            </w:r>
          </w:p>
        </w:tc>
        <w:tc>
          <w:tcPr>
            <w:tcW w:w="709" w:type="dxa"/>
            <w:tcBorders>
              <w:top w:val="single" w:sz="2" w:space="0" w:color="auto"/>
              <w:left w:val="single" w:sz="2" w:space="0" w:color="auto"/>
              <w:bottom w:val="single" w:sz="2" w:space="0" w:color="auto"/>
              <w:right w:val="single" w:sz="2" w:space="0" w:color="auto"/>
            </w:tcBorders>
            <w:vAlign w:val="center"/>
          </w:tcPr>
          <w:p w14:paraId="7DCE98D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机构</w:t>
            </w:r>
          </w:p>
        </w:tc>
        <w:tc>
          <w:tcPr>
            <w:tcW w:w="3250" w:type="dxa"/>
            <w:tcBorders>
              <w:top w:val="single" w:sz="2" w:space="0" w:color="auto"/>
              <w:left w:val="single" w:sz="2" w:space="0" w:color="auto"/>
              <w:bottom w:val="single" w:sz="2" w:space="0" w:color="auto"/>
              <w:right w:val="single" w:sz="2" w:space="0" w:color="auto"/>
            </w:tcBorders>
            <w:vAlign w:val="center"/>
          </w:tcPr>
          <w:p w14:paraId="79CB4A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前海开源基金、东方资管、东财基金、建信理财、天治基金、金辇投</w:t>
            </w:r>
          </w:p>
          <w:p w14:paraId="06E4A0A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资、巨子私募、贵源投资、浙商证券、中信证券、兴业证券、华西证</w:t>
            </w:r>
          </w:p>
          <w:p w14:paraId="0BF2F41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券、开源证券、华鑫证券、德邦证券等</w:t>
            </w:r>
            <w:r w:rsidRPr="005B5EC1">
              <w:rPr>
                <w:rFonts w:ascii="Times New Roman" w:eastAsia="宋体" w:hAnsi="Times New Roman" w:cs="Times New Roman"/>
                <w:sz w:val="18"/>
                <w:szCs w:val="18"/>
              </w:rPr>
              <w:t xml:space="preserve"> 24 </w:t>
            </w:r>
            <w:r w:rsidRPr="005B5EC1">
              <w:rPr>
                <w:rFonts w:ascii="Times New Roman" w:eastAsia="宋体" w:hAnsi="Times New Roman" w:cs="Times New Roman"/>
                <w:sz w:val="18"/>
                <w:szCs w:val="18"/>
              </w:rPr>
              <w:t>人</w:t>
            </w:r>
          </w:p>
        </w:tc>
        <w:tc>
          <w:tcPr>
            <w:tcW w:w="1377" w:type="dxa"/>
            <w:tcBorders>
              <w:top w:val="single" w:sz="2" w:space="0" w:color="auto"/>
              <w:left w:val="single" w:sz="2" w:space="0" w:color="auto"/>
              <w:bottom w:val="single" w:sz="2" w:space="0" w:color="auto"/>
              <w:right w:val="single" w:sz="2" w:space="0" w:color="auto"/>
            </w:tcBorders>
            <w:vAlign w:val="center"/>
          </w:tcPr>
          <w:p w14:paraId="028BDC2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年前三季度经营情况</w:t>
            </w:r>
          </w:p>
        </w:tc>
        <w:tc>
          <w:tcPr>
            <w:tcW w:w="1377" w:type="dxa"/>
            <w:tcBorders>
              <w:top w:val="single" w:sz="2" w:space="0" w:color="auto"/>
              <w:left w:val="single" w:sz="2" w:space="0" w:color="auto"/>
              <w:bottom w:val="single" w:sz="2" w:space="0" w:color="auto"/>
              <w:right w:val="single" w:sz="2" w:space="0" w:color="auto"/>
            </w:tcBorders>
            <w:vAlign w:val="center"/>
          </w:tcPr>
          <w:p w14:paraId="4A8948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日刊登在巨潮资讯网上的《龙大美食：</w:t>
            </w:r>
            <w:r w:rsidRPr="005B5EC1">
              <w:rPr>
                <w:rFonts w:ascii="Times New Roman" w:eastAsia="宋体" w:hAnsi="Times New Roman" w:cs="Times New Roman"/>
                <w:sz w:val="18"/>
                <w:szCs w:val="18"/>
              </w:rPr>
              <w:t>002726</w:t>
            </w:r>
            <w:r w:rsidRPr="005B5EC1">
              <w:rPr>
                <w:rFonts w:ascii="Times New Roman" w:eastAsia="宋体" w:hAnsi="Times New Roman" w:cs="Times New Roman"/>
                <w:sz w:val="18"/>
                <w:szCs w:val="18"/>
              </w:rPr>
              <w:t>龙大美食投资者关系管理档案</w:t>
            </w:r>
            <w:r w:rsidRPr="005B5EC1">
              <w:rPr>
                <w:rFonts w:ascii="Times New Roman" w:eastAsia="宋体" w:hAnsi="Times New Roman" w:cs="Times New Roman"/>
                <w:sz w:val="18"/>
                <w:szCs w:val="18"/>
              </w:rPr>
              <w:t>20241101</w:t>
            </w:r>
            <w:r w:rsidRPr="005B5EC1">
              <w:rPr>
                <w:rFonts w:ascii="Times New Roman" w:eastAsia="宋体" w:hAnsi="Times New Roman" w:cs="Times New Roman"/>
                <w:sz w:val="18"/>
                <w:szCs w:val="18"/>
              </w:rPr>
              <w:t>》编号：</w:t>
            </w:r>
            <w:r w:rsidRPr="005B5EC1">
              <w:rPr>
                <w:rFonts w:ascii="Times New Roman" w:eastAsia="宋体" w:hAnsi="Times New Roman" w:cs="Times New Roman"/>
                <w:sz w:val="18"/>
                <w:szCs w:val="18"/>
              </w:rPr>
              <w:t>2024-05</w:t>
            </w:r>
            <w:r w:rsidRPr="005B5EC1">
              <w:rPr>
                <w:rFonts w:ascii="Times New Roman" w:eastAsia="宋体" w:hAnsi="Times New Roman" w:cs="Times New Roman"/>
                <w:sz w:val="18"/>
                <w:szCs w:val="18"/>
              </w:rPr>
              <w:t>。</w:t>
            </w:r>
          </w:p>
        </w:tc>
      </w:tr>
    </w:tbl>
    <w:p w14:paraId="5177A217"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4" w:name="_Toc988943"/>
      <w:r w:rsidRPr="005B5EC1">
        <w:rPr>
          <w:rFonts w:ascii="Times New Roman" w:eastAsia="宋体" w:hAnsi="Times New Roman" w:cs="Times New Roman"/>
          <w:b/>
          <w:bCs/>
          <w:sz w:val="24"/>
          <w:szCs w:val="24"/>
        </w:rPr>
        <w:t>十三、市值管理制度和估值提升计划的制定落实情况</w:t>
      </w:r>
      <w:bookmarkEnd w:id="54"/>
    </w:p>
    <w:p w14:paraId="759232C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公司是否制定了市值管理制度。</w:t>
      </w:r>
    </w:p>
    <w:p w14:paraId="04B3081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634AF1E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公司是否披露了估值提升计划。</w:t>
      </w:r>
    </w:p>
    <w:p w14:paraId="4D2F6C6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2F5DC54B"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5" w:name="_Toc988944"/>
      <w:r w:rsidRPr="005B5EC1">
        <w:rPr>
          <w:rFonts w:ascii="Times New Roman" w:eastAsia="宋体" w:hAnsi="Times New Roman" w:cs="Times New Roman"/>
          <w:b/>
          <w:bCs/>
          <w:sz w:val="24"/>
          <w:szCs w:val="24"/>
        </w:rPr>
        <w:t>十四、</w:t>
      </w:r>
      <w:r w:rsidRPr="005B5EC1">
        <w:rPr>
          <w:rFonts w:ascii="Times New Roman" w:eastAsia="宋体" w:hAnsi="Times New Roman" w:cs="Times New Roman"/>
          <w:b/>
          <w:bCs/>
          <w:sz w:val="24"/>
          <w:szCs w:val="24"/>
        </w:rPr>
        <w:t>“</w:t>
      </w:r>
      <w:r w:rsidRPr="005B5EC1">
        <w:rPr>
          <w:rFonts w:ascii="Times New Roman" w:eastAsia="宋体" w:hAnsi="Times New Roman" w:cs="Times New Roman"/>
          <w:b/>
          <w:bCs/>
          <w:sz w:val="24"/>
          <w:szCs w:val="24"/>
        </w:rPr>
        <w:t>质量回报双提升</w:t>
      </w:r>
      <w:r w:rsidRPr="005B5EC1">
        <w:rPr>
          <w:rFonts w:ascii="Times New Roman" w:eastAsia="宋体" w:hAnsi="Times New Roman" w:cs="Times New Roman"/>
          <w:b/>
          <w:bCs/>
          <w:sz w:val="24"/>
          <w:szCs w:val="24"/>
        </w:rPr>
        <w:t>”</w:t>
      </w:r>
      <w:r w:rsidRPr="005B5EC1">
        <w:rPr>
          <w:rFonts w:ascii="Times New Roman" w:eastAsia="宋体" w:hAnsi="Times New Roman" w:cs="Times New Roman"/>
          <w:b/>
          <w:bCs/>
          <w:sz w:val="24"/>
          <w:szCs w:val="24"/>
        </w:rPr>
        <w:t>行动方案贯彻落实情况</w:t>
      </w:r>
      <w:bookmarkEnd w:id="55"/>
    </w:p>
    <w:p w14:paraId="3B6691F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公司是否披露了</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质量回报双提升</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行动方案公告。</w:t>
      </w:r>
    </w:p>
    <w:p w14:paraId="68FB2BD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06CCBE68"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77B14836"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56" w:name="_Toc988945"/>
      <w:r w:rsidRPr="005B5EC1">
        <w:rPr>
          <w:rFonts w:ascii="Times New Roman" w:eastAsia="宋体" w:hAnsi="Times New Roman" w:cs="Times New Roman"/>
          <w:b/>
          <w:bCs/>
          <w:sz w:val="32"/>
          <w:szCs w:val="32"/>
        </w:rPr>
        <w:lastRenderedPageBreak/>
        <w:t>第四节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公司治理</w:t>
      </w:r>
      <w:bookmarkEnd w:id="56"/>
    </w:p>
    <w:p w14:paraId="672C34CE"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7" w:name="_Toc988946"/>
      <w:r w:rsidRPr="005B5EC1">
        <w:rPr>
          <w:rFonts w:ascii="Times New Roman" w:eastAsia="宋体" w:hAnsi="Times New Roman" w:cs="Times New Roman"/>
          <w:b/>
          <w:bCs/>
          <w:sz w:val="24"/>
          <w:szCs w:val="24"/>
        </w:rPr>
        <w:t>一、公司治理的基本状况</w:t>
      </w:r>
      <w:bookmarkEnd w:id="57"/>
    </w:p>
    <w:p w14:paraId="1062F7A4" w14:textId="77777777"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报告期内，公司严格按照《公司法》《上市公司治理准则》《深圳证券交易所上市公司自律监管指引第</w:t>
      </w:r>
      <w:r w:rsidRPr="005B5EC1">
        <w:rPr>
          <w:rFonts w:ascii="Times New Roman" w:hAnsi="Times New Roman" w:cs="Times New Roman"/>
          <w:sz w:val="18"/>
          <w:szCs w:val="18"/>
        </w:rPr>
        <w:t xml:space="preserve"> 1 </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主板上市公司规范运作》等法律、规章及规范性文件的要求规范运作，并结合公司自身的情况，不断优化公司法人治理结构，建立健全公司治理及内部控制的各项规则制度，加强信息披露工作，积极开展投资者关系管理工作，进一步规范公司运作，提高公司治理水平。报告期内，公司治理情况符合中国证监会和深圳证券交易所有关上市公司治理的规范性文件要求。具体情况如下：</w:t>
      </w:r>
    </w:p>
    <w:p w14:paraId="55A1617A" w14:textId="5275E870"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、股东大会</w:t>
      </w:r>
    </w:p>
    <w:p w14:paraId="51C51BB8" w14:textId="77777777"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报告期内，公司按照《公司章程》和《股东大会议事规则》等要求，规范股东大会的召集、召开，将相关决策事项提交股东大会审批，能够保证股东大会运作符合《股东大会议事规则》相关要求，确保股东对于公司决策事项的参与权和表决权，能够保证全体股东特别是中小股东享有平等地位、平等权利，并承担相应义务。</w:t>
      </w:r>
    </w:p>
    <w:p w14:paraId="03C934F0" w14:textId="3A7FBEBD"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、董事会</w:t>
      </w:r>
    </w:p>
    <w:p w14:paraId="335BFA76" w14:textId="77777777"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报告期内，公司董事会由</w:t>
      </w:r>
      <w:r w:rsidRPr="005B5EC1">
        <w:rPr>
          <w:rFonts w:ascii="Times New Roman" w:hAnsi="Times New Roman" w:cs="Times New Roman"/>
          <w:sz w:val="18"/>
          <w:szCs w:val="18"/>
        </w:rPr>
        <w:t>7</w:t>
      </w:r>
      <w:r w:rsidRPr="005B5EC1">
        <w:rPr>
          <w:rFonts w:ascii="Times New Roman" w:hAnsi="Times New Roman" w:cs="Times New Roman"/>
          <w:sz w:val="18"/>
          <w:szCs w:val="18"/>
        </w:rPr>
        <w:t>名董事组成，其中独立董事</w:t>
      </w:r>
      <w:r w:rsidRPr="005B5EC1">
        <w:rPr>
          <w:rFonts w:ascii="Times New Roman" w:hAnsi="Times New Roman" w:cs="Times New Roman"/>
          <w:sz w:val="18"/>
          <w:szCs w:val="18"/>
        </w:rPr>
        <w:t>3</w:t>
      </w:r>
      <w:r w:rsidRPr="005B5EC1">
        <w:rPr>
          <w:rFonts w:ascii="Times New Roman" w:hAnsi="Times New Roman" w:cs="Times New Roman"/>
          <w:sz w:val="18"/>
          <w:szCs w:val="18"/>
        </w:rPr>
        <w:t>名，公司董事会的人数及人员构成符合法律、法规和《公司章程》的要求。公司董事会设立了审计委员会、提名委员会、薪酬与考核委员会及战略委员会等专业委员会，为董事会的决策提供专业意见和参考。公司董事严格按照《公司法》《公司章程》《董事会议事规则》《上市公司独立董事规则》等制度的规定开展工作，积极出席董事会和股东大会，积极参加对相关知识的培训，熟悉有关法律法规，勤勉尽责。</w:t>
      </w:r>
    </w:p>
    <w:p w14:paraId="39D5A8A3" w14:textId="59D3F49C"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、监事会</w:t>
      </w:r>
    </w:p>
    <w:p w14:paraId="5C2497C3" w14:textId="3D81DBAF"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公司严格按照《公司法》《公司章程》的规定选举产生监事，监事会的人数及构成符合法律法规和《公司章程》的要求。监事会严格按照《公司章程》《监事会议事规则》的规定，规范监事会的召集、召开和表决。公司全体监事认真履行职责，对公司重大事项、关联交易、财务状况、董事、高级管理人员履行职责情况等进行监督，维护公司及股东的合法权益。</w:t>
      </w:r>
    </w:p>
    <w:p w14:paraId="23BD8621" w14:textId="09BE147C"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4</w:t>
      </w:r>
      <w:r w:rsidRPr="005B5EC1">
        <w:rPr>
          <w:rFonts w:ascii="Times New Roman" w:hAnsi="Times New Roman" w:cs="Times New Roman"/>
          <w:sz w:val="18"/>
          <w:szCs w:val="18"/>
        </w:rPr>
        <w:t>、独立董事及董事会专门委员会的运行情况</w:t>
      </w:r>
    </w:p>
    <w:p w14:paraId="0D81743C" w14:textId="62925B18"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报告期内，公司独立董事根据《公司法》和其他部门规章、规范性文件和制度细则规定，诚实、勤勉、独立的履行职责，积极出席相关会议，认真审议董事会各项议案，对公司重大事项发表了独立意见，切实维护了公司和股东尤其是中小股东利益，较好地发挥了独立董事的监督作用。公司董事会各专门委员会根据各自委员会议事规则履行职责。</w:t>
      </w:r>
    </w:p>
    <w:p w14:paraId="19194A8E" w14:textId="1CB2AC1C"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5</w:t>
      </w:r>
      <w:r w:rsidRPr="005B5EC1">
        <w:rPr>
          <w:rFonts w:ascii="Times New Roman" w:hAnsi="Times New Roman" w:cs="Times New Roman"/>
          <w:sz w:val="18"/>
          <w:szCs w:val="18"/>
        </w:rPr>
        <w:t>、关于信息披露</w:t>
      </w:r>
    </w:p>
    <w:p w14:paraId="3B9241F2" w14:textId="77777777"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公司严格按照有关法律、法规和公司《重大信息内部报告制度》《机构投资者接待管理制度》的要求，认真履行信息披露义务，加强信息披露事务管理。报告期内，公司指定《中国证券报》《证券时报》《上海证券报》《证券日报》和巨潮资讯网为公司信息披露媒体，真实、准确、及时地披露公司相关信息，确保公司所有投资者公平地获取公司相关信息。</w:t>
      </w:r>
    </w:p>
    <w:p w14:paraId="757405B4" w14:textId="6AA44905" w:rsidR="00A17567"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6</w:t>
      </w:r>
      <w:r w:rsidRPr="005B5EC1">
        <w:rPr>
          <w:rFonts w:ascii="Times New Roman" w:hAnsi="Times New Roman" w:cs="Times New Roman"/>
          <w:sz w:val="18"/>
          <w:szCs w:val="18"/>
        </w:rPr>
        <w:t>、关于控股股东与上市公司的关系</w:t>
      </w:r>
    </w:p>
    <w:p w14:paraId="57A3D04A" w14:textId="13B081E6" w:rsidR="002D722A"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公司严格按照有关法律、法规和《公司章程》的要求规范运作，在业务、资产、人员、机构、财务等方面与控股股东完全分开，具有独立、完整的资产和业务，具备独立面向市场自主经营的能力。公司控股股东依法行使权利并承担相应义务，没有超越公司股东大会直接或间接干预公司的决策和经营活动。</w:t>
      </w:r>
    </w:p>
    <w:p w14:paraId="351E1CF0" w14:textId="77777777" w:rsidR="002D722A"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7</w:t>
      </w:r>
      <w:r w:rsidRPr="005B5EC1">
        <w:rPr>
          <w:rFonts w:ascii="Times New Roman" w:hAnsi="Times New Roman" w:cs="Times New Roman"/>
          <w:sz w:val="18"/>
          <w:szCs w:val="18"/>
        </w:rPr>
        <w:t>、关于绩效评价与激励约束机制</w:t>
      </w:r>
    </w:p>
    <w:p w14:paraId="25F29FF9" w14:textId="74608012" w:rsidR="00AF139E"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lastRenderedPageBreak/>
        <w:t>公司逐步建立和完善公正、透明的董事、监事和高级管理人员的绩效评价标准和激励约束机制，公司高级管理人员的聘任公开、透明，符合法律法规的规定。</w:t>
      </w:r>
    </w:p>
    <w:p w14:paraId="72437E4E" w14:textId="77777777" w:rsidR="002D722A"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8</w:t>
      </w:r>
      <w:r w:rsidRPr="005B5EC1">
        <w:rPr>
          <w:rFonts w:ascii="Times New Roman" w:hAnsi="Times New Roman" w:cs="Times New Roman"/>
          <w:sz w:val="18"/>
          <w:szCs w:val="18"/>
        </w:rPr>
        <w:t>、关于利益相关者</w:t>
      </w:r>
    </w:p>
    <w:p w14:paraId="67EFE4D4" w14:textId="0DB84BE0" w:rsidR="00AF139E" w:rsidRPr="005B5EC1" w:rsidRDefault="00000000" w:rsidP="002D722A">
      <w:pPr>
        <w:pStyle w:val="a3"/>
        <w:spacing w:before="0" w:beforeAutospacing="0" w:after="0" w:afterAutospacing="0" w:line="276" w:lineRule="auto"/>
        <w:ind w:firstLineChars="200" w:firstLine="360"/>
        <w:jc w:val="both"/>
        <w:divId w:val="120347274"/>
        <w:rPr>
          <w:rFonts w:ascii="Times New Roman" w:hAnsi="Times New Roman" w:cs="Times New Roman"/>
          <w:sz w:val="18"/>
          <w:szCs w:val="18"/>
        </w:rPr>
      </w:pPr>
      <w:r w:rsidRPr="005B5EC1">
        <w:rPr>
          <w:rFonts w:ascii="Times New Roman" w:hAnsi="Times New Roman" w:cs="Times New Roman"/>
          <w:sz w:val="18"/>
          <w:szCs w:val="18"/>
        </w:rPr>
        <w:t>公司充分尊重和维护股东、员工、供应商、客户等相关利益者的合法权益，积极与利益相关者合作，加强与各方的沟通和交流，实现社会、股东、公司、员工等各方利益的协调平衡，共同推进公司持续、稳定、健康发展。</w:t>
      </w:r>
    </w:p>
    <w:p w14:paraId="792A7CE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公司治理的实际状况与法律、行政法规和中国证监会发布的关于上市公司治理的规定是否存在重大差异</w:t>
      </w:r>
    </w:p>
    <w:p w14:paraId="6E063BE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0034D72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公司治理的实际状况与法律、行政法规和中国证监会发布的关于上市公司治理的规定不存在重大差异。</w:t>
      </w:r>
    </w:p>
    <w:p w14:paraId="062F8D2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8" w:name="_Toc988947"/>
      <w:r w:rsidRPr="005B5EC1">
        <w:rPr>
          <w:rFonts w:ascii="Times New Roman" w:eastAsia="宋体" w:hAnsi="Times New Roman" w:cs="Times New Roman"/>
          <w:b/>
          <w:bCs/>
          <w:sz w:val="24"/>
          <w:szCs w:val="24"/>
        </w:rPr>
        <w:t>二、公司相对于控股股东、实际控制人在保证公司资产、人员、财务、机构、业务等方面的独立情况</w:t>
      </w:r>
      <w:bookmarkEnd w:id="58"/>
    </w:p>
    <w:p w14:paraId="5DDAA462"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公司严格按照《公司法》、《证券法》等有关法律法规、部门规章、规范性文件和《公司章程》的要求规范运作，与控股股东在业务、人员、资产、机构和财务等方面完全分开，具有独立完整的业务及自主经营能力。</w:t>
      </w:r>
    </w:p>
    <w:p w14:paraId="76760F66"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（一）业务方面</w:t>
      </w:r>
    </w:p>
    <w:p w14:paraId="5CF0B4A5"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公司业务独立于控股股东及其下属企业，拥有独立完整的采购和销售系统，独立开展业务，不依赖于股东或其它任何关联方。</w:t>
      </w:r>
    </w:p>
    <w:p w14:paraId="4D23FDED"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（二）人员方面</w:t>
      </w:r>
    </w:p>
    <w:p w14:paraId="7EE7D4F3"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公司总经理、副总经理、财务负责人、董事会秘书等高级管理人员专职在公司工作、领取薪酬，不存在在股东单位兼任职务的情况。公司董事、监事和高级管理人员严格按照《公司法》、《公司章程》的规定，经公司合法程序选举产生。高级管理人员均由董事会聘任，不存在股东干预公司董事会和股东大会人事任免决定的情形。公司人员独立，所有员工均和公司签订了劳动合同。公司在员工管理、社会保障、工薪报酬等方面独立于股东单位或其他关联方。</w:t>
      </w:r>
    </w:p>
    <w:p w14:paraId="69E9704C"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（三）资产方面</w:t>
      </w:r>
    </w:p>
    <w:p w14:paraId="18A6FCB6"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公司拥有独立完整的资产结构，拥有独立的经营场所，配套设施、房屋所有权等资产，与控股股东之间产权关系清晰，不存在产权纠纷或潜在纠纷。不存在资产资金被控股股东占用的情况，公司资产完全独立于控股股东。</w:t>
      </w:r>
    </w:p>
    <w:p w14:paraId="5A8E7BD4"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（四）机构方面</w:t>
      </w:r>
    </w:p>
    <w:p w14:paraId="5F6A5CD2"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公司依法设立股东大会、董事会、监事会，各项规章制度完善，法人治理结构规范有效。公司及其职能部门与控股股东及其职能部门之间不存在上下级关系。公司建立了独立于股东的适应自身发展需要的组织机构，并明确了各部门的职能，形成了公司独立与完善的管理机构和业务经营体系。</w:t>
      </w:r>
    </w:p>
    <w:p w14:paraId="6107DCC0" w14:textId="77777777" w:rsidR="00A17567"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（五）财务方面</w:t>
      </w:r>
    </w:p>
    <w:p w14:paraId="6945CBCE" w14:textId="26C7FB7E" w:rsidR="00AF139E" w:rsidRPr="005B5EC1" w:rsidRDefault="00000000" w:rsidP="00A17567">
      <w:pPr>
        <w:pStyle w:val="a3"/>
        <w:spacing w:before="0" w:beforeAutospacing="0" w:after="0" w:afterAutospacing="0" w:line="276" w:lineRule="auto"/>
        <w:ind w:firstLineChars="200" w:firstLine="360"/>
        <w:divId w:val="245649194"/>
        <w:rPr>
          <w:rFonts w:ascii="Times New Roman" w:hAnsi="Times New Roman" w:cs="Times New Roman"/>
          <w:sz w:val="18"/>
          <w:szCs w:val="18"/>
        </w:rPr>
      </w:pPr>
      <w:r w:rsidRPr="005B5EC1">
        <w:rPr>
          <w:rFonts w:ascii="Times New Roman" w:hAnsi="Times New Roman" w:cs="Times New Roman"/>
          <w:sz w:val="18"/>
          <w:szCs w:val="18"/>
        </w:rPr>
        <w:t>公司设有独立的财务会计部门，配备了专门的财务人员，建立了独立的会计核算体系和财务管理制度。公司独立在银行开户，独立依法纳税。公司独立做出财务决策，不存在大股东占用公司资金及干预公司资金使用的情况，不存在为股东单位及其关联方提供担保的行为。</w:t>
      </w:r>
    </w:p>
    <w:p w14:paraId="35A89B7A"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9" w:name="_Toc988948"/>
      <w:r w:rsidRPr="005B5EC1">
        <w:rPr>
          <w:rFonts w:ascii="Times New Roman" w:eastAsia="宋体" w:hAnsi="Times New Roman" w:cs="Times New Roman"/>
          <w:b/>
          <w:bCs/>
          <w:sz w:val="24"/>
          <w:szCs w:val="24"/>
        </w:rPr>
        <w:t>三、同业竞争情况</w:t>
      </w:r>
      <w:bookmarkEnd w:id="59"/>
    </w:p>
    <w:p w14:paraId="71A93C0E" w14:textId="0471D376" w:rsidR="00FF615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73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516"/>
        <w:gridCol w:w="993"/>
        <w:gridCol w:w="1134"/>
        <w:gridCol w:w="850"/>
        <w:gridCol w:w="1701"/>
        <w:gridCol w:w="2693"/>
        <w:gridCol w:w="1843"/>
      </w:tblGrid>
      <w:tr w:rsidR="00E10CEE" w:rsidRPr="005B5EC1" w14:paraId="13F89577" w14:textId="77777777" w:rsidTr="00E10CEE">
        <w:trPr>
          <w:trHeight w:val="1241"/>
          <w:jc w:val="center"/>
        </w:trPr>
        <w:tc>
          <w:tcPr>
            <w:tcW w:w="516" w:type="dxa"/>
            <w:tcBorders>
              <w:top w:val="single" w:sz="2" w:space="0" w:color="auto"/>
              <w:left w:val="single" w:sz="2" w:space="0" w:color="auto"/>
              <w:bottom w:val="single" w:sz="2" w:space="0" w:color="auto"/>
              <w:right w:val="single" w:sz="2" w:space="0" w:color="auto"/>
            </w:tcBorders>
            <w:shd w:val="clear" w:color="auto" w:fill="D3D3D3"/>
            <w:vAlign w:val="center"/>
          </w:tcPr>
          <w:p w14:paraId="55560288" w14:textId="77777777" w:rsidR="00E32FE0" w:rsidRPr="005B5EC1" w:rsidRDefault="00000000" w:rsidP="00FF615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问题类型</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FABFA30" w14:textId="77777777" w:rsidR="00E32FE0" w:rsidRPr="005B5EC1" w:rsidRDefault="00000000" w:rsidP="00FF615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与上市公司的关联关系类型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3A9FB05" w14:textId="77777777" w:rsidR="00E32FE0" w:rsidRPr="005B5EC1" w:rsidRDefault="00000000" w:rsidP="00FF615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公司名称</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0B0FEB20" w14:textId="77777777" w:rsidR="00E32FE0" w:rsidRPr="005B5EC1" w:rsidRDefault="00000000" w:rsidP="00FF615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公司性质</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7CBBEB36" w14:textId="77777777" w:rsidR="00E32FE0" w:rsidRPr="005B5EC1" w:rsidRDefault="00000000" w:rsidP="00FF615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问题成因</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503B667C" w14:textId="77777777" w:rsidR="00E32FE0" w:rsidRPr="005B5EC1" w:rsidRDefault="00000000" w:rsidP="00FF615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解决措施</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1D7843B" w14:textId="77777777" w:rsidR="00E32FE0" w:rsidRPr="005B5EC1" w:rsidRDefault="00000000" w:rsidP="00FF615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工作进度及后续计划</w:t>
            </w:r>
          </w:p>
        </w:tc>
      </w:tr>
      <w:tr w:rsidR="00E32FE0" w:rsidRPr="005B5EC1" w14:paraId="23A25E1C" w14:textId="77777777" w:rsidTr="00E10CEE">
        <w:trPr>
          <w:trHeight w:val="240"/>
          <w:jc w:val="center"/>
        </w:trPr>
        <w:tc>
          <w:tcPr>
            <w:tcW w:w="516" w:type="dxa"/>
            <w:tcBorders>
              <w:top w:val="single" w:sz="2" w:space="0" w:color="auto"/>
              <w:left w:val="single" w:sz="2" w:space="0" w:color="auto"/>
              <w:bottom w:val="single" w:sz="2" w:space="0" w:color="auto"/>
              <w:right w:val="single" w:sz="2" w:space="0" w:color="auto"/>
            </w:tcBorders>
            <w:vAlign w:val="center"/>
          </w:tcPr>
          <w:p w14:paraId="428ABB64" w14:textId="77777777" w:rsidR="00E32FE0" w:rsidRPr="005B5EC1" w:rsidRDefault="00000000" w:rsidP="00FF615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同业竞争</w:t>
            </w:r>
          </w:p>
        </w:tc>
        <w:tc>
          <w:tcPr>
            <w:tcW w:w="993" w:type="dxa"/>
            <w:tcBorders>
              <w:top w:val="single" w:sz="2" w:space="0" w:color="auto"/>
              <w:left w:val="single" w:sz="2" w:space="0" w:color="auto"/>
              <w:bottom w:val="single" w:sz="2" w:space="0" w:color="auto"/>
              <w:right w:val="single" w:sz="2" w:space="0" w:color="auto"/>
            </w:tcBorders>
            <w:vAlign w:val="center"/>
          </w:tcPr>
          <w:p w14:paraId="5F43B7E7" w14:textId="77777777" w:rsidR="00E32FE0" w:rsidRPr="005B5EC1" w:rsidRDefault="00000000" w:rsidP="00FF615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控股股东</w:t>
            </w:r>
          </w:p>
        </w:tc>
        <w:tc>
          <w:tcPr>
            <w:tcW w:w="1134" w:type="dxa"/>
            <w:tcBorders>
              <w:top w:val="single" w:sz="2" w:space="0" w:color="auto"/>
              <w:left w:val="single" w:sz="2" w:space="0" w:color="auto"/>
              <w:bottom w:val="single" w:sz="2" w:space="0" w:color="auto"/>
              <w:right w:val="single" w:sz="2" w:space="0" w:color="auto"/>
            </w:tcBorders>
            <w:vAlign w:val="center"/>
          </w:tcPr>
          <w:p w14:paraId="43F30B2F" w14:textId="77777777" w:rsidR="00E32FE0" w:rsidRPr="005B5EC1" w:rsidRDefault="00000000" w:rsidP="00FF615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850" w:type="dxa"/>
            <w:tcBorders>
              <w:top w:val="single" w:sz="2" w:space="0" w:color="auto"/>
              <w:left w:val="single" w:sz="2" w:space="0" w:color="auto"/>
              <w:bottom w:val="single" w:sz="2" w:space="0" w:color="auto"/>
              <w:right w:val="single" w:sz="2" w:space="0" w:color="auto"/>
            </w:tcBorders>
            <w:vAlign w:val="center"/>
          </w:tcPr>
          <w:p w14:paraId="5E00E3FD" w14:textId="77777777" w:rsidR="00E32FE0" w:rsidRPr="005B5EC1" w:rsidRDefault="00000000" w:rsidP="00FF615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701" w:type="dxa"/>
            <w:tcBorders>
              <w:top w:val="single" w:sz="2" w:space="0" w:color="auto"/>
              <w:left w:val="single" w:sz="2" w:space="0" w:color="auto"/>
              <w:bottom w:val="single" w:sz="2" w:space="0" w:color="auto"/>
              <w:right w:val="single" w:sz="2" w:space="0" w:color="auto"/>
            </w:tcBorders>
            <w:vAlign w:val="center"/>
          </w:tcPr>
          <w:p w14:paraId="6337398C" w14:textId="54347CD5" w:rsidR="00E32FE0" w:rsidRPr="005B5EC1" w:rsidRDefault="00000000" w:rsidP="00E10CEE">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蓝润发展为帮助上市公司把握非洲猪瘟带来的生猪养殖行业产能出清、行业集中度上升以及本轮</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猪周期</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的商业机会，同时为帮助公司拓展在四川等西南地区的业务市场，完善国内区域布局，蓝润发展下属子公司蓝润实业集团与四川省巴中市、达州市和南充市三市地方政府签署投资协议（拟）布局生猪产业链业务（以下称</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四川三市生猪产业链项目</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）。蓝润发展分别</w:t>
            </w:r>
            <w:r w:rsidR="00975D82">
              <w:rPr>
                <w:rFonts w:ascii="Times New Roman" w:eastAsia="宋体" w:hAnsi="Times New Roman" w:cs="Times New Roman" w:hint="eastAsia"/>
                <w:sz w:val="18"/>
                <w:szCs w:val="18"/>
              </w:rPr>
              <w:t>在</w:t>
            </w: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月和</w:t>
            </w: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月将上述商业机会优先交由上市公司把握，上市公司决定暂时放弃商业机会，主要原因为：</w:t>
            </w:r>
            <w:r w:rsidRPr="005B5EC1">
              <w:rPr>
                <w:rFonts w:ascii="Cambria Math" w:eastAsia="宋体" w:hAnsi="Cambria Math" w:cs="Cambria Math"/>
                <w:sz w:val="18"/>
                <w:szCs w:val="18"/>
              </w:rPr>
              <w:t>①</w:t>
            </w:r>
            <w:r w:rsidRPr="005B5EC1">
              <w:rPr>
                <w:rFonts w:ascii="Times New Roman" w:eastAsia="宋体" w:hAnsi="Times New Roman" w:cs="Times New Roman"/>
                <w:sz w:val="18"/>
                <w:szCs w:val="18"/>
              </w:rPr>
              <w:t>上述生猪产业链项目投资规模大，公司资金实力相对不足，且</w:t>
            </w: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年公司计划在山东潍坊安丘市和烟台莱阳市开展生猪养殖项目，继续新增四川生猪产业布局将加重公司的债务负担，大幅增加公司经营及投资风险；</w:t>
            </w:r>
            <w:r w:rsidRPr="005B5EC1">
              <w:rPr>
                <w:rFonts w:ascii="Cambria Math" w:eastAsia="宋体" w:hAnsi="Cambria Math" w:cs="Cambria Math"/>
                <w:sz w:val="18"/>
                <w:szCs w:val="18"/>
              </w:rPr>
              <w:t>②</w:t>
            </w:r>
            <w:r w:rsidRPr="005B5EC1">
              <w:rPr>
                <w:rFonts w:ascii="Times New Roman" w:eastAsia="宋体" w:hAnsi="Times New Roman" w:cs="Times New Roman"/>
                <w:sz w:val="18"/>
                <w:szCs w:val="18"/>
              </w:rPr>
              <w:t>蓝润发展已作出承诺，公司拥有项目建设完成并满足注入上市公司条件时的优先收购权。在上市公司暂时放弃上述四川三市生猪产业链商业机会</w:t>
            </w:r>
            <w:r w:rsidRPr="005B5EC1">
              <w:rPr>
                <w:rFonts w:ascii="Times New Roman" w:eastAsia="宋体" w:hAnsi="Times New Roman" w:cs="Times New Roman"/>
                <w:sz w:val="18"/>
                <w:szCs w:val="18"/>
              </w:rPr>
              <w:lastRenderedPageBreak/>
              <w:t>的前提下，蓝润发展自行投资建设上述三市的生猪产业链项目，由此产生了与上市公司的同业竞争。</w:t>
            </w:r>
          </w:p>
        </w:tc>
        <w:tc>
          <w:tcPr>
            <w:tcW w:w="2693" w:type="dxa"/>
            <w:tcBorders>
              <w:top w:val="single" w:sz="2" w:space="0" w:color="auto"/>
              <w:left w:val="single" w:sz="2" w:space="0" w:color="auto"/>
              <w:bottom w:val="single" w:sz="2" w:space="0" w:color="auto"/>
              <w:right w:val="single" w:sz="2" w:space="0" w:color="auto"/>
            </w:tcBorders>
            <w:vAlign w:val="center"/>
          </w:tcPr>
          <w:p w14:paraId="58A7AB7D" w14:textId="77777777" w:rsidR="00E32FE0" w:rsidRPr="005B5EC1" w:rsidRDefault="00000000" w:rsidP="00E10CEE">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控股股东、实际控制人出具如下承诺：</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承诺生猪产业链项目将仅限于目前上市公司暂时放弃商业机会的四川省巴中市、达州市、南充市三市。四川三市生猪产业链项目实施过程中，资金来源为自有资金或自筹资金，不会占用龙大肉食及其控股子公司资金，亦不会让龙大肉食及其控股子公司提供担保。四川三市生猪产业链项目实施过程中，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本人将严格遵守《关于保持上市公司独立性的承诺》，避免使用龙大肉食品的人员、资产、资质、技术、建设资源以及生产采购销售渠道等，保持龙大肉食的独立性，同时在项目建成投产后，本公司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本人确保四川三市生猪产业链项目销售区域将仅限于四川省，确保龙大肉食中小股东的利益不受侵占或损失。四川三市生猪产业链项目的经营主体为五仓农牧集团有限公司（以下简称</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五仓农牧集团</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）及其下属各地子公司。在四川三市生猪产业链项目建设完成，且项目经营主体五仓农牧集团符合注入上市公司条件后</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年内，本公司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本人承诺将五仓农牧集团按法定程序以市场公允价格注入上市公司，若上市公司明确放弃上述收购权利，则本公司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本人将采取向无关联第三方转让五仓农牧集团股权等方式妥善解决同业竞争。当同时满足以下条件时，五仓农牧集团将视为符合前述所约定的资产注入条件：（</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）生产经营符合法律、行政法规和公司章程的规定，符合国家产业政策和有关环境保护、土地管理、反垄断等法律和行政法规的规定；（</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）所涉及的股权权属清晰，股权过户或者转移不存在法律障碍，相关债权债务处理合法；（</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）五仓农牧集团最近一年实现的扣除非经常性损益后归属于母公司股东净利润（合并口径）</w:t>
            </w:r>
            <w:r w:rsidRPr="005B5EC1">
              <w:rPr>
                <w:rFonts w:ascii="Times New Roman" w:eastAsia="宋体" w:hAnsi="Times New Roman" w:cs="Times New Roman"/>
                <w:sz w:val="18"/>
                <w:szCs w:val="18"/>
              </w:rPr>
              <w:lastRenderedPageBreak/>
              <w:t>为正，上述财务数据需经具有证券资格的会计师事务所审计。（</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）符合相关法律法规及规范性文件、证券监管机构的相关监管要求。本公司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本人承诺最迟不超过</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年末前完成将五仓农牧集团的股权注入上市公司的协议签署，在上市公司明确放弃上述收购权利时，最迟不超过</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年末前向无关联第三方转让五仓农牧集团股权。</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本人及本公司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本人控制的除上市公司外的其他成员因违反前述声明、承诺而获得的收益由上市公司享有，如造成上市公司经济损失的，本公司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本人同意赔偿上市公司相应损失。</w:t>
            </w:r>
            <w:r w:rsidRPr="005B5EC1">
              <w:rPr>
                <w:rFonts w:ascii="Times New Roman" w:eastAsia="宋体" w:hAnsi="Times New Roman" w:cs="Times New Roman"/>
                <w:sz w:val="18"/>
                <w:szCs w:val="18"/>
              </w:rPr>
              <w:t>”</w:t>
            </w:r>
          </w:p>
        </w:tc>
        <w:tc>
          <w:tcPr>
            <w:tcW w:w="1843" w:type="dxa"/>
            <w:tcBorders>
              <w:top w:val="single" w:sz="2" w:space="0" w:color="auto"/>
              <w:left w:val="single" w:sz="2" w:space="0" w:color="auto"/>
              <w:bottom w:val="single" w:sz="2" w:space="0" w:color="auto"/>
              <w:right w:val="single" w:sz="2" w:space="0" w:color="auto"/>
            </w:tcBorders>
            <w:vAlign w:val="center"/>
          </w:tcPr>
          <w:p w14:paraId="336ACF60" w14:textId="77777777" w:rsidR="00E32FE0" w:rsidRPr="005B5EC1" w:rsidRDefault="00000000" w:rsidP="00E10CEE">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控股股东及实际控制人对避免同业竞争承诺事项进行延期，将避免同业竞争承诺的履行期限延期至</w:t>
            </w: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日，并在解决同业竞争之前，控股股东以股权托管的方式将五仓农牧集团有限公司股权委托公司代为管理。</w:t>
            </w: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公司召开第四届董事会第三十五次会议审议通过了《关于实施四川三市生猪产业链项目商业机会中生猪屠宰和深加工项目的议案》，公司拟实施之前已暂时放弃的四川省巴中市、达州市和南充市三市生猪产业链项目商业机会中的生猪屠宰和深加工项目。该议案后经</w:t>
            </w: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年第四次临时股东大会审议通过。控股股东、实际控制人出具了新的承诺。详见</w:t>
            </w: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日的巨潮资讯网。</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月，公司召开第五届董事会第十九次会议和</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年第四次临时股东大会审议通过了《关于控股股东及实际控制人避免同业竞争承诺延期履行的议案》，同意控股股东及实际控制人对避免同业竞争承诺事项进行延期，将避免同业竞争承诺的履行期限延期至</w:t>
            </w: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日，并在解决同业竞争之前，控股股东以股权托管的方式将五</w:t>
            </w:r>
            <w:r w:rsidRPr="005B5EC1">
              <w:rPr>
                <w:rFonts w:ascii="Times New Roman" w:eastAsia="宋体" w:hAnsi="Times New Roman" w:cs="Times New Roman"/>
                <w:sz w:val="18"/>
                <w:szCs w:val="18"/>
              </w:rPr>
              <w:lastRenderedPageBreak/>
              <w:t>仓农牧集团有限公司股权委托公司代为管理。具体内容详见</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日公司在指定披露媒体披露的《山东龙大美食股份有限公司关于控股股东及实际控制人避免同业竞争承诺延期履行的公告》。</w:t>
            </w:r>
          </w:p>
        </w:tc>
      </w:tr>
    </w:tbl>
    <w:p w14:paraId="27010F8C"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60" w:name="_Toc988949"/>
      <w:r w:rsidRPr="005B5EC1">
        <w:rPr>
          <w:rFonts w:ascii="Times New Roman" w:eastAsia="宋体" w:hAnsi="Times New Roman" w:cs="Times New Roman"/>
          <w:b/>
          <w:bCs/>
          <w:sz w:val="24"/>
          <w:szCs w:val="24"/>
        </w:rPr>
        <w:lastRenderedPageBreak/>
        <w:t>四、报告期内召开的年度股东大会和临时股东大会的有关情况</w:t>
      </w:r>
      <w:bookmarkEnd w:id="60"/>
    </w:p>
    <w:p w14:paraId="6EBE2A40" w14:textId="77777777" w:rsidR="00E32FE0" w:rsidRPr="005B5EC1" w:rsidRDefault="00000000">
      <w:pPr>
        <w:pStyle w:val="3"/>
        <w:spacing w:line="280" w:lineRule="exact"/>
        <w:jc w:val="left"/>
        <w:rPr>
          <w:rFonts w:ascii="Times New Roman" w:hAnsi="Times New Roman" w:cs="Times New Roman"/>
          <w:b/>
          <w:bCs/>
        </w:rPr>
      </w:pPr>
      <w:bookmarkStart w:id="61" w:name="_Toc988950"/>
      <w:r w:rsidRPr="005B5EC1">
        <w:rPr>
          <w:rFonts w:ascii="Times New Roman" w:hAnsi="Times New Roman" w:cs="Times New Roman"/>
          <w:b/>
          <w:bCs/>
        </w:rPr>
        <w:t>1</w:t>
      </w:r>
      <w:r w:rsidRPr="005B5EC1">
        <w:rPr>
          <w:rFonts w:ascii="Times New Roman" w:hAnsi="Times New Roman" w:cs="Times New Roman"/>
          <w:b/>
          <w:bCs/>
        </w:rPr>
        <w:t>、本报告期股东大会情况</w:t>
      </w:r>
      <w:bookmarkEnd w:id="61"/>
    </w:p>
    <w:tbl>
      <w:tblPr>
        <w:tblW w:w="988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036"/>
        <w:gridCol w:w="1599"/>
        <w:gridCol w:w="1017"/>
        <w:gridCol w:w="1744"/>
        <w:gridCol w:w="1841"/>
        <w:gridCol w:w="1648"/>
      </w:tblGrid>
      <w:tr w:rsidR="00E32FE0" w:rsidRPr="005B5EC1" w14:paraId="3987D7F5" w14:textId="77777777" w:rsidTr="00E10CEE">
        <w:trPr>
          <w:trHeight w:val="243"/>
          <w:jc w:val="center"/>
        </w:trPr>
        <w:tc>
          <w:tcPr>
            <w:tcW w:w="2036" w:type="dxa"/>
            <w:tcBorders>
              <w:top w:val="single" w:sz="2" w:space="0" w:color="auto"/>
              <w:left w:val="single" w:sz="2" w:space="0" w:color="auto"/>
              <w:bottom w:val="single" w:sz="2" w:space="0" w:color="auto"/>
              <w:right w:val="single" w:sz="2" w:space="0" w:color="auto"/>
            </w:tcBorders>
            <w:shd w:val="clear" w:color="auto" w:fill="D3D3D3"/>
            <w:vAlign w:val="center"/>
          </w:tcPr>
          <w:p w14:paraId="1067C28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会议届次</w:t>
            </w:r>
          </w:p>
        </w:tc>
        <w:tc>
          <w:tcPr>
            <w:tcW w:w="1599" w:type="dxa"/>
            <w:tcBorders>
              <w:top w:val="single" w:sz="2" w:space="0" w:color="auto"/>
              <w:left w:val="single" w:sz="2" w:space="0" w:color="auto"/>
              <w:bottom w:val="single" w:sz="2" w:space="0" w:color="auto"/>
              <w:right w:val="single" w:sz="2" w:space="0" w:color="auto"/>
            </w:tcBorders>
            <w:shd w:val="clear" w:color="auto" w:fill="D3D3D3"/>
            <w:vAlign w:val="center"/>
          </w:tcPr>
          <w:p w14:paraId="779E707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会议类型</w:t>
            </w:r>
          </w:p>
        </w:tc>
        <w:tc>
          <w:tcPr>
            <w:tcW w:w="1017" w:type="dxa"/>
            <w:tcBorders>
              <w:top w:val="single" w:sz="2" w:space="0" w:color="auto"/>
              <w:left w:val="single" w:sz="2" w:space="0" w:color="auto"/>
              <w:bottom w:val="single" w:sz="2" w:space="0" w:color="auto"/>
              <w:right w:val="single" w:sz="2" w:space="0" w:color="auto"/>
            </w:tcBorders>
            <w:shd w:val="clear" w:color="auto" w:fill="D3D3D3"/>
            <w:vAlign w:val="center"/>
          </w:tcPr>
          <w:p w14:paraId="144D3A4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投资者参与比例</w:t>
            </w:r>
          </w:p>
        </w:tc>
        <w:tc>
          <w:tcPr>
            <w:tcW w:w="1744" w:type="dxa"/>
            <w:tcBorders>
              <w:top w:val="single" w:sz="2" w:space="0" w:color="auto"/>
              <w:left w:val="single" w:sz="2" w:space="0" w:color="auto"/>
              <w:bottom w:val="single" w:sz="2" w:space="0" w:color="auto"/>
              <w:right w:val="single" w:sz="2" w:space="0" w:color="auto"/>
            </w:tcBorders>
            <w:shd w:val="clear" w:color="auto" w:fill="D3D3D3"/>
            <w:vAlign w:val="center"/>
          </w:tcPr>
          <w:p w14:paraId="71C1A6B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召开日期</w:t>
            </w:r>
          </w:p>
        </w:tc>
        <w:tc>
          <w:tcPr>
            <w:tcW w:w="1841" w:type="dxa"/>
            <w:tcBorders>
              <w:top w:val="single" w:sz="2" w:space="0" w:color="auto"/>
              <w:left w:val="single" w:sz="2" w:space="0" w:color="auto"/>
              <w:bottom w:val="single" w:sz="2" w:space="0" w:color="auto"/>
              <w:right w:val="single" w:sz="2" w:space="0" w:color="auto"/>
            </w:tcBorders>
            <w:shd w:val="clear" w:color="auto" w:fill="D3D3D3"/>
            <w:vAlign w:val="center"/>
          </w:tcPr>
          <w:p w14:paraId="2D2563B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披露日期</w:t>
            </w:r>
          </w:p>
        </w:tc>
        <w:tc>
          <w:tcPr>
            <w:tcW w:w="1648" w:type="dxa"/>
            <w:tcBorders>
              <w:top w:val="single" w:sz="2" w:space="0" w:color="auto"/>
              <w:left w:val="single" w:sz="2" w:space="0" w:color="auto"/>
              <w:bottom w:val="single" w:sz="2" w:space="0" w:color="auto"/>
              <w:right w:val="single" w:sz="2" w:space="0" w:color="auto"/>
            </w:tcBorders>
            <w:shd w:val="clear" w:color="auto" w:fill="D3D3D3"/>
            <w:vAlign w:val="center"/>
          </w:tcPr>
          <w:p w14:paraId="0E6E538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会议决议</w:t>
            </w:r>
          </w:p>
        </w:tc>
      </w:tr>
      <w:tr w:rsidR="00E32FE0" w:rsidRPr="005B5EC1" w14:paraId="2211EA70" w14:textId="77777777" w:rsidTr="00E10CEE">
        <w:trPr>
          <w:trHeight w:val="243"/>
          <w:jc w:val="center"/>
        </w:trPr>
        <w:tc>
          <w:tcPr>
            <w:tcW w:w="2036" w:type="dxa"/>
            <w:tcBorders>
              <w:top w:val="single" w:sz="2" w:space="0" w:color="auto"/>
              <w:left w:val="single" w:sz="2" w:space="0" w:color="auto"/>
              <w:bottom w:val="single" w:sz="2" w:space="0" w:color="auto"/>
              <w:right w:val="single" w:sz="2" w:space="0" w:color="auto"/>
            </w:tcBorders>
            <w:vAlign w:val="center"/>
          </w:tcPr>
          <w:p w14:paraId="2B74B16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年年度股东大会</w:t>
            </w:r>
          </w:p>
        </w:tc>
        <w:tc>
          <w:tcPr>
            <w:tcW w:w="1599" w:type="dxa"/>
            <w:tcBorders>
              <w:top w:val="single" w:sz="2" w:space="0" w:color="auto"/>
              <w:left w:val="single" w:sz="2" w:space="0" w:color="auto"/>
              <w:bottom w:val="single" w:sz="2" w:space="0" w:color="auto"/>
              <w:right w:val="single" w:sz="2" w:space="0" w:color="auto"/>
            </w:tcBorders>
            <w:vAlign w:val="center"/>
          </w:tcPr>
          <w:p w14:paraId="36C6059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年度股东大会</w:t>
            </w:r>
          </w:p>
        </w:tc>
        <w:tc>
          <w:tcPr>
            <w:tcW w:w="1017" w:type="dxa"/>
            <w:tcBorders>
              <w:top w:val="single" w:sz="2" w:space="0" w:color="auto"/>
              <w:left w:val="single" w:sz="2" w:space="0" w:color="auto"/>
              <w:bottom w:val="single" w:sz="2" w:space="0" w:color="auto"/>
              <w:right w:val="single" w:sz="2" w:space="0" w:color="auto"/>
            </w:tcBorders>
            <w:vAlign w:val="center"/>
          </w:tcPr>
          <w:p w14:paraId="65D08D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46.81%</w:t>
            </w:r>
          </w:p>
        </w:tc>
        <w:tc>
          <w:tcPr>
            <w:tcW w:w="1744" w:type="dxa"/>
            <w:tcBorders>
              <w:top w:val="single" w:sz="2" w:space="0" w:color="auto"/>
              <w:left w:val="single" w:sz="2" w:space="0" w:color="auto"/>
              <w:bottom w:val="single" w:sz="2" w:space="0" w:color="auto"/>
              <w:right w:val="single" w:sz="2" w:space="0" w:color="auto"/>
            </w:tcBorders>
            <w:vAlign w:val="center"/>
          </w:tcPr>
          <w:p w14:paraId="0CCC85D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日</w:t>
            </w:r>
          </w:p>
        </w:tc>
        <w:tc>
          <w:tcPr>
            <w:tcW w:w="1841" w:type="dxa"/>
            <w:tcBorders>
              <w:top w:val="single" w:sz="2" w:space="0" w:color="auto"/>
              <w:left w:val="single" w:sz="2" w:space="0" w:color="auto"/>
              <w:bottom w:val="single" w:sz="2" w:space="0" w:color="auto"/>
              <w:right w:val="single" w:sz="2" w:space="0" w:color="auto"/>
            </w:tcBorders>
            <w:vAlign w:val="center"/>
          </w:tcPr>
          <w:p w14:paraId="1D36C35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1648" w:type="dxa"/>
            <w:tcBorders>
              <w:top w:val="single" w:sz="2" w:space="0" w:color="auto"/>
              <w:left w:val="single" w:sz="2" w:space="0" w:color="auto"/>
              <w:bottom w:val="single" w:sz="2" w:space="0" w:color="auto"/>
              <w:right w:val="single" w:sz="2" w:space="0" w:color="auto"/>
            </w:tcBorders>
            <w:vAlign w:val="center"/>
          </w:tcPr>
          <w:p w14:paraId="58F103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具体内容详见巨潮资讯网</w:t>
            </w:r>
          </w:p>
          <w:p w14:paraId="310EDBC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http://www.cninfo.com.cn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年年度股东大会决议公告》（</w:t>
            </w:r>
            <w:r w:rsidRPr="005B5EC1">
              <w:rPr>
                <w:rFonts w:ascii="Times New Roman" w:eastAsia="宋体" w:hAnsi="Times New Roman" w:cs="Times New Roman"/>
                <w:sz w:val="18"/>
                <w:szCs w:val="18"/>
              </w:rPr>
              <w:t>2024-024</w:t>
            </w:r>
            <w:r w:rsidRPr="005B5EC1">
              <w:rPr>
                <w:rFonts w:ascii="Times New Roman" w:eastAsia="宋体" w:hAnsi="Times New Roman" w:cs="Times New Roman"/>
                <w:sz w:val="18"/>
                <w:szCs w:val="18"/>
              </w:rPr>
              <w:t>）</w:t>
            </w:r>
          </w:p>
        </w:tc>
      </w:tr>
      <w:tr w:rsidR="00E32FE0" w:rsidRPr="005B5EC1" w14:paraId="6B65E08B" w14:textId="77777777" w:rsidTr="00E10CEE">
        <w:trPr>
          <w:trHeight w:val="243"/>
          <w:jc w:val="center"/>
        </w:trPr>
        <w:tc>
          <w:tcPr>
            <w:tcW w:w="2036" w:type="dxa"/>
            <w:tcBorders>
              <w:top w:val="single" w:sz="2" w:space="0" w:color="auto"/>
              <w:left w:val="single" w:sz="2" w:space="0" w:color="auto"/>
              <w:bottom w:val="single" w:sz="2" w:space="0" w:color="auto"/>
              <w:right w:val="single" w:sz="2" w:space="0" w:color="auto"/>
            </w:tcBorders>
            <w:vAlign w:val="center"/>
          </w:tcPr>
          <w:p w14:paraId="245B844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年第一次临时股东大会</w:t>
            </w:r>
          </w:p>
        </w:tc>
        <w:tc>
          <w:tcPr>
            <w:tcW w:w="1599" w:type="dxa"/>
            <w:tcBorders>
              <w:top w:val="single" w:sz="2" w:space="0" w:color="auto"/>
              <w:left w:val="single" w:sz="2" w:space="0" w:color="auto"/>
              <w:bottom w:val="single" w:sz="2" w:space="0" w:color="auto"/>
              <w:right w:val="single" w:sz="2" w:space="0" w:color="auto"/>
            </w:tcBorders>
            <w:vAlign w:val="center"/>
          </w:tcPr>
          <w:p w14:paraId="65EF985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临时股东大会</w:t>
            </w:r>
          </w:p>
        </w:tc>
        <w:tc>
          <w:tcPr>
            <w:tcW w:w="1017" w:type="dxa"/>
            <w:tcBorders>
              <w:top w:val="single" w:sz="2" w:space="0" w:color="auto"/>
              <w:left w:val="single" w:sz="2" w:space="0" w:color="auto"/>
              <w:bottom w:val="single" w:sz="2" w:space="0" w:color="auto"/>
              <w:right w:val="single" w:sz="2" w:space="0" w:color="auto"/>
            </w:tcBorders>
            <w:vAlign w:val="center"/>
          </w:tcPr>
          <w:p w14:paraId="33B388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42.83%</w:t>
            </w:r>
          </w:p>
        </w:tc>
        <w:tc>
          <w:tcPr>
            <w:tcW w:w="1744" w:type="dxa"/>
            <w:tcBorders>
              <w:top w:val="single" w:sz="2" w:space="0" w:color="auto"/>
              <w:left w:val="single" w:sz="2" w:space="0" w:color="auto"/>
              <w:bottom w:val="single" w:sz="2" w:space="0" w:color="auto"/>
              <w:right w:val="single" w:sz="2" w:space="0" w:color="auto"/>
            </w:tcBorders>
            <w:vAlign w:val="center"/>
          </w:tcPr>
          <w:p w14:paraId="0997330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1841" w:type="dxa"/>
            <w:tcBorders>
              <w:top w:val="single" w:sz="2" w:space="0" w:color="auto"/>
              <w:left w:val="single" w:sz="2" w:space="0" w:color="auto"/>
              <w:bottom w:val="single" w:sz="2" w:space="0" w:color="auto"/>
              <w:right w:val="single" w:sz="2" w:space="0" w:color="auto"/>
            </w:tcBorders>
            <w:vAlign w:val="center"/>
          </w:tcPr>
          <w:p w14:paraId="088E31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日</w:t>
            </w:r>
          </w:p>
        </w:tc>
        <w:tc>
          <w:tcPr>
            <w:tcW w:w="1648" w:type="dxa"/>
            <w:tcBorders>
              <w:top w:val="single" w:sz="2" w:space="0" w:color="auto"/>
              <w:left w:val="single" w:sz="2" w:space="0" w:color="auto"/>
              <w:bottom w:val="single" w:sz="2" w:space="0" w:color="auto"/>
              <w:right w:val="single" w:sz="2" w:space="0" w:color="auto"/>
            </w:tcBorders>
            <w:vAlign w:val="center"/>
          </w:tcPr>
          <w:p w14:paraId="5204083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具体内容详见巨潮资讯网</w:t>
            </w:r>
          </w:p>
          <w:p w14:paraId="7FBC07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http://www.cninfo.com.cn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年第一次临时股东大会决议公告》（</w:t>
            </w:r>
            <w:r w:rsidRPr="005B5EC1">
              <w:rPr>
                <w:rFonts w:ascii="Times New Roman" w:eastAsia="宋体" w:hAnsi="Times New Roman" w:cs="Times New Roman"/>
                <w:sz w:val="18"/>
                <w:szCs w:val="18"/>
              </w:rPr>
              <w:t>2024-051</w:t>
            </w:r>
            <w:r w:rsidRPr="005B5EC1">
              <w:rPr>
                <w:rFonts w:ascii="Times New Roman" w:eastAsia="宋体" w:hAnsi="Times New Roman" w:cs="Times New Roman"/>
                <w:sz w:val="18"/>
                <w:szCs w:val="18"/>
              </w:rPr>
              <w:t>）</w:t>
            </w:r>
          </w:p>
        </w:tc>
      </w:tr>
    </w:tbl>
    <w:p w14:paraId="3E642869" w14:textId="77777777" w:rsidR="00E32FE0" w:rsidRPr="005B5EC1" w:rsidRDefault="00000000">
      <w:pPr>
        <w:pStyle w:val="3"/>
        <w:spacing w:line="280" w:lineRule="exact"/>
        <w:jc w:val="left"/>
        <w:rPr>
          <w:rFonts w:ascii="Times New Roman" w:hAnsi="Times New Roman" w:cs="Times New Roman"/>
          <w:b/>
          <w:bCs/>
        </w:rPr>
      </w:pPr>
      <w:bookmarkStart w:id="62" w:name="_Toc988951"/>
      <w:r w:rsidRPr="005B5EC1">
        <w:rPr>
          <w:rFonts w:ascii="Times New Roman" w:hAnsi="Times New Roman" w:cs="Times New Roman"/>
          <w:b/>
          <w:bCs/>
        </w:rPr>
        <w:t>2</w:t>
      </w:r>
      <w:r w:rsidRPr="005B5EC1">
        <w:rPr>
          <w:rFonts w:ascii="Times New Roman" w:hAnsi="Times New Roman" w:cs="Times New Roman"/>
          <w:b/>
          <w:bCs/>
        </w:rPr>
        <w:t>、表决权恢复的优先股股东请求召开临时股东大会</w:t>
      </w:r>
      <w:bookmarkEnd w:id="62"/>
    </w:p>
    <w:p w14:paraId="236F1DF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8DE1E37"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63" w:name="_Toc988952"/>
      <w:r w:rsidRPr="005B5EC1">
        <w:rPr>
          <w:rFonts w:ascii="Times New Roman" w:eastAsia="宋体" w:hAnsi="Times New Roman" w:cs="Times New Roman"/>
          <w:b/>
          <w:bCs/>
          <w:sz w:val="24"/>
          <w:szCs w:val="24"/>
        </w:rPr>
        <w:t>五、董事、监事和高级管理人员情况</w:t>
      </w:r>
      <w:bookmarkEnd w:id="63"/>
    </w:p>
    <w:p w14:paraId="7C3A23BB" w14:textId="77777777" w:rsidR="00E32FE0" w:rsidRPr="005B5EC1" w:rsidRDefault="00000000">
      <w:pPr>
        <w:pStyle w:val="3"/>
        <w:spacing w:line="280" w:lineRule="exact"/>
        <w:jc w:val="left"/>
        <w:rPr>
          <w:rFonts w:ascii="Times New Roman" w:hAnsi="Times New Roman" w:cs="Times New Roman"/>
          <w:b/>
          <w:bCs/>
        </w:rPr>
      </w:pPr>
      <w:bookmarkStart w:id="64" w:name="_Toc988953"/>
      <w:r w:rsidRPr="005B5EC1">
        <w:rPr>
          <w:rFonts w:ascii="Times New Roman" w:hAnsi="Times New Roman" w:cs="Times New Roman"/>
          <w:b/>
          <w:bCs/>
        </w:rPr>
        <w:t>1</w:t>
      </w:r>
      <w:r w:rsidRPr="005B5EC1">
        <w:rPr>
          <w:rFonts w:ascii="Times New Roman" w:hAnsi="Times New Roman" w:cs="Times New Roman"/>
          <w:b/>
          <w:bCs/>
        </w:rPr>
        <w:t>、基本情况</w:t>
      </w:r>
      <w:bookmarkEnd w:id="64"/>
    </w:p>
    <w:p w14:paraId="32ACCF6A" w14:textId="77777777" w:rsidR="00E10CEE" w:rsidRPr="005B5EC1" w:rsidRDefault="00E10CEE" w:rsidP="00E10CEE">
      <w:pPr>
        <w:rPr>
          <w:rFonts w:hint="eastAsia"/>
        </w:rPr>
      </w:pPr>
    </w:p>
    <w:tbl>
      <w:tblPr>
        <w:tblW w:w="10349" w:type="dxa"/>
        <w:tblInd w:w="-22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710"/>
        <w:gridCol w:w="567"/>
        <w:gridCol w:w="567"/>
        <w:gridCol w:w="992"/>
        <w:gridCol w:w="567"/>
        <w:gridCol w:w="1134"/>
        <w:gridCol w:w="850"/>
        <w:gridCol w:w="851"/>
        <w:gridCol w:w="772"/>
        <w:gridCol w:w="741"/>
        <w:gridCol w:w="741"/>
        <w:gridCol w:w="864"/>
        <w:gridCol w:w="993"/>
      </w:tblGrid>
      <w:tr w:rsidR="00E10CEE" w:rsidRPr="005B5EC1" w14:paraId="5D5DFA01" w14:textId="77777777" w:rsidTr="00E10CEE">
        <w:trPr>
          <w:trHeight w:val="1252"/>
        </w:trPr>
        <w:tc>
          <w:tcPr>
            <w:tcW w:w="710" w:type="dxa"/>
            <w:tcBorders>
              <w:top w:val="single" w:sz="2" w:space="0" w:color="auto"/>
              <w:left w:val="single" w:sz="2" w:space="0" w:color="auto"/>
              <w:bottom w:val="single" w:sz="2" w:space="0" w:color="auto"/>
              <w:right w:val="single" w:sz="2" w:space="0" w:color="auto"/>
            </w:tcBorders>
            <w:shd w:val="clear" w:color="auto" w:fill="D3D3D3"/>
            <w:vAlign w:val="center"/>
          </w:tcPr>
          <w:p w14:paraId="5D79B19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姓名</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209F0D6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性别</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0D1111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年龄</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F886FF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职务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03B8EA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任职状态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7DC5A2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任期起始日期</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B7C9BD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任期终止日期</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1674182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期初持股数（股）</w:t>
            </w:r>
          </w:p>
        </w:tc>
        <w:tc>
          <w:tcPr>
            <w:tcW w:w="772" w:type="dxa"/>
            <w:tcBorders>
              <w:top w:val="single" w:sz="2" w:space="0" w:color="auto"/>
              <w:left w:val="single" w:sz="2" w:space="0" w:color="auto"/>
              <w:bottom w:val="single" w:sz="2" w:space="0" w:color="auto"/>
              <w:right w:val="single" w:sz="2" w:space="0" w:color="auto"/>
            </w:tcBorders>
            <w:shd w:val="clear" w:color="auto" w:fill="D3D3D3"/>
            <w:vAlign w:val="center"/>
          </w:tcPr>
          <w:p w14:paraId="7ECF196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A0DAB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97B303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其他增减变动（股）</w:t>
            </w:r>
          </w:p>
        </w:tc>
        <w:tc>
          <w:tcPr>
            <w:tcW w:w="864" w:type="dxa"/>
            <w:tcBorders>
              <w:top w:val="single" w:sz="2" w:space="0" w:color="auto"/>
              <w:left w:val="single" w:sz="2" w:space="0" w:color="auto"/>
              <w:bottom w:val="single" w:sz="2" w:space="0" w:color="auto"/>
              <w:right w:val="single" w:sz="2" w:space="0" w:color="auto"/>
            </w:tcBorders>
            <w:shd w:val="clear" w:color="auto" w:fill="D3D3D3"/>
            <w:vAlign w:val="center"/>
          </w:tcPr>
          <w:p w14:paraId="75F6833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期末持股数（股）</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D14431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股份增减变动的原因</w:t>
            </w:r>
          </w:p>
        </w:tc>
      </w:tr>
      <w:tr w:rsidR="00E10CEE" w:rsidRPr="005B5EC1" w14:paraId="765ECCD2"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794CEAD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杨晓初</w:t>
            </w:r>
          </w:p>
        </w:tc>
        <w:tc>
          <w:tcPr>
            <w:tcW w:w="567" w:type="dxa"/>
            <w:tcBorders>
              <w:top w:val="single" w:sz="2" w:space="0" w:color="auto"/>
              <w:left w:val="single" w:sz="2" w:space="0" w:color="auto"/>
              <w:bottom w:val="single" w:sz="2" w:space="0" w:color="auto"/>
              <w:right w:val="single" w:sz="2" w:space="0" w:color="auto"/>
            </w:tcBorders>
            <w:vAlign w:val="center"/>
          </w:tcPr>
          <w:p w14:paraId="16DA9C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5BA011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w:t>
            </w:r>
          </w:p>
        </w:tc>
        <w:tc>
          <w:tcPr>
            <w:tcW w:w="992" w:type="dxa"/>
            <w:tcBorders>
              <w:top w:val="single" w:sz="2" w:space="0" w:color="auto"/>
              <w:left w:val="single" w:sz="2" w:space="0" w:color="auto"/>
              <w:bottom w:val="single" w:sz="2" w:space="0" w:color="auto"/>
              <w:right w:val="single" w:sz="2" w:space="0" w:color="auto"/>
            </w:tcBorders>
            <w:vAlign w:val="center"/>
          </w:tcPr>
          <w:p w14:paraId="26D7E93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董事长、总经理</w:t>
            </w:r>
          </w:p>
        </w:tc>
        <w:tc>
          <w:tcPr>
            <w:tcW w:w="567" w:type="dxa"/>
            <w:tcBorders>
              <w:top w:val="single" w:sz="2" w:space="0" w:color="auto"/>
              <w:left w:val="single" w:sz="2" w:space="0" w:color="auto"/>
              <w:bottom w:val="single" w:sz="2" w:space="0" w:color="auto"/>
              <w:right w:val="single" w:sz="2" w:space="0" w:color="auto"/>
            </w:tcBorders>
            <w:vAlign w:val="center"/>
          </w:tcPr>
          <w:p w14:paraId="441A097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35E90B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86D9982"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FA6F6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3342EAC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29354D6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7CE726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4ACF5E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1071BC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67AFE275"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2DE48E0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王豪杰</w:t>
            </w:r>
          </w:p>
        </w:tc>
        <w:tc>
          <w:tcPr>
            <w:tcW w:w="567" w:type="dxa"/>
            <w:tcBorders>
              <w:top w:val="single" w:sz="2" w:space="0" w:color="auto"/>
              <w:left w:val="single" w:sz="2" w:space="0" w:color="auto"/>
              <w:bottom w:val="single" w:sz="2" w:space="0" w:color="auto"/>
              <w:right w:val="single" w:sz="2" w:space="0" w:color="auto"/>
            </w:tcBorders>
            <w:vAlign w:val="center"/>
          </w:tcPr>
          <w:p w14:paraId="342A42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544B771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w:t>
            </w:r>
          </w:p>
        </w:tc>
        <w:tc>
          <w:tcPr>
            <w:tcW w:w="992" w:type="dxa"/>
            <w:tcBorders>
              <w:top w:val="single" w:sz="2" w:space="0" w:color="auto"/>
              <w:left w:val="single" w:sz="2" w:space="0" w:color="auto"/>
              <w:bottom w:val="single" w:sz="2" w:space="0" w:color="auto"/>
              <w:right w:val="single" w:sz="2" w:space="0" w:color="auto"/>
            </w:tcBorders>
            <w:vAlign w:val="center"/>
          </w:tcPr>
          <w:p w14:paraId="6E240A8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w:t>
            </w:r>
          </w:p>
        </w:tc>
        <w:tc>
          <w:tcPr>
            <w:tcW w:w="567" w:type="dxa"/>
            <w:tcBorders>
              <w:top w:val="single" w:sz="2" w:space="0" w:color="auto"/>
              <w:left w:val="single" w:sz="2" w:space="0" w:color="auto"/>
              <w:bottom w:val="single" w:sz="2" w:space="0" w:color="auto"/>
              <w:right w:val="single" w:sz="2" w:space="0" w:color="auto"/>
            </w:tcBorders>
            <w:vAlign w:val="center"/>
          </w:tcPr>
          <w:p w14:paraId="77B4320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56F0533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CB55DFD"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4E39A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1A9DFC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9E3DA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75310FA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76320E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79630B2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413E7C7F"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618F961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567" w:type="dxa"/>
            <w:tcBorders>
              <w:top w:val="single" w:sz="2" w:space="0" w:color="auto"/>
              <w:left w:val="single" w:sz="2" w:space="0" w:color="auto"/>
              <w:bottom w:val="single" w:sz="2" w:space="0" w:color="auto"/>
              <w:right w:val="single" w:sz="2" w:space="0" w:color="auto"/>
            </w:tcBorders>
            <w:vAlign w:val="center"/>
          </w:tcPr>
          <w:p w14:paraId="5C7EE12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0A9070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w:t>
            </w:r>
          </w:p>
        </w:tc>
        <w:tc>
          <w:tcPr>
            <w:tcW w:w="992" w:type="dxa"/>
            <w:tcBorders>
              <w:top w:val="single" w:sz="2" w:space="0" w:color="auto"/>
              <w:left w:val="single" w:sz="2" w:space="0" w:color="auto"/>
              <w:bottom w:val="single" w:sz="2" w:space="0" w:color="auto"/>
              <w:right w:val="single" w:sz="2" w:space="0" w:color="auto"/>
            </w:tcBorders>
            <w:vAlign w:val="center"/>
          </w:tcPr>
          <w:p w14:paraId="62332F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董事、副总经理、董事会秘书</w:t>
            </w:r>
          </w:p>
        </w:tc>
        <w:tc>
          <w:tcPr>
            <w:tcW w:w="567" w:type="dxa"/>
            <w:tcBorders>
              <w:top w:val="single" w:sz="2" w:space="0" w:color="auto"/>
              <w:left w:val="single" w:sz="2" w:space="0" w:color="auto"/>
              <w:bottom w:val="single" w:sz="2" w:space="0" w:color="auto"/>
              <w:right w:val="single" w:sz="2" w:space="0" w:color="auto"/>
            </w:tcBorders>
            <w:vAlign w:val="center"/>
          </w:tcPr>
          <w:p w14:paraId="60A1A17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33BC9A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2018</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6577E1F8"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324E6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1,092,000</w:t>
            </w:r>
          </w:p>
        </w:tc>
        <w:tc>
          <w:tcPr>
            <w:tcW w:w="772" w:type="dxa"/>
            <w:tcBorders>
              <w:top w:val="single" w:sz="2" w:space="0" w:color="auto"/>
              <w:left w:val="single" w:sz="2" w:space="0" w:color="auto"/>
              <w:bottom w:val="single" w:sz="2" w:space="0" w:color="auto"/>
              <w:right w:val="single" w:sz="2" w:space="0" w:color="auto"/>
            </w:tcBorders>
            <w:vAlign w:val="center"/>
          </w:tcPr>
          <w:p w14:paraId="799F02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4250F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7CC46D3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169DD8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1,092,000</w:t>
            </w:r>
          </w:p>
        </w:tc>
        <w:tc>
          <w:tcPr>
            <w:tcW w:w="993" w:type="dxa"/>
            <w:tcBorders>
              <w:top w:val="single" w:sz="2" w:space="0" w:color="auto"/>
              <w:left w:val="single" w:sz="2" w:space="0" w:color="auto"/>
              <w:bottom w:val="single" w:sz="2" w:space="0" w:color="auto"/>
              <w:right w:val="single" w:sz="2" w:space="0" w:color="auto"/>
            </w:tcBorders>
            <w:vAlign w:val="center"/>
          </w:tcPr>
          <w:p w14:paraId="4098CEB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1793D65B"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153AFB5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祝波</w:t>
            </w:r>
          </w:p>
        </w:tc>
        <w:tc>
          <w:tcPr>
            <w:tcW w:w="567" w:type="dxa"/>
            <w:tcBorders>
              <w:top w:val="single" w:sz="2" w:space="0" w:color="auto"/>
              <w:left w:val="single" w:sz="2" w:space="0" w:color="auto"/>
              <w:bottom w:val="single" w:sz="2" w:space="0" w:color="auto"/>
              <w:right w:val="single" w:sz="2" w:space="0" w:color="auto"/>
            </w:tcBorders>
            <w:vAlign w:val="center"/>
          </w:tcPr>
          <w:p w14:paraId="12C80A7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1F4698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w:t>
            </w:r>
          </w:p>
        </w:tc>
        <w:tc>
          <w:tcPr>
            <w:tcW w:w="992" w:type="dxa"/>
            <w:tcBorders>
              <w:top w:val="single" w:sz="2" w:space="0" w:color="auto"/>
              <w:left w:val="single" w:sz="2" w:space="0" w:color="auto"/>
              <w:bottom w:val="single" w:sz="2" w:space="0" w:color="auto"/>
              <w:right w:val="single" w:sz="2" w:space="0" w:color="auto"/>
            </w:tcBorders>
            <w:vAlign w:val="center"/>
          </w:tcPr>
          <w:p w14:paraId="725CF59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w:t>
            </w:r>
          </w:p>
        </w:tc>
        <w:tc>
          <w:tcPr>
            <w:tcW w:w="567" w:type="dxa"/>
            <w:tcBorders>
              <w:top w:val="single" w:sz="2" w:space="0" w:color="auto"/>
              <w:left w:val="single" w:sz="2" w:space="0" w:color="auto"/>
              <w:bottom w:val="single" w:sz="2" w:space="0" w:color="auto"/>
              <w:right w:val="single" w:sz="2" w:space="0" w:color="auto"/>
            </w:tcBorders>
            <w:vAlign w:val="center"/>
          </w:tcPr>
          <w:p w14:paraId="7345ED7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5CB462D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F41E11A"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D655E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64F9E0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1304C0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4E111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196D9DE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1D4FC06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1533B13D"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1D930C5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周婧</w:t>
            </w:r>
          </w:p>
        </w:tc>
        <w:tc>
          <w:tcPr>
            <w:tcW w:w="567" w:type="dxa"/>
            <w:tcBorders>
              <w:top w:val="single" w:sz="2" w:space="0" w:color="auto"/>
              <w:left w:val="single" w:sz="2" w:space="0" w:color="auto"/>
              <w:bottom w:val="single" w:sz="2" w:space="0" w:color="auto"/>
              <w:right w:val="single" w:sz="2" w:space="0" w:color="auto"/>
            </w:tcBorders>
            <w:vAlign w:val="center"/>
          </w:tcPr>
          <w:p w14:paraId="2D4E4B8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2FB4BB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w:t>
            </w:r>
          </w:p>
        </w:tc>
        <w:tc>
          <w:tcPr>
            <w:tcW w:w="992" w:type="dxa"/>
            <w:tcBorders>
              <w:top w:val="single" w:sz="2" w:space="0" w:color="auto"/>
              <w:left w:val="single" w:sz="2" w:space="0" w:color="auto"/>
              <w:bottom w:val="single" w:sz="2" w:space="0" w:color="auto"/>
              <w:right w:val="single" w:sz="2" w:space="0" w:color="auto"/>
            </w:tcBorders>
            <w:vAlign w:val="center"/>
          </w:tcPr>
          <w:p w14:paraId="4384842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独立董事</w:t>
            </w:r>
          </w:p>
        </w:tc>
        <w:tc>
          <w:tcPr>
            <w:tcW w:w="567" w:type="dxa"/>
            <w:tcBorders>
              <w:top w:val="single" w:sz="2" w:space="0" w:color="auto"/>
              <w:left w:val="single" w:sz="2" w:space="0" w:color="auto"/>
              <w:bottom w:val="single" w:sz="2" w:space="0" w:color="auto"/>
              <w:right w:val="single" w:sz="2" w:space="0" w:color="auto"/>
            </w:tcBorders>
            <w:vAlign w:val="center"/>
          </w:tcPr>
          <w:p w14:paraId="4DCF7E5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2C2E17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7F3688C9"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A2A830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7BF16E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783083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783646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5537969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5098E91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6F772BF8"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7B23315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杨帆</w:t>
            </w:r>
          </w:p>
        </w:tc>
        <w:tc>
          <w:tcPr>
            <w:tcW w:w="567" w:type="dxa"/>
            <w:tcBorders>
              <w:top w:val="single" w:sz="2" w:space="0" w:color="auto"/>
              <w:left w:val="single" w:sz="2" w:space="0" w:color="auto"/>
              <w:bottom w:val="single" w:sz="2" w:space="0" w:color="auto"/>
              <w:right w:val="single" w:sz="2" w:space="0" w:color="auto"/>
            </w:tcBorders>
            <w:vAlign w:val="center"/>
          </w:tcPr>
          <w:p w14:paraId="1029FCE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35D7F9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w:t>
            </w:r>
          </w:p>
        </w:tc>
        <w:tc>
          <w:tcPr>
            <w:tcW w:w="992" w:type="dxa"/>
            <w:tcBorders>
              <w:top w:val="single" w:sz="2" w:space="0" w:color="auto"/>
              <w:left w:val="single" w:sz="2" w:space="0" w:color="auto"/>
              <w:bottom w:val="single" w:sz="2" w:space="0" w:color="auto"/>
              <w:right w:val="single" w:sz="2" w:space="0" w:color="auto"/>
            </w:tcBorders>
            <w:vAlign w:val="center"/>
          </w:tcPr>
          <w:p w14:paraId="39828D4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独立董事</w:t>
            </w:r>
          </w:p>
        </w:tc>
        <w:tc>
          <w:tcPr>
            <w:tcW w:w="567" w:type="dxa"/>
            <w:tcBorders>
              <w:top w:val="single" w:sz="2" w:space="0" w:color="auto"/>
              <w:left w:val="single" w:sz="2" w:space="0" w:color="auto"/>
              <w:bottom w:val="single" w:sz="2" w:space="0" w:color="auto"/>
              <w:right w:val="single" w:sz="2" w:space="0" w:color="auto"/>
            </w:tcBorders>
            <w:vAlign w:val="center"/>
          </w:tcPr>
          <w:p w14:paraId="6071D18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097F020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687CA66B"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10950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2D69F09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543EC9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07B525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4B7587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76E94E8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3F010642"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49DEC48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余茂鑫</w:t>
            </w:r>
          </w:p>
        </w:tc>
        <w:tc>
          <w:tcPr>
            <w:tcW w:w="567" w:type="dxa"/>
            <w:tcBorders>
              <w:top w:val="single" w:sz="2" w:space="0" w:color="auto"/>
              <w:left w:val="single" w:sz="2" w:space="0" w:color="auto"/>
              <w:bottom w:val="single" w:sz="2" w:space="0" w:color="auto"/>
              <w:right w:val="single" w:sz="2" w:space="0" w:color="auto"/>
            </w:tcBorders>
            <w:vAlign w:val="center"/>
          </w:tcPr>
          <w:p w14:paraId="022542A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6A7A1C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w:t>
            </w:r>
          </w:p>
        </w:tc>
        <w:tc>
          <w:tcPr>
            <w:tcW w:w="992" w:type="dxa"/>
            <w:tcBorders>
              <w:top w:val="single" w:sz="2" w:space="0" w:color="auto"/>
              <w:left w:val="single" w:sz="2" w:space="0" w:color="auto"/>
              <w:bottom w:val="single" w:sz="2" w:space="0" w:color="auto"/>
              <w:right w:val="single" w:sz="2" w:space="0" w:color="auto"/>
            </w:tcBorders>
            <w:vAlign w:val="center"/>
          </w:tcPr>
          <w:p w14:paraId="69A0E7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独立董事</w:t>
            </w:r>
          </w:p>
        </w:tc>
        <w:tc>
          <w:tcPr>
            <w:tcW w:w="567" w:type="dxa"/>
            <w:tcBorders>
              <w:top w:val="single" w:sz="2" w:space="0" w:color="auto"/>
              <w:left w:val="single" w:sz="2" w:space="0" w:color="auto"/>
              <w:bottom w:val="single" w:sz="2" w:space="0" w:color="auto"/>
              <w:right w:val="single" w:sz="2" w:space="0" w:color="auto"/>
            </w:tcBorders>
            <w:vAlign w:val="center"/>
          </w:tcPr>
          <w:p w14:paraId="5CCAC9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6A9AB6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C45A61F"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702D7F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3323FD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06BBC2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C1EFA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7B7D33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0D2AD38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7B5662BE"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2559D84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周雪琴</w:t>
            </w:r>
          </w:p>
        </w:tc>
        <w:tc>
          <w:tcPr>
            <w:tcW w:w="567" w:type="dxa"/>
            <w:tcBorders>
              <w:top w:val="single" w:sz="2" w:space="0" w:color="auto"/>
              <w:left w:val="single" w:sz="2" w:space="0" w:color="auto"/>
              <w:bottom w:val="single" w:sz="2" w:space="0" w:color="auto"/>
              <w:right w:val="single" w:sz="2" w:space="0" w:color="auto"/>
            </w:tcBorders>
            <w:vAlign w:val="center"/>
          </w:tcPr>
          <w:p w14:paraId="02CA44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24AD0B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w:t>
            </w:r>
          </w:p>
        </w:tc>
        <w:tc>
          <w:tcPr>
            <w:tcW w:w="992" w:type="dxa"/>
            <w:tcBorders>
              <w:top w:val="single" w:sz="2" w:space="0" w:color="auto"/>
              <w:left w:val="single" w:sz="2" w:space="0" w:color="auto"/>
              <w:bottom w:val="single" w:sz="2" w:space="0" w:color="auto"/>
              <w:right w:val="single" w:sz="2" w:space="0" w:color="auto"/>
            </w:tcBorders>
            <w:vAlign w:val="center"/>
          </w:tcPr>
          <w:p w14:paraId="1D9F59C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监事会主席</w:t>
            </w:r>
          </w:p>
        </w:tc>
        <w:tc>
          <w:tcPr>
            <w:tcW w:w="567" w:type="dxa"/>
            <w:tcBorders>
              <w:top w:val="single" w:sz="2" w:space="0" w:color="auto"/>
              <w:left w:val="single" w:sz="2" w:space="0" w:color="auto"/>
              <w:bottom w:val="single" w:sz="2" w:space="0" w:color="auto"/>
              <w:right w:val="single" w:sz="2" w:space="0" w:color="auto"/>
            </w:tcBorders>
            <w:vAlign w:val="center"/>
          </w:tcPr>
          <w:p w14:paraId="05436F0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0707033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3312F3C7"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91EE5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316567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A5056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6FFF7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74BCFD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114411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16BA0170"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3C17107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张楠</w:t>
            </w:r>
          </w:p>
        </w:tc>
        <w:tc>
          <w:tcPr>
            <w:tcW w:w="567" w:type="dxa"/>
            <w:tcBorders>
              <w:top w:val="single" w:sz="2" w:space="0" w:color="auto"/>
              <w:left w:val="single" w:sz="2" w:space="0" w:color="auto"/>
              <w:bottom w:val="single" w:sz="2" w:space="0" w:color="auto"/>
              <w:right w:val="single" w:sz="2" w:space="0" w:color="auto"/>
            </w:tcBorders>
            <w:vAlign w:val="center"/>
          </w:tcPr>
          <w:p w14:paraId="5BDF0E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1742E9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w:t>
            </w:r>
          </w:p>
        </w:tc>
        <w:tc>
          <w:tcPr>
            <w:tcW w:w="992" w:type="dxa"/>
            <w:tcBorders>
              <w:top w:val="single" w:sz="2" w:space="0" w:color="auto"/>
              <w:left w:val="single" w:sz="2" w:space="0" w:color="auto"/>
              <w:bottom w:val="single" w:sz="2" w:space="0" w:color="auto"/>
              <w:right w:val="single" w:sz="2" w:space="0" w:color="auto"/>
            </w:tcBorders>
            <w:vAlign w:val="center"/>
          </w:tcPr>
          <w:p w14:paraId="7CF928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监事</w:t>
            </w:r>
          </w:p>
        </w:tc>
        <w:tc>
          <w:tcPr>
            <w:tcW w:w="567" w:type="dxa"/>
            <w:tcBorders>
              <w:top w:val="single" w:sz="2" w:space="0" w:color="auto"/>
              <w:left w:val="single" w:sz="2" w:space="0" w:color="auto"/>
              <w:bottom w:val="single" w:sz="2" w:space="0" w:color="auto"/>
              <w:right w:val="single" w:sz="2" w:space="0" w:color="auto"/>
            </w:tcBorders>
            <w:vAlign w:val="center"/>
          </w:tcPr>
          <w:p w14:paraId="7D80D6C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52BD5CE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45A1C915"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AAC09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64E959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70CB6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DB6CEB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19253C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449EAF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41D52688"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78D5F52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吴战宗</w:t>
            </w:r>
          </w:p>
        </w:tc>
        <w:tc>
          <w:tcPr>
            <w:tcW w:w="567" w:type="dxa"/>
            <w:tcBorders>
              <w:top w:val="single" w:sz="2" w:space="0" w:color="auto"/>
              <w:left w:val="single" w:sz="2" w:space="0" w:color="auto"/>
              <w:bottom w:val="single" w:sz="2" w:space="0" w:color="auto"/>
              <w:right w:val="single" w:sz="2" w:space="0" w:color="auto"/>
            </w:tcBorders>
            <w:vAlign w:val="center"/>
          </w:tcPr>
          <w:p w14:paraId="432C019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0A44C3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w:t>
            </w:r>
          </w:p>
        </w:tc>
        <w:tc>
          <w:tcPr>
            <w:tcW w:w="992" w:type="dxa"/>
            <w:tcBorders>
              <w:top w:val="single" w:sz="2" w:space="0" w:color="auto"/>
              <w:left w:val="single" w:sz="2" w:space="0" w:color="auto"/>
              <w:bottom w:val="single" w:sz="2" w:space="0" w:color="auto"/>
              <w:right w:val="single" w:sz="2" w:space="0" w:color="auto"/>
            </w:tcBorders>
            <w:vAlign w:val="center"/>
          </w:tcPr>
          <w:p w14:paraId="0B1E75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监事</w:t>
            </w:r>
          </w:p>
        </w:tc>
        <w:tc>
          <w:tcPr>
            <w:tcW w:w="567" w:type="dxa"/>
            <w:tcBorders>
              <w:top w:val="single" w:sz="2" w:space="0" w:color="auto"/>
              <w:left w:val="single" w:sz="2" w:space="0" w:color="auto"/>
              <w:bottom w:val="single" w:sz="2" w:space="0" w:color="auto"/>
              <w:right w:val="single" w:sz="2" w:space="0" w:color="auto"/>
            </w:tcBorders>
            <w:vAlign w:val="center"/>
          </w:tcPr>
          <w:p w14:paraId="2A8523F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50C297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544A171D"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96595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091580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8E507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257043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5ED5011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2C9742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10023813"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2933F95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张凌</w:t>
            </w:r>
          </w:p>
        </w:tc>
        <w:tc>
          <w:tcPr>
            <w:tcW w:w="567" w:type="dxa"/>
            <w:tcBorders>
              <w:top w:val="single" w:sz="2" w:space="0" w:color="auto"/>
              <w:left w:val="single" w:sz="2" w:space="0" w:color="auto"/>
              <w:bottom w:val="single" w:sz="2" w:space="0" w:color="auto"/>
              <w:right w:val="single" w:sz="2" w:space="0" w:color="auto"/>
            </w:tcBorders>
            <w:vAlign w:val="center"/>
          </w:tcPr>
          <w:p w14:paraId="49F222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6934A1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w:t>
            </w:r>
          </w:p>
        </w:tc>
        <w:tc>
          <w:tcPr>
            <w:tcW w:w="992" w:type="dxa"/>
            <w:tcBorders>
              <w:top w:val="single" w:sz="2" w:space="0" w:color="auto"/>
              <w:left w:val="single" w:sz="2" w:space="0" w:color="auto"/>
              <w:bottom w:val="single" w:sz="2" w:space="0" w:color="auto"/>
              <w:right w:val="single" w:sz="2" w:space="0" w:color="auto"/>
            </w:tcBorders>
            <w:vAlign w:val="center"/>
          </w:tcPr>
          <w:p w14:paraId="232536D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财务总监</w:t>
            </w:r>
          </w:p>
        </w:tc>
        <w:tc>
          <w:tcPr>
            <w:tcW w:w="567" w:type="dxa"/>
            <w:tcBorders>
              <w:top w:val="single" w:sz="2" w:space="0" w:color="auto"/>
              <w:left w:val="single" w:sz="2" w:space="0" w:color="auto"/>
              <w:bottom w:val="single" w:sz="2" w:space="0" w:color="auto"/>
              <w:right w:val="single" w:sz="2" w:space="0" w:color="auto"/>
            </w:tcBorders>
            <w:vAlign w:val="center"/>
          </w:tcPr>
          <w:p w14:paraId="65B5D9E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0C75602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0DF6FEA8" w14:textId="77777777" w:rsidR="00E32FE0" w:rsidRPr="005B5EC1" w:rsidRDefault="00E32FE0">
            <w:pPr>
              <w:spacing w:after="0" w:line="240" w:lineRule="exac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7942C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6A8A6FE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5BF3EB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7A42D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306D8F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761B4A6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0853E102"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402DDE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刘婧</w:t>
            </w:r>
          </w:p>
        </w:tc>
        <w:tc>
          <w:tcPr>
            <w:tcW w:w="567" w:type="dxa"/>
            <w:tcBorders>
              <w:top w:val="single" w:sz="2" w:space="0" w:color="auto"/>
              <w:left w:val="single" w:sz="2" w:space="0" w:color="auto"/>
              <w:bottom w:val="single" w:sz="2" w:space="0" w:color="auto"/>
              <w:right w:val="single" w:sz="2" w:space="0" w:color="auto"/>
            </w:tcBorders>
            <w:vAlign w:val="center"/>
          </w:tcPr>
          <w:p w14:paraId="3AC4B8B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27F00A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w:t>
            </w:r>
          </w:p>
        </w:tc>
        <w:tc>
          <w:tcPr>
            <w:tcW w:w="992" w:type="dxa"/>
            <w:tcBorders>
              <w:top w:val="single" w:sz="2" w:space="0" w:color="auto"/>
              <w:left w:val="single" w:sz="2" w:space="0" w:color="auto"/>
              <w:bottom w:val="single" w:sz="2" w:space="0" w:color="auto"/>
              <w:right w:val="single" w:sz="2" w:space="0" w:color="auto"/>
            </w:tcBorders>
            <w:vAlign w:val="center"/>
          </w:tcPr>
          <w:p w14:paraId="3EC9AA1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副总经理</w:t>
            </w:r>
          </w:p>
        </w:tc>
        <w:tc>
          <w:tcPr>
            <w:tcW w:w="567" w:type="dxa"/>
            <w:tcBorders>
              <w:top w:val="single" w:sz="2" w:space="0" w:color="auto"/>
              <w:left w:val="single" w:sz="2" w:space="0" w:color="auto"/>
              <w:bottom w:val="single" w:sz="2" w:space="0" w:color="auto"/>
              <w:right w:val="single" w:sz="2" w:space="0" w:color="auto"/>
            </w:tcBorders>
            <w:vAlign w:val="center"/>
          </w:tcPr>
          <w:p w14:paraId="598ED8D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134" w:type="dxa"/>
            <w:tcBorders>
              <w:top w:val="single" w:sz="2" w:space="0" w:color="auto"/>
              <w:left w:val="single" w:sz="2" w:space="0" w:color="auto"/>
              <w:bottom w:val="single" w:sz="2" w:space="0" w:color="auto"/>
              <w:right w:val="single" w:sz="2" w:space="0" w:color="auto"/>
            </w:tcBorders>
            <w:vAlign w:val="center"/>
          </w:tcPr>
          <w:p w14:paraId="5821C1E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21919F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380682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6CBE04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50CABB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0C979D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2F7A94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0C8C959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4441A8C3"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14EBB5B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王豪杰</w:t>
            </w:r>
          </w:p>
        </w:tc>
        <w:tc>
          <w:tcPr>
            <w:tcW w:w="567" w:type="dxa"/>
            <w:tcBorders>
              <w:top w:val="single" w:sz="2" w:space="0" w:color="auto"/>
              <w:left w:val="single" w:sz="2" w:space="0" w:color="auto"/>
              <w:bottom w:val="single" w:sz="2" w:space="0" w:color="auto"/>
              <w:right w:val="single" w:sz="2" w:space="0" w:color="auto"/>
            </w:tcBorders>
            <w:vAlign w:val="center"/>
          </w:tcPr>
          <w:p w14:paraId="31A6D27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567" w:type="dxa"/>
            <w:tcBorders>
              <w:top w:val="single" w:sz="2" w:space="0" w:color="auto"/>
              <w:left w:val="single" w:sz="2" w:space="0" w:color="auto"/>
              <w:bottom w:val="single" w:sz="2" w:space="0" w:color="auto"/>
              <w:right w:val="single" w:sz="2" w:space="0" w:color="auto"/>
            </w:tcBorders>
            <w:vAlign w:val="center"/>
          </w:tcPr>
          <w:p w14:paraId="67E621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w:t>
            </w:r>
          </w:p>
        </w:tc>
        <w:tc>
          <w:tcPr>
            <w:tcW w:w="992" w:type="dxa"/>
            <w:tcBorders>
              <w:top w:val="single" w:sz="2" w:space="0" w:color="auto"/>
              <w:left w:val="single" w:sz="2" w:space="0" w:color="auto"/>
              <w:bottom w:val="single" w:sz="2" w:space="0" w:color="auto"/>
              <w:right w:val="single" w:sz="2" w:space="0" w:color="auto"/>
            </w:tcBorders>
            <w:vAlign w:val="center"/>
          </w:tcPr>
          <w:p w14:paraId="02A539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原总经理</w:t>
            </w:r>
          </w:p>
        </w:tc>
        <w:tc>
          <w:tcPr>
            <w:tcW w:w="567" w:type="dxa"/>
            <w:tcBorders>
              <w:top w:val="single" w:sz="2" w:space="0" w:color="auto"/>
              <w:left w:val="single" w:sz="2" w:space="0" w:color="auto"/>
              <w:bottom w:val="single" w:sz="2" w:space="0" w:color="auto"/>
              <w:right w:val="single" w:sz="2" w:space="0" w:color="auto"/>
            </w:tcBorders>
            <w:vAlign w:val="center"/>
          </w:tcPr>
          <w:p w14:paraId="1795914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离任</w:t>
            </w:r>
          </w:p>
        </w:tc>
        <w:tc>
          <w:tcPr>
            <w:tcW w:w="1134" w:type="dxa"/>
            <w:tcBorders>
              <w:top w:val="single" w:sz="2" w:space="0" w:color="auto"/>
              <w:left w:val="single" w:sz="2" w:space="0" w:color="auto"/>
              <w:bottom w:val="single" w:sz="2" w:space="0" w:color="auto"/>
              <w:right w:val="single" w:sz="2" w:space="0" w:color="auto"/>
            </w:tcBorders>
            <w:vAlign w:val="center"/>
          </w:tcPr>
          <w:p w14:paraId="5FF22B8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687BC9E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6FFCAA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4B2BDA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6C74E5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5BA582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778F14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470C77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1FD39675"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vAlign w:val="center"/>
          </w:tcPr>
          <w:p w14:paraId="25F420E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张玮</w:t>
            </w:r>
          </w:p>
        </w:tc>
        <w:tc>
          <w:tcPr>
            <w:tcW w:w="567" w:type="dxa"/>
            <w:tcBorders>
              <w:top w:val="single" w:sz="2" w:space="0" w:color="auto"/>
              <w:left w:val="single" w:sz="2" w:space="0" w:color="auto"/>
              <w:bottom w:val="single" w:sz="2" w:space="0" w:color="auto"/>
              <w:right w:val="single" w:sz="2" w:space="0" w:color="auto"/>
            </w:tcBorders>
            <w:vAlign w:val="center"/>
          </w:tcPr>
          <w:p w14:paraId="219EEC2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567" w:type="dxa"/>
            <w:tcBorders>
              <w:top w:val="single" w:sz="2" w:space="0" w:color="auto"/>
              <w:left w:val="single" w:sz="2" w:space="0" w:color="auto"/>
              <w:bottom w:val="single" w:sz="2" w:space="0" w:color="auto"/>
              <w:right w:val="single" w:sz="2" w:space="0" w:color="auto"/>
            </w:tcBorders>
            <w:vAlign w:val="center"/>
          </w:tcPr>
          <w:p w14:paraId="68D64A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w:t>
            </w:r>
          </w:p>
        </w:tc>
        <w:tc>
          <w:tcPr>
            <w:tcW w:w="992" w:type="dxa"/>
            <w:tcBorders>
              <w:top w:val="single" w:sz="2" w:space="0" w:color="auto"/>
              <w:left w:val="single" w:sz="2" w:space="0" w:color="auto"/>
              <w:bottom w:val="single" w:sz="2" w:space="0" w:color="auto"/>
              <w:right w:val="single" w:sz="2" w:space="0" w:color="auto"/>
            </w:tcBorders>
            <w:vAlign w:val="center"/>
          </w:tcPr>
          <w:p w14:paraId="7FF1B1D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原监事会主席</w:t>
            </w:r>
          </w:p>
        </w:tc>
        <w:tc>
          <w:tcPr>
            <w:tcW w:w="567" w:type="dxa"/>
            <w:tcBorders>
              <w:top w:val="single" w:sz="2" w:space="0" w:color="auto"/>
              <w:left w:val="single" w:sz="2" w:space="0" w:color="auto"/>
              <w:bottom w:val="single" w:sz="2" w:space="0" w:color="auto"/>
              <w:right w:val="single" w:sz="2" w:space="0" w:color="auto"/>
            </w:tcBorders>
            <w:vAlign w:val="center"/>
          </w:tcPr>
          <w:p w14:paraId="763FEC6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离任</w:t>
            </w:r>
          </w:p>
        </w:tc>
        <w:tc>
          <w:tcPr>
            <w:tcW w:w="1134" w:type="dxa"/>
            <w:tcBorders>
              <w:top w:val="single" w:sz="2" w:space="0" w:color="auto"/>
              <w:left w:val="single" w:sz="2" w:space="0" w:color="auto"/>
              <w:bottom w:val="single" w:sz="2" w:space="0" w:color="auto"/>
              <w:right w:val="single" w:sz="2" w:space="0" w:color="auto"/>
            </w:tcBorders>
            <w:vAlign w:val="center"/>
          </w:tcPr>
          <w:p w14:paraId="0D5C217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850" w:type="dxa"/>
            <w:tcBorders>
              <w:top w:val="single" w:sz="2" w:space="0" w:color="auto"/>
              <w:left w:val="single" w:sz="2" w:space="0" w:color="auto"/>
              <w:bottom w:val="single" w:sz="2" w:space="0" w:color="auto"/>
              <w:right w:val="single" w:sz="2" w:space="0" w:color="auto"/>
            </w:tcBorders>
            <w:vAlign w:val="center"/>
          </w:tcPr>
          <w:p w14:paraId="227D0FE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32D6D3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72" w:type="dxa"/>
            <w:tcBorders>
              <w:top w:val="single" w:sz="2" w:space="0" w:color="auto"/>
              <w:left w:val="single" w:sz="2" w:space="0" w:color="auto"/>
              <w:bottom w:val="single" w:sz="2" w:space="0" w:color="auto"/>
              <w:right w:val="single" w:sz="2" w:space="0" w:color="auto"/>
            </w:tcBorders>
            <w:vAlign w:val="center"/>
          </w:tcPr>
          <w:p w14:paraId="768DE7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3CF1F6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29789EE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137499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14:paraId="7B2043B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r w:rsidR="00E10CEE" w:rsidRPr="005B5EC1" w14:paraId="124DD9D9" w14:textId="77777777" w:rsidTr="00E10CEE">
        <w:trPr>
          <w:trHeight w:val="240"/>
        </w:trPr>
        <w:tc>
          <w:tcPr>
            <w:tcW w:w="710" w:type="dxa"/>
            <w:tcBorders>
              <w:top w:val="single" w:sz="2" w:space="0" w:color="auto"/>
              <w:left w:val="single" w:sz="2" w:space="0" w:color="auto"/>
              <w:bottom w:val="single" w:sz="2" w:space="0" w:color="auto"/>
              <w:right w:val="single" w:sz="2" w:space="0" w:color="auto"/>
            </w:tcBorders>
            <w:shd w:val="clear" w:color="auto" w:fill="D3D3D3"/>
            <w:vAlign w:val="center"/>
          </w:tcPr>
          <w:p w14:paraId="133FD67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312F2B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58F6106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2E002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16CED1D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754C6E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2A5F3C5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851" w:type="dxa"/>
            <w:tcBorders>
              <w:top w:val="single" w:sz="2" w:space="0" w:color="auto"/>
              <w:left w:val="single" w:sz="2" w:space="0" w:color="auto"/>
              <w:bottom w:val="single" w:sz="2" w:space="0" w:color="auto"/>
              <w:right w:val="single" w:sz="2" w:space="0" w:color="auto"/>
            </w:tcBorders>
            <w:vAlign w:val="center"/>
          </w:tcPr>
          <w:p w14:paraId="2299FC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1,092,000</w:t>
            </w:r>
          </w:p>
        </w:tc>
        <w:tc>
          <w:tcPr>
            <w:tcW w:w="772" w:type="dxa"/>
            <w:tcBorders>
              <w:top w:val="single" w:sz="2" w:space="0" w:color="auto"/>
              <w:left w:val="single" w:sz="2" w:space="0" w:color="auto"/>
              <w:bottom w:val="single" w:sz="2" w:space="0" w:color="auto"/>
              <w:right w:val="single" w:sz="2" w:space="0" w:color="auto"/>
            </w:tcBorders>
            <w:vAlign w:val="center"/>
          </w:tcPr>
          <w:p w14:paraId="087EEE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089688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14:paraId="11F635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864" w:type="dxa"/>
            <w:tcBorders>
              <w:top w:val="single" w:sz="2" w:space="0" w:color="auto"/>
              <w:left w:val="single" w:sz="2" w:space="0" w:color="auto"/>
              <w:bottom w:val="single" w:sz="2" w:space="0" w:color="auto"/>
              <w:right w:val="single" w:sz="2" w:space="0" w:color="auto"/>
            </w:tcBorders>
            <w:vAlign w:val="center"/>
          </w:tcPr>
          <w:p w14:paraId="2D5D1A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1,092,000</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7C882C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bl>
    <w:p w14:paraId="4FAB0D3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报告期是否存在任期内董事、监事离任和高级管理人员解聘的情况</w:t>
      </w:r>
    </w:p>
    <w:p w14:paraId="7027817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否</w:t>
      </w:r>
    </w:p>
    <w:p w14:paraId="369FE903" w14:textId="77777777" w:rsidR="00AF139E" w:rsidRPr="005B5EC1" w:rsidRDefault="00000000" w:rsidP="00E10CEE">
      <w:pPr>
        <w:pStyle w:val="a3"/>
        <w:spacing w:before="0" w:beforeAutospacing="0" w:after="0" w:afterAutospacing="0" w:line="276" w:lineRule="auto"/>
        <w:ind w:firstLineChars="200" w:firstLine="360"/>
        <w:divId w:val="557252890"/>
        <w:rPr>
          <w:rFonts w:ascii="Times New Roman" w:hAnsi="Times New Roman" w:cs="Times New Roman"/>
          <w:sz w:val="18"/>
          <w:szCs w:val="18"/>
        </w:rPr>
      </w:pPr>
      <w:r w:rsidRPr="005B5EC1">
        <w:rPr>
          <w:rFonts w:ascii="Times New Roman" w:hAnsi="Times New Roman" w:cs="Times New Roman"/>
          <w:sz w:val="18"/>
          <w:szCs w:val="18"/>
        </w:rPr>
        <w:t>报告期内，王豪杰先生因工作变动，申请辞去公司总经理职务。张玮女士因个人原因，申请辞去公司监事及监事会主席职务。</w:t>
      </w:r>
    </w:p>
    <w:p w14:paraId="2FBAE5F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公司董事、监事、高级管理人员变动情况</w:t>
      </w:r>
    </w:p>
    <w:p w14:paraId="30141DD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2022644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C9083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4DC4C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83F8F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F2E54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53EFC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原因</w:t>
            </w:r>
          </w:p>
        </w:tc>
      </w:tr>
      <w:tr w:rsidR="00E32FE0" w:rsidRPr="005B5EC1" w14:paraId="5C225B4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26EFB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杨晓初</w:t>
            </w:r>
          </w:p>
        </w:tc>
        <w:tc>
          <w:tcPr>
            <w:tcW w:w="1928" w:type="dxa"/>
            <w:tcBorders>
              <w:top w:val="single" w:sz="2" w:space="0" w:color="auto"/>
              <w:left w:val="single" w:sz="2" w:space="0" w:color="auto"/>
              <w:bottom w:val="single" w:sz="2" w:space="0" w:color="auto"/>
              <w:right w:val="single" w:sz="2" w:space="0" w:color="auto"/>
            </w:tcBorders>
            <w:vAlign w:val="center"/>
          </w:tcPr>
          <w:p w14:paraId="56AC63B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总经理</w:t>
            </w:r>
          </w:p>
        </w:tc>
        <w:tc>
          <w:tcPr>
            <w:tcW w:w="1928" w:type="dxa"/>
            <w:tcBorders>
              <w:top w:val="single" w:sz="2" w:space="0" w:color="auto"/>
              <w:left w:val="single" w:sz="2" w:space="0" w:color="auto"/>
              <w:bottom w:val="single" w:sz="2" w:space="0" w:color="auto"/>
              <w:right w:val="single" w:sz="2" w:space="0" w:color="auto"/>
            </w:tcBorders>
            <w:vAlign w:val="center"/>
          </w:tcPr>
          <w:p w14:paraId="2E7A1E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聘任</w:t>
            </w:r>
          </w:p>
        </w:tc>
        <w:tc>
          <w:tcPr>
            <w:tcW w:w="1928" w:type="dxa"/>
            <w:tcBorders>
              <w:top w:val="single" w:sz="2" w:space="0" w:color="auto"/>
              <w:left w:val="single" w:sz="2" w:space="0" w:color="auto"/>
              <w:bottom w:val="single" w:sz="2" w:space="0" w:color="auto"/>
              <w:right w:val="single" w:sz="2" w:space="0" w:color="auto"/>
            </w:tcBorders>
            <w:vAlign w:val="center"/>
          </w:tcPr>
          <w:p w14:paraId="1DF7995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EC30E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工作调动</w:t>
            </w:r>
          </w:p>
        </w:tc>
      </w:tr>
      <w:tr w:rsidR="00E32FE0" w:rsidRPr="005B5EC1" w14:paraId="0C13474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D1446B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王豪杰</w:t>
            </w:r>
          </w:p>
        </w:tc>
        <w:tc>
          <w:tcPr>
            <w:tcW w:w="1928" w:type="dxa"/>
            <w:tcBorders>
              <w:top w:val="single" w:sz="2" w:space="0" w:color="auto"/>
              <w:left w:val="single" w:sz="2" w:space="0" w:color="auto"/>
              <w:bottom w:val="single" w:sz="2" w:space="0" w:color="auto"/>
              <w:right w:val="single" w:sz="2" w:space="0" w:color="auto"/>
            </w:tcBorders>
            <w:vAlign w:val="center"/>
          </w:tcPr>
          <w:p w14:paraId="7DEA0D2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原总经理</w:t>
            </w:r>
          </w:p>
        </w:tc>
        <w:tc>
          <w:tcPr>
            <w:tcW w:w="1928" w:type="dxa"/>
            <w:tcBorders>
              <w:top w:val="single" w:sz="2" w:space="0" w:color="auto"/>
              <w:left w:val="single" w:sz="2" w:space="0" w:color="auto"/>
              <w:bottom w:val="single" w:sz="2" w:space="0" w:color="auto"/>
              <w:right w:val="single" w:sz="2" w:space="0" w:color="auto"/>
            </w:tcBorders>
            <w:vAlign w:val="center"/>
          </w:tcPr>
          <w:p w14:paraId="1708A6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解聘</w:t>
            </w:r>
          </w:p>
        </w:tc>
        <w:tc>
          <w:tcPr>
            <w:tcW w:w="1928" w:type="dxa"/>
            <w:tcBorders>
              <w:top w:val="single" w:sz="2" w:space="0" w:color="auto"/>
              <w:left w:val="single" w:sz="2" w:space="0" w:color="auto"/>
              <w:bottom w:val="single" w:sz="2" w:space="0" w:color="auto"/>
              <w:right w:val="single" w:sz="2" w:space="0" w:color="auto"/>
            </w:tcBorders>
            <w:vAlign w:val="center"/>
          </w:tcPr>
          <w:p w14:paraId="41D83D9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FBF61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工作调动</w:t>
            </w:r>
          </w:p>
        </w:tc>
      </w:tr>
      <w:tr w:rsidR="00E32FE0" w:rsidRPr="005B5EC1" w14:paraId="223A6FC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AA213F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张玮</w:t>
            </w:r>
          </w:p>
        </w:tc>
        <w:tc>
          <w:tcPr>
            <w:tcW w:w="1928" w:type="dxa"/>
            <w:tcBorders>
              <w:top w:val="single" w:sz="2" w:space="0" w:color="auto"/>
              <w:left w:val="single" w:sz="2" w:space="0" w:color="auto"/>
              <w:bottom w:val="single" w:sz="2" w:space="0" w:color="auto"/>
              <w:right w:val="single" w:sz="2" w:space="0" w:color="auto"/>
            </w:tcBorders>
            <w:vAlign w:val="center"/>
          </w:tcPr>
          <w:p w14:paraId="16E47B7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原监事会主席</w:t>
            </w:r>
          </w:p>
        </w:tc>
        <w:tc>
          <w:tcPr>
            <w:tcW w:w="1928" w:type="dxa"/>
            <w:tcBorders>
              <w:top w:val="single" w:sz="2" w:space="0" w:color="auto"/>
              <w:left w:val="single" w:sz="2" w:space="0" w:color="auto"/>
              <w:bottom w:val="single" w:sz="2" w:space="0" w:color="auto"/>
              <w:right w:val="single" w:sz="2" w:space="0" w:color="auto"/>
            </w:tcBorders>
            <w:vAlign w:val="center"/>
          </w:tcPr>
          <w:p w14:paraId="566064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离任</w:t>
            </w:r>
          </w:p>
        </w:tc>
        <w:tc>
          <w:tcPr>
            <w:tcW w:w="1928" w:type="dxa"/>
            <w:tcBorders>
              <w:top w:val="single" w:sz="2" w:space="0" w:color="auto"/>
              <w:left w:val="single" w:sz="2" w:space="0" w:color="auto"/>
              <w:bottom w:val="single" w:sz="2" w:space="0" w:color="auto"/>
              <w:right w:val="single" w:sz="2" w:space="0" w:color="auto"/>
            </w:tcBorders>
            <w:vAlign w:val="center"/>
          </w:tcPr>
          <w:p w14:paraId="4B0CF83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B9B5C8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个人原因辞职</w:t>
            </w:r>
          </w:p>
        </w:tc>
      </w:tr>
    </w:tbl>
    <w:p w14:paraId="36DE137C" w14:textId="77777777" w:rsidR="00E32FE0" w:rsidRPr="005B5EC1" w:rsidRDefault="00000000">
      <w:pPr>
        <w:pStyle w:val="3"/>
        <w:spacing w:line="280" w:lineRule="exact"/>
        <w:jc w:val="left"/>
        <w:rPr>
          <w:rFonts w:ascii="Times New Roman" w:hAnsi="Times New Roman" w:cs="Times New Roman"/>
          <w:b/>
          <w:bCs/>
        </w:rPr>
      </w:pPr>
      <w:bookmarkStart w:id="65" w:name="_Toc988954"/>
      <w:r w:rsidRPr="005B5EC1">
        <w:rPr>
          <w:rFonts w:ascii="Times New Roman" w:hAnsi="Times New Roman" w:cs="Times New Roman"/>
          <w:b/>
          <w:bCs/>
        </w:rPr>
        <w:lastRenderedPageBreak/>
        <w:t>2</w:t>
      </w:r>
      <w:r w:rsidRPr="005B5EC1">
        <w:rPr>
          <w:rFonts w:ascii="Times New Roman" w:hAnsi="Times New Roman" w:cs="Times New Roman"/>
          <w:b/>
          <w:bCs/>
        </w:rPr>
        <w:t>、任职情况</w:t>
      </w:r>
      <w:bookmarkEnd w:id="65"/>
    </w:p>
    <w:p w14:paraId="009E43C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公司现任董事、监事、高级管理人员专业背景、主要工作经历以及目前在公司的主要职责</w:t>
      </w:r>
    </w:p>
    <w:p w14:paraId="585B081B"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杨晓初先生，</w:t>
      </w:r>
      <w:r w:rsidRPr="005B5EC1">
        <w:rPr>
          <w:rFonts w:ascii="Times New Roman" w:hAnsi="Times New Roman" w:cs="Times New Roman"/>
          <w:sz w:val="18"/>
          <w:szCs w:val="18"/>
        </w:rPr>
        <w:t>1969</w:t>
      </w:r>
      <w:r w:rsidRPr="005B5EC1">
        <w:rPr>
          <w:rFonts w:ascii="Times New Roman" w:hAnsi="Times New Roman" w:cs="Times New Roman"/>
          <w:sz w:val="18"/>
          <w:szCs w:val="18"/>
        </w:rPr>
        <w:t>年出生，中国国籍，无境外永久居留权，硕士学位。历任和骏咨询公司总经理、嘉宝管理顾问有限公司董事长兼总裁、蓝光实业集团有限公司总裁、四川蓝光和骏实业股份有限公司副董事长兼总裁、五仓农牧集团有限公司董事长等职务、蓝润集团执行总裁，现任蓝润集团董事、本公司董事长、总经理。</w:t>
      </w:r>
    </w:p>
    <w:p w14:paraId="42209527"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王豪杰先生，</w:t>
      </w:r>
      <w:r w:rsidRPr="005B5EC1">
        <w:rPr>
          <w:rFonts w:ascii="Times New Roman" w:hAnsi="Times New Roman" w:cs="Times New Roman"/>
          <w:sz w:val="18"/>
          <w:szCs w:val="18"/>
        </w:rPr>
        <w:t>1977</w:t>
      </w:r>
      <w:r w:rsidRPr="005B5EC1">
        <w:rPr>
          <w:rFonts w:ascii="Times New Roman" w:hAnsi="Times New Roman" w:cs="Times New Roman"/>
          <w:sz w:val="18"/>
          <w:szCs w:val="18"/>
        </w:rPr>
        <w:t>年出生，中国国籍，无境外永久居留权，本科学历。历任河南双汇投资发展股份有限公司集团副总裁兼事业部总经理、本公司总经理，现任蓝润发展控股集团有限公司副总裁、本公司董事。</w:t>
      </w:r>
    </w:p>
    <w:p w14:paraId="72AE9317"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张瑞先生，</w:t>
      </w:r>
      <w:r w:rsidRPr="005B5EC1">
        <w:rPr>
          <w:rFonts w:ascii="Times New Roman" w:hAnsi="Times New Roman" w:cs="Times New Roman"/>
          <w:sz w:val="18"/>
          <w:szCs w:val="18"/>
        </w:rPr>
        <w:t>1981</w:t>
      </w:r>
      <w:r w:rsidRPr="005B5EC1">
        <w:rPr>
          <w:rFonts w:ascii="Times New Roman" w:hAnsi="Times New Roman" w:cs="Times New Roman"/>
          <w:sz w:val="18"/>
          <w:szCs w:val="18"/>
        </w:rPr>
        <w:t>年出生，中国国籍，无境外永久居留权，学士学位。历任怡君控股有限公司法务总监，现任本公司董事、副总经理、董事会秘书。</w:t>
      </w:r>
    </w:p>
    <w:p w14:paraId="32CFFF87"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祝波先生，</w:t>
      </w:r>
      <w:r w:rsidRPr="005B5EC1">
        <w:rPr>
          <w:rFonts w:ascii="Times New Roman" w:hAnsi="Times New Roman" w:cs="Times New Roman"/>
          <w:sz w:val="18"/>
          <w:szCs w:val="18"/>
        </w:rPr>
        <w:t>1982</w:t>
      </w:r>
      <w:r w:rsidRPr="005B5EC1">
        <w:rPr>
          <w:rFonts w:ascii="Times New Roman" w:hAnsi="Times New Roman" w:cs="Times New Roman"/>
          <w:sz w:val="18"/>
          <w:szCs w:val="18"/>
        </w:rPr>
        <w:t>年出生，中国国籍，无境外永久居留权，本科学历。历任万腾实业集团有限公司开发报建部经理，现任成都昊华君宇置业有限公司外联中心总经理，本公司董事。</w:t>
      </w:r>
    </w:p>
    <w:p w14:paraId="41EA4DF7"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周婧女士，</w:t>
      </w:r>
      <w:r w:rsidRPr="005B5EC1">
        <w:rPr>
          <w:rFonts w:ascii="Times New Roman" w:hAnsi="Times New Roman" w:cs="Times New Roman"/>
          <w:sz w:val="18"/>
          <w:szCs w:val="18"/>
        </w:rPr>
        <w:t>1984</w:t>
      </w:r>
      <w:r w:rsidRPr="005B5EC1">
        <w:rPr>
          <w:rFonts w:ascii="Times New Roman" w:hAnsi="Times New Roman" w:cs="Times New Roman"/>
          <w:sz w:val="18"/>
          <w:szCs w:val="18"/>
        </w:rPr>
        <w:t>年出生，中国国籍，无境外永久居留权，学士学位。历任四川德文会计师事务所（特殊普通合伙）合伙人，现任四川天和联合会计师事务所（普通合伙）主任会计师、本公司独立董事。</w:t>
      </w:r>
    </w:p>
    <w:p w14:paraId="4267F583"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杨帆女士，中国国籍，</w:t>
      </w:r>
      <w:r w:rsidRPr="005B5EC1">
        <w:rPr>
          <w:rFonts w:ascii="Times New Roman" w:hAnsi="Times New Roman" w:cs="Times New Roman"/>
          <w:sz w:val="18"/>
          <w:szCs w:val="18"/>
        </w:rPr>
        <w:t>1967</w:t>
      </w:r>
      <w:r w:rsidRPr="005B5EC1">
        <w:rPr>
          <w:rFonts w:ascii="Times New Roman" w:hAnsi="Times New Roman" w:cs="Times New Roman"/>
          <w:sz w:val="18"/>
          <w:szCs w:val="18"/>
        </w:rPr>
        <w:t>年出生，无境外永久居留权，学士学位。历任四川万德律师事务所律师，现任四川天仁和律师事务所律师、本公司独立董事。</w:t>
      </w:r>
    </w:p>
    <w:p w14:paraId="78FABD94"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余茂鑫先生，中国国籍，</w:t>
      </w:r>
      <w:r w:rsidRPr="005B5EC1">
        <w:rPr>
          <w:rFonts w:ascii="Times New Roman" w:hAnsi="Times New Roman" w:cs="Times New Roman"/>
          <w:sz w:val="18"/>
          <w:szCs w:val="18"/>
        </w:rPr>
        <w:t>1990</w:t>
      </w:r>
      <w:r w:rsidRPr="005B5EC1">
        <w:rPr>
          <w:rFonts w:ascii="Times New Roman" w:hAnsi="Times New Roman" w:cs="Times New Roman"/>
          <w:sz w:val="18"/>
          <w:szCs w:val="18"/>
        </w:rPr>
        <w:t>年出生，无境外永久居留权，学士学位。历任四川弘齐律师事务所律师，现任四川图都律师事务所合伙人、本公司独立董事。</w:t>
      </w:r>
    </w:p>
    <w:p w14:paraId="1D990845"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周雪琴女士，</w:t>
      </w:r>
      <w:r w:rsidRPr="005B5EC1">
        <w:rPr>
          <w:rFonts w:ascii="Times New Roman" w:hAnsi="Times New Roman" w:cs="Times New Roman"/>
          <w:sz w:val="18"/>
          <w:szCs w:val="18"/>
        </w:rPr>
        <w:t>1981</w:t>
      </w:r>
      <w:r w:rsidRPr="005B5EC1">
        <w:rPr>
          <w:rFonts w:ascii="Times New Roman" w:hAnsi="Times New Roman" w:cs="Times New Roman"/>
          <w:sz w:val="18"/>
          <w:szCs w:val="18"/>
        </w:rPr>
        <w:t>年出生，中国国籍，无境外永久居留权，本科学历。历任新华文轩股份有限公司运营员、立信会计师事务所四川分所审计经理、四川蓝光发展股份有限公司审计经理、中国铁建股份有限公司四川分公司审计经理，现任蓝润发展控股集团有限公司审计高级经理、本公司监事会主席。</w:t>
      </w:r>
    </w:p>
    <w:p w14:paraId="6FB6511B"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张楠先生，</w:t>
      </w:r>
      <w:r w:rsidRPr="005B5EC1">
        <w:rPr>
          <w:rFonts w:ascii="Times New Roman" w:hAnsi="Times New Roman" w:cs="Times New Roman"/>
          <w:sz w:val="18"/>
          <w:szCs w:val="18"/>
        </w:rPr>
        <w:t>1984</w:t>
      </w:r>
      <w:r w:rsidRPr="005B5EC1">
        <w:rPr>
          <w:rFonts w:ascii="Times New Roman" w:hAnsi="Times New Roman" w:cs="Times New Roman"/>
          <w:sz w:val="18"/>
          <w:szCs w:val="18"/>
        </w:rPr>
        <w:t>年出生，中国国籍，无境外永久居留权，本科学历。历任蓝润集团有限公司监察审计中心经理。现任本公司审计部部长、监事。</w:t>
      </w:r>
    </w:p>
    <w:p w14:paraId="0648C66F"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吴战宗先生，</w:t>
      </w:r>
      <w:r w:rsidRPr="005B5EC1">
        <w:rPr>
          <w:rFonts w:ascii="Times New Roman" w:hAnsi="Times New Roman" w:cs="Times New Roman"/>
          <w:sz w:val="18"/>
          <w:szCs w:val="18"/>
        </w:rPr>
        <w:t>1983</w:t>
      </w:r>
      <w:r w:rsidRPr="005B5EC1">
        <w:rPr>
          <w:rFonts w:ascii="Times New Roman" w:hAnsi="Times New Roman" w:cs="Times New Roman"/>
          <w:sz w:val="18"/>
          <w:szCs w:val="18"/>
        </w:rPr>
        <w:t>年出生，中国国籍，无境外永久居留权，硕士学位。历任蓝润地产股份有限公司区域人力行政总监，运盛医疗成都科技股份有限公司综合管理部负责人。现任本公司招标采购部副总监、职工代表监事。</w:t>
      </w:r>
    </w:p>
    <w:p w14:paraId="5D05274F" w14:textId="77777777" w:rsidR="00E10CE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张凌女士，</w:t>
      </w:r>
      <w:r w:rsidRPr="005B5EC1">
        <w:rPr>
          <w:rFonts w:ascii="Times New Roman" w:hAnsi="Times New Roman" w:cs="Times New Roman"/>
          <w:sz w:val="18"/>
          <w:szCs w:val="18"/>
        </w:rPr>
        <w:t>1978</w:t>
      </w:r>
      <w:r w:rsidRPr="005B5EC1">
        <w:rPr>
          <w:rFonts w:ascii="Times New Roman" w:hAnsi="Times New Roman" w:cs="Times New Roman"/>
          <w:sz w:val="18"/>
          <w:szCs w:val="18"/>
        </w:rPr>
        <w:t>年出生，中国国籍，无境外永久居留权，注册会计师，本科学历。历任花样年集团（中国）有限公司地产集团副总裁、地产集团助理总裁、中国集团资金部总经理，蓝润集团有限公司首席财务官、本公司监事会主席，现任本公司财务总监。</w:t>
      </w:r>
    </w:p>
    <w:p w14:paraId="529A166F" w14:textId="17D18C6E" w:rsidR="00AF139E" w:rsidRPr="005B5EC1" w:rsidRDefault="00000000" w:rsidP="00E10CEE">
      <w:pPr>
        <w:pStyle w:val="a3"/>
        <w:spacing w:before="0" w:beforeAutospacing="0" w:after="0" w:afterAutospacing="0" w:line="276" w:lineRule="auto"/>
        <w:ind w:firstLineChars="200" w:firstLine="360"/>
        <w:jc w:val="both"/>
        <w:divId w:val="1092774618"/>
        <w:rPr>
          <w:rFonts w:ascii="Times New Roman" w:hAnsi="Times New Roman" w:cs="Times New Roman"/>
          <w:sz w:val="18"/>
          <w:szCs w:val="18"/>
        </w:rPr>
      </w:pPr>
      <w:r w:rsidRPr="005B5EC1">
        <w:rPr>
          <w:rFonts w:ascii="Times New Roman" w:hAnsi="Times New Roman" w:cs="Times New Roman"/>
          <w:sz w:val="18"/>
          <w:szCs w:val="18"/>
        </w:rPr>
        <w:t>刘婧女士，</w:t>
      </w:r>
      <w:r w:rsidRPr="005B5EC1">
        <w:rPr>
          <w:rFonts w:ascii="Times New Roman" w:hAnsi="Times New Roman" w:cs="Times New Roman"/>
          <w:sz w:val="18"/>
          <w:szCs w:val="18"/>
        </w:rPr>
        <w:t>1988</w:t>
      </w:r>
      <w:r w:rsidRPr="005B5EC1">
        <w:rPr>
          <w:rFonts w:ascii="Times New Roman" w:hAnsi="Times New Roman" w:cs="Times New Roman"/>
          <w:sz w:val="18"/>
          <w:szCs w:val="18"/>
        </w:rPr>
        <w:t>年出生，中国国籍，无境外居留权，本科学历。历任成都高新区国家税务局税收协管员、蓝润集团有限公司董事会办公室董办副主任、运盛（成都）医疗科技股份有限公司董事会秘书、本公司监事，现任本公司副总经理。</w:t>
      </w:r>
    </w:p>
    <w:p w14:paraId="7C5B799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在股东单位任职情况</w:t>
      </w:r>
    </w:p>
    <w:p w14:paraId="5C537B6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2410"/>
        <w:gridCol w:w="1559"/>
        <w:gridCol w:w="1843"/>
        <w:gridCol w:w="1417"/>
        <w:gridCol w:w="1134"/>
      </w:tblGrid>
      <w:tr w:rsidR="00E32FE0" w:rsidRPr="005B5EC1" w14:paraId="75CBF3D8" w14:textId="77777777" w:rsidTr="00A820CB">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9B2F70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任职人员姓名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1BB15F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股东单位名称</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71458EF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在股东单位担任的职务</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489D64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任期起始日期</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06EEE92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任期终止日期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673DC0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在股东单位是否领取报酬津贴</w:t>
            </w:r>
          </w:p>
        </w:tc>
      </w:tr>
      <w:tr w:rsidR="00E32FE0" w:rsidRPr="005B5EC1" w14:paraId="47CD7FD4" w14:textId="77777777" w:rsidTr="00A820CB">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2C568B5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杨晓初</w:t>
            </w:r>
          </w:p>
        </w:tc>
        <w:tc>
          <w:tcPr>
            <w:tcW w:w="2410" w:type="dxa"/>
            <w:tcBorders>
              <w:top w:val="single" w:sz="2" w:space="0" w:color="auto"/>
              <w:left w:val="single" w:sz="2" w:space="0" w:color="auto"/>
              <w:bottom w:val="single" w:sz="2" w:space="0" w:color="auto"/>
              <w:right w:val="single" w:sz="2" w:space="0" w:color="auto"/>
            </w:tcBorders>
            <w:vAlign w:val="center"/>
          </w:tcPr>
          <w:p w14:paraId="0F2D96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62F56D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w:t>
            </w:r>
          </w:p>
        </w:tc>
        <w:tc>
          <w:tcPr>
            <w:tcW w:w="1843" w:type="dxa"/>
            <w:tcBorders>
              <w:top w:val="single" w:sz="2" w:space="0" w:color="auto"/>
              <w:left w:val="single" w:sz="2" w:space="0" w:color="auto"/>
              <w:bottom w:val="single" w:sz="2" w:space="0" w:color="auto"/>
              <w:right w:val="single" w:sz="2" w:space="0" w:color="auto"/>
            </w:tcBorders>
            <w:vAlign w:val="center"/>
          </w:tcPr>
          <w:p w14:paraId="7C6EE0C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1417" w:type="dxa"/>
            <w:tcBorders>
              <w:top w:val="single" w:sz="2" w:space="0" w:color="auto"/>
              <w:left w:val="single" w:sz="2" w:space="0" w:color="auto"/>
              <w:bottom w:val="single" w:sz="2" w:space="0" w:color="auto"/>
              <w:right w:val="single" w:sz="2" w:space="0" w:color="auto"/>
            </w:tcBorders>
            <w:vAlign w:val="center"/>
          </w:tcPr>
          <w:p w14:paraId="44B2799A" w14:textId="77777777" w:rsidR="00E32FE0" w:rsidRPr="005B5EC1" w:rsidRDefault="00E32FE0">
            <w:pPr>
              <w:spacing w:after="0" w:line="240" w:lineRule="exac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EFE9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9EAB40E" w14:textId="77777777" w:rsidTr="00A820CB">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31ADC0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王豪杰</w:t>
            </w:r>
          </w:p>
        </w:tc>
        <w:tc>
          <w:tcPr>
            <w:tcW w:w="2410" w:type="dxa"/>
            <w:tcBorders>
              <w:top w:val="single" w:sz="2" w:space="0" w:color="auto"/>
              <w:left w:val="single" w:sz="2" w:space="0" w:color="auto"/>
              <w:bottom w:val="single" w:sz="2" w:space="0" w:color="auto"/>
              <w:right w:val="single" w:sz="2" w:space="0" w:color="auto"/>
            </w:tcBorders>
            <w:vAlign w:val="center"/>
          </w:tcPr>
          <w:p w14:paraId="71BF02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47D1FEC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副总裁</w:t>
            </w:r>
          </w:p>
        </w:tc>
        <w:tc>
          <w:tcPr>
            <w:tcW w:w="1843" w:type="dxa"/>
            <w:tcBorders>
              <w:top w:val="single" w:sz="2" w:space="0" w:color="auto"/>
              <w:left w:val="single" w:sz="2" w:space="0" w:color="auto"/>
              <w:bottom w:val="single" w:sz="2" w:space="0" w:color="auto"/>
              <w:right w:val="single" w:sz="2" w:space="0" w:color="auto"/>
            </w:tcBorders>
            <w:vAlign w:val="center"/>
          </w:tcPr>
          <w:p w14:paraId="5E28794D"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1417" w:type="dxa"/>
            <w:tcBorders>
              <w:top w:val="single" w:sz="2" w:space="0" w:color="auto"/>
              <w:left w:val="single" w:sz="2" w:space="0" w:color="auto"/>
              <w:bottom w:val="single" w:sz="2" w:space="0" w:color="auto"/>
              <w:right w:val="single" w:sz="2" w:space="0" w:color="auto"/>
            </w:tcBorders>
            <w:vAlign w:val="center"/>
          </w:tcPr>
          <w:p w14:paraId="51C26AB8" w14:textId="77777777" w:rsidR="00E32FE0" w:rsidRPr="005B5EC1" w:rsidRDefault="00E32FE0">
            <w:pPr>
              <w:spacing w:after="0" w:line="240" w:lineRule="exac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84F65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35E317DD" w14:textId="77777777" w:rsidTr="00A820CB">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4C0A58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祝波</w:t>
            </w:r>
          </w:p>
        </w:tc>
        <w:tc>
          <w:tcPr>
            <w:tcW w:w="2410" w:type="dxa"/>
            <w:tcBorders>
              <w:top w:val="single" w:sz="2" w:space="0" w:color="auto"/>
              <w:left w:val="single" w:sz="2" w:space="0" w:color="auto"/>
              <w:bottom w:val="single" w:sz="2" w:space="0" w:color="auto"/>
              <w:right w:val="single" w:sz="2" w:space="0" w:color="auto"/>
            </w:tcBorders>
            <w:vAlign w:val="center"/>
          </w:tcPr>
          <w:p w14:paraId="43E391B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成都昊华君宇置业有限公司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0C59643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外联中心总经理</w:t>
            </w:r>
          </w:p>
        </w:tc>
        <w:tc>
          <w:tcPr>
            <w:tcW w:w="1843" w:type="dxa"/>
            <w:tcBorders>
              <w:top w:val="single" w:sz="2" w:space="0" w:color="auto"/>
              <w:left w:val="single" w:sz="2" w:space="0" w:color="auto"/>
              <w:bottom w:val="single" w:sz="2" w:space="0" w:color="auto"/>
              <w:right w:val="single" w:sz="2" w:space="0" w:color="auto"/>
            </w:tcBorders>
            <w:vAlign w:val="center"/>
          </w:tcPr>
          <w:p w14:paraId="5C66197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2015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1417" w:type="dxa"/>
            <w:tcBorders>
              <w:top w:val="single" w:sz="2" w:space="0" w:color="auto"/>
              <w:left w:val="single" w:sz="2" w:space="0" w:color="auto"/>
              <w:bottom w:val="single" w:sz="2" w:space="0" w:color="auto"/>
              <w:right w:val="single" w:sz="2" w:space="0" w:color="auto"/>
            </w:tcBorders>
            <w:vAlign w:val="center"/>
          </w:tcPr>
          <w:p w14:paraId="53EC1717" w14:textId="77777777" w:rsidR="00E32FE0" w:rsidRPr="005B5EC1" w:rsidRDefault="00E32FE0">
            <w:pPr>
              <w:spacing w:after="0" w:line="240" w:lineRule="exac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33EA8E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5AD760A0" w14:textId="77777777" w:rsidTr="00A820CB">
        <w:trPr>
          <w:trHeight w:val="240"/>
        </w:trPr>
        <w:tc>
          <w:tcPr>
            <w:tcW w:w="1276" w:type="dxa"/>
            <w:tcBorders>
              <w:top w:val="single" w:sz="2" w:space="0" w:color="auto"/>
              <w:left w:val="single" w:sz="2" w:space="0" w:color="auto"/>
              <w:bottom w:val="single" w:sz="2" w:space="0" w:color="auto"/>
              <w:right w:val="single" w:sz="2" w:space="0" w:color="auto"/>
            </w:tcBorders>
            <w:vAlign w:val="center"/>
          </w:tcPr>
          <w:p w14:paraId="641740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周雪琴</w:t>
            </w:r>
          </w:p>
        </w:tc>
        <w:tc>
          <w:tcPr>
            <w:tcW w:w="2410" w:type="dxa"/>
            <w:tcBorders>
              <w:top w:val="single" w:sz="2" w:space="0" w:color="auto"/>
              <w:left w:val="single" w:sz="2" w:space="0" w:color="auto"/>
              <w:bottom w:val="single" w:sz="2" w:space="0" w:color="auto"/>
              <w:right w:val="single" w:sz="2" w:space="0" w:color="auto"/>
            </w:tcBorders>
            <w:vAlign w:val="center"/>
          </w:tcPr>
          <w:p w14:paraId="6B16C43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559" w:type="dxa"/>
            <w:tcBorders>
              <w:top w:val="single" w:sz="2" w:space="0" w:color="auto"/>
              <w:left w:val="single" w:sz="2" w:space="0" w:color="auto"/>
              <w:bottom w:val="single" w:sz="2" w:space="0" w:color="auto"/>
              <w:right w:val="single" w:sz="2" w:space="0" w:color="auto"/>
            </w:tcBorders>
            <w:vAlign w:val="center"/>
          </w:tcPr>
          <w:p w14:paraId="6373460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审计高级经理</w:t>
            </w:r>
          </w:p>
        </w:tc>
        <w:tc>
          <w:tcPr>
            <w:tcW w:w="1843" w:type="dxa"/>
            <w:tcBorders>
              <w:top w:val="single" w:sz="2" w:space="0" w:color="auto"/>
              <w:left w:val="single" w:sz="2" w:space="0" w:color="auto"/>
              <w:bottom w:val="single" w:sz="2" w:space="0" w:color="auto"/>
              <w:right w:val="single" w:sz="2" w:space="0" w:color="auto"/>
            </w:tcBorders>
            <w:vAlign w:val="center"/>
          </w:tcPr>
          <w:p w14:paraId="5851794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2015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日</w:t>
            </w:r>
          </w:p>
        </w:tc>
        <w:tc>
          <w:tcPr>
            <w:tcW w:w="1417" w:type="dxa"/>
            <w:tcBorders>
              <w:top w:val="single" w:sz="2" w:space="0" w:color="auto"/>
              <w:left w:val="single" w:sz="2" w:space="0" w:color="auto"/>
              <w:bottom w:val="single" w:sz="2" w:space="0" w:color="auto"/>
              <w:right w:val="single" w:sz="2" w:space="0" w:color="auto"/>
            </w:tcBorders>
            <w:vAlign w:val="center"/>
          </w:tcPr>
          <w:p w14:paraId="48A6FF6C" w14:textId="77777777" w:rsidR="00E32FE0" w:rsidRPr="005B5EC1" w:rsidRDefault="00E32FE0">
            <w:pPr>
              <w:spacing w:after="0" w:line="240" w:lineRule="exac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9A1AF8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bl>
    <w:p w14:paraId="13A2B5C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在其他单位任职情况</w:t>
      </w:r>
    </w:p>
    <w:p w14:paraId="6423D94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851"/>
        <w:gridCol w:w="2361"/>
        <w:gridCol w:w="2033"/>
        <w:gridCol w:w="1701"/>
        <w:gridCol w:w="1418"/>
        <w:gridCol w:w="1275"/>
      </w:tblGrid>
      <w:tr w:rsidR="00E32FE0" w:rsidRPr="005B5EC1" w14:paraId="51CAE5E9"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4E54222F" w14:textId="77777777" w:rsidR="00E32FE0" w:rsidRPr="005B5EC1" w:rsidRDefault="00000000" w:rsidP="00A820CB">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任职人员姓名</w:t>
            </w:r>
          </w:p>
        </w:tc>
        <w:tc>
          <w:tcPr>
            <w:tcW w:w="2361" w:type="dxa"/>
            <w:tcBorders>
              <w:top w:val="single" w:sz="2" w:space="0" w:color="auto"/>
              <w:left w:val="single" w:sz="2" w:space="0" w:color="auto"/>
              <w:bottom w:val="single" w:sz="2" w:space="0" w:color="auto"/>
              <w:right w:val="single" w:sz="2" w:space="0" w:color="auto"/>
            </w:tcBorders>
            <w:shd w:val="clear" w:color="auto" w:fill="D3D3D3"/>
            <w:vAlign w:val="center"/>
          </w:tcPr>
          <w:p w14:paraId="0CB03C4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其他单位名称</w:t>
            </w:r>
          </w:p>
        </w:tc>
        <w:tc>
          <w:tcPr>
            <w:tcW w:w="2033" w:type="dxa"/>
            <w:tcBorders>
              <w:top w:val="single" w:sz="2" w:space="0" w:color="auto"/>
              <w:left w:val="single" w:sz="2" w:space="0" w:color="auto"/>
              <w:bottom w:val="single" w:sz="2" w:space="0" w:color="auto"/>
              <w:right w:val="single" w:sz="2" w:space="0" w:color="auto"/>
            </w:tcBorders>
            <w:shd w:val="clear" w:color="auto" w:fill="D3D3D3"/>
            <w:vAlign w:val="center"/>
          </w:tcPr>
          <w:p w14:paraId="6005CD3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在其他单位担任的职务</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99E3A6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任期起始日期</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26344F1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任期终止日期</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3FCA5FD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在其他单位是否领取报酬津贴</w:t>
            </w:r>
          </w:p>
        </w:tc>
      </w:tr>
      <w:tr w:rsidR="00E32FE0" w:rsidRPr="005B5EC1" w14:paraId="26C3B85A"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6FE307B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杨晓初</w:t>
            </w:r>
          </w:p>
        </w:tc>
        <w:tc>
          <w:tcPr>
            <w:tcW w:w="2361" w:type="dxa"/>
            <w:tcBorders>
              <w:top w:val="single" w:sz="2" w:space="0" w:color="auto"/>
              <w:left w:val="single" w:sz="2" w:space="0" w:color="auto"/>
              <w:bottom w:val="single" w:sz="2" w:space="0" w:color="auto"/>
              <w:right w:val="single" w:sz="2" w:space="0" w:color="auto"/>
            </w:tcBorders>
            <w:vAlign w:val="center"/>
          </w:tcPr>
          <w:p w14:paraId="73AAE8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平阳思创创业投资合伙企业（有限合伙）</w:t>
            </w:r>
          </w:p>
        </w:tc>
        <w:tc>
          <w:tcPr>
            <w:tcW w:w="2033" w:type="dxa"/>
            <w:tcBorders>
              <w:top w:val="single" w:sz="2" w:space="0" w:color="auto"/>
              <w:left w:val="single" w:sz="2" w:space="0" w:color="auto"/>
              <w:bottom w:val="single" w:sz="2" w:space="0" w:color="auto"/>
              <w:right w:val="single" w:sz="2" w:space="0" w:color="auto"/>
            </w:tcBorders>
            <w:vAlign w:val="center"/>
          </w:tcPr>
          <w:p w14:paraId="7E9E5AB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执行事务合伙人</w:t>
            </w:r>
          </w:p>
        </w:tc>
        <w:tc>
          <w:tcPr>
            <w:tcW w:w="1701" w:type="dxa"/>
            <w:tcBorders>
              <w:top w:val="single" w:sz="2" w:space="0" w:color="auto"/>
              <w:left w:val="single" w:sz="2" w:space="0" w:color="auto"/>
              <w:bottom w:val="single" w:sz="2" w:space="0" w:color="auto"/>
              <w:right w:val="single" w:sz="2" w:space="0" w:color="auto"/>
            </w:tcBorders>
            <w:vAlign w:val="center"/>
          </w:tcPr>
          <w:p w14:paraId="1C0BE83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0FD95570"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FAF650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37EA7680"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3D84235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2361" w:type="dxa"/>
            <w:tcBorders>
              <w:top w:val="single" w:sz="2" w:space="0" w:color="auto"/>
              <w:left w:val="single" w:sz="2" w:space="0" w:color="auto"/>
              <w:bottom w:val="single" w:sz="2" w:space="0" w:color="auto"/>
              <w:right w:val="single" w:sz="2" w:space="0" w:color="auto"/>
            </w:tcBorders>
            <w:vAlign w:val="center"/>
          </w:tcPr>
          <w:p w14:paraId="114DC2B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青岛中和盛杰食品有限公司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6F3399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法定代表人、执行董事</w:t>
            </w:r>
          </w:p>
        </w:tc>
        <w:tc>
          <w:tcPr>
            <w:tcW w:w="1701" w:type="dxa"/>
            <w:tcBorders>
              <w:top w:val="single" w:sz="2" w:space="0" w:color="auto"/>
              <w:left w:val="single" w:sz="2" w:space="0" w:color="auto"/>
              <w:bottom w:val="single" w:sz="2" w:space="0" w:color="auto"/>
              <w:right w:val="single" w:sz="2" w:space="0" w:color="auto"/>
            </w:tcBorders>
            <w:vAlign w:val="center"/>
          </w:tcPr>
          <w:p w14:paraId="299D7E1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19FA11A5"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98394A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45B0B48"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38D0F04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2361" w:type="dxa"/>
            <w:tcBorders>
              <w:top w:val="single" w:sz="2" w:space="0" w:color="auto"/>
              <w:left w:val="single" w:sz="2" w:space="0" w:color="auto"/>
              <w:bottom w:val="single" w:sz="2" w:space="0" w:color="auto"/>
              <w:right w:val="single" w:sz="2" w:space="0" w:color="auto"/>
            </w:tcBorders>
            <w:vAlign w:val="center"/>
          </w:tcPr>
          <w:p w14:paraId="429FB81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云南福照食品有限公司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0465A5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法定代表人、董事长</w:t>
            </w:r>
          </w:p>
        </w:tc>
        <w:tc>
          <w:tcPr>
            <w:tcW w:w="1701" w:type="dxa"/>
            <w:tcBorders>
              <w:top w:val="single" w:sz="2" w:space="0" w:color="auto"/>
              <w:left w:val="single" w:sz="2" w:space="0" w:color="auto"/>
              <w:bottom w:val="single" w:sz="2" w:space="0" w:color="auto"/>
              <w:right w:val="single" w:sz="2" w:space="0" w:color="auto"/>
            </w:tcBorders>
            <w:vAlign w:val="center"/>
          </w:tcPr>
          <w:p w14:paraId="4A905E4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1F7D40CE"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32BDA1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399AE3B6"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13CCC25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2361" w:type="dxa"/>
            <w:tcBorders>
              <w:top w:val="single" w:sz="2" w:space="0" w:color="auto"/>
              <w:left w:val="single" w:sz="2" w:space="0" w:color="auto"/>
              <w:bottom w:val="single" w:sz="2" w:space="0" w:color="auto"/>
              <w:right w:val="single" w:sz="2" w:space="0" w:color="auto"/>
            </w:tcBorders>
            <w:vAlign w:val="center"/>
          </w:tcPr>
          <w:p w14:paraId="31476C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青岛龙大管理咨询服务有限公司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1C10B06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法定代表人、执行董事兼经理</w:t>
            </w:r>
          </w:p>
        </w:tc>
        <w:tc>
          <w:tcPr>
            <w:tcW w:w="1701" w:type="dxa"/>
            <w:tcBorders>
              <w:top w:val="single" w:sz="2" w:space="0" w:color="auto"/>
              <w:left w:val="single" w:sz="2" w:space="0" w:color="auto"/>
              <w:bottom w:val="single" w:sz="2" w:space="0" w:color="auto"/>
              <w:right w:val="single" w:sz="2" w:space="0" w:color="auto"/>
            </w:tcBorders>
            <w:vAlign w:val="center"/>
          </w:tcPr>
          <w:p w14:paraId="474B975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39F9A21F"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8CD5DF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8448087"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061E972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2361" w:type="dxa"/>
            <w:tcBorders>
              <w:top w:val="single" w:sz="2" w:space="0" w:color="auto"/>
              <w:left w:val="single" w:sz="2" w:space="0" w:color="auto"/>
              <w:bottom w:val="single" w:sz="2" w:space="0" w:color="auto"/>
              <w:right w:val="single" w:sz="2" w:space="0" w:color="auto"/>
            </w:tcBorders>
            <w:vAlign w:val="center"/>
          </w:tcPr>
          <w:p w14:paraId="5E9AA64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乳山中和盛杰食品有限公司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6DEA31E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法定代表人、执行董事</w:t>
            </w:r>
          </w:p>
        </w:tc>
        <w:tc>
          <w:tcPr>
            <w:tcW w:w="1701" w:type="dxa"/>
            <w:tcBorders>
              <w:top w:val="single" w:sz="2" w:space="0" w:color="auto"/>
              <w:left w:val="single" w:sz="2" w:space="0" w:color="auto"/>
              <w:bottom w:val="single" w:sz="2" w:space="0" w:color="auto"/>
              <w:right w:val="single" w:sz="2" w:space="0" w:color="auto"/>
            </w:tcBorders>
            <w:vAlign w:val="center"/>
          </w:tcPr>
          <w:p w14:paraId="4C8986F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530CA5E6"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7454A6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0F8FCA51"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6703817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2361" w:type="dxa"/>
            <w:tcBorders>
              <w:top w:val="single" w:sz="2" w:space="0" w:color="auto"/>
              <w:left w:val="single" w:sz="2" w:space="0" w:color="auto"/>
              <w:bottom w:val="single" w:sz="2" w:space="0" w:color="auto"/>
              <w:right w:val="single" w:sz="2" w:space="0" w:color="auto"/>
            </w:tcBorders>
            <w:vAlign w:val="center"/>
          </w:tcPr>
          <w:p w14:paraId="0C8AF5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青岛新胜锦食品商贸有限公司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49F02AA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法定代表人、执行董事</w:t>
            </w:r>
          </w:p>
        </w:tc>
        <w:tc>
          <w:tcPr>
            <w:tcW w:w="1701" w:type="dxa"/>
            <w:tcBorders>
              <w:top w:val="single" w:sz="2" w:space="0" w:color="auto"/>
              <w:left w:val="single" w:sz="2" w:space="0" w:color="auto"/>
              <w:bottom w:val="single" w:sz="2" w:space="0" w:color="auto"/>
              <w:right w:val="single" w:sz="2" w:space="0" w:color="auto"/>
            </w:tcBorders>
            <w:vAlign w:val="center"/>
          </w:tcPr>
          <w:p w14:paraId="1DA08F8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33ADE4A3"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129117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323B21B"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1A512EDD"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2361" w:type="dxa"/>
            <w:tcBorders>
              <w:top w:val="single" w:sz="2" w:space="0" w:color="auto"/>
              <w:left w:val="single" w:sz="2" w:space="0" w:color="auto"/>
              <w:bottom w:val="single" w:sz="2" w:space="0" w:color="auto"/>
              <w:right w:val="single" w:sz="2" w:space="0" w:color="auto"/>
            </w:tcBorders>
            <w:vAlign w:val="center"/>
          </w:tcPr>
          <w:p w14:paraId="377F98E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河南龙大牧原食品有限公司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351A57E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w:t>
            </w:r>
          </w:p>
        </w:tc>
        <w:tc>
          <w:tcPr>
            <w:tcW w:w="1701" w:type="dxa"/>
            <w:tcBorders>
              <w:top w:val="single" w:sz="2" w:space="0" w:color="auto"/>
              <w:left w:val="single" w:sz="2" w:space="0" w:color="auto"/>
              <w:bottom w:val="single" w:sz="2" w:space="0" w:color="auto"/>
              <w:right w:val="single" w:sz="2" w:space="0" w:color="auto"/>
            </w:tcBorders>
            <w:vAlign w:val="center"/>
          </w:tcPr>
          <w:p w14:paraId="4EAAD4F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0AB7F8D9"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ED2416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111EE929"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3B749DA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2361" w:type="dxa"/>
            <w:tcBorders>
              <w:top w:val="single" w:sz="2" w:space="0" w:color="auto"/>
              <w:left w:val="single" w:sz="2" w:space="0" w:color="auto"/>
              <w:bottom w:val="single" w:sz="2" w:space="0" w:color="auto"/>
              <w:right w:val="single" w:sz="2" w:space="0" w:color="auto"/>
            </w:tcBorders>
            <w:vAlign w:val="center"/>
          </w:tcPr>
          <w:p w14:paraId="03D12CF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澭坊振祥食品有限公司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0AB5FD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w:t>
            </w:r>
          </w:p>
        </w:tc>
        <w:tc>
          <w:tcPr>
            <w:tcW w:w="1701" w:type="dxa"/>
            <w:tcBorders>
              <w:top w:val="single" w:sz="2" w:space="0" w:color="auto"/>
              <w:left w:val="single" w:sz="2" w:space="0" w:color="auto"/>
              <w:bottom w:val="single" w:sz="2" w:space="0" w:color="auto"/>
              <w:right w:val="single" w:sz="2" w:space="0" w:color="auto"/>
            </w:tcBorders>
            <w:vAlign w:val="center"/>
          </w:tcPr>
          <w:p w14:paraId="02CB238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2018</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461F51A1"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A8B67E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3DCD2E1A"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69E3793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2361" w:type="dxa"/>
            <w:tcBorders>
              <w:top w:val="single" w:sz="2" w:space="0" w:color="auto"/>
              <w:left w:val="single" w:sz="2" w:space="0" w:color="auto"/>
              <w:bottom w:val="single" w:sz="2" w:space="0" w:color="auto"/>
              <w:right w:val="single" w:sz="2" w:space="0" w:color="auto"/>
            </w:tcBorders>
            <w:vAlign w:val="center"/>
          </w:tcPr>
          <w:p w14:paraId="56AF5E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蓬莱富龙肉食品有限公司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20C15F7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w:t>
            </w:r>
          </w:p>
        </w:tc>
        <w:tc>
          <w:tcPr>
            <w:tcW w:w="1701" w:type="dxa"/>
            <w:tcBorders>
              <w:top w:val="single" w:sz="2" w:space="0" w:color="auto"/>
              <w:left w:val="single" w:sz="2" w:space="0" w:color="auto"/>
              <w:bottom w:val="single" w:sz="2" w:space="0" w:color="auto"/>
              <w:right w:val="single" w:sz="2" w:space="0" w:color="auto"/>
            </w:tcBorders>
            <w:vAlign w:val="center"/>
          </w:tcPr>
          <w:p w14:paraId="3578AB4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71509CF5"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CA26A1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08BF2315"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036E804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周婧</w:t>
            </w:r>
          </w:p>
        </w:tc>
        <w:tc>
          <w:tcPr>
            <w:tcW w:w="2361" w:type="dxa"/>
            <w:tcBorders>
              <w:top w:val="single" w:sz="2" w:space="0" w:color="auto"/>
              <w:left w:val="single" w:sz="2" w:space="0" w:color="auto"/>
              <w:bottom w:val="single" w:sz="2" w:space="0" w:color="auto"/>
              <w:right w:val="single" w:sz="2" w:space="0" w:color="auto"/>
            </w:tcBorders>
            <w:vAlign w:val="center"/>
          </w:tcPr>
          <w:p w14:paraId="413CD02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四川天和联合会计师事务所（普通合伙）</w:t>
            </w:r>
          </w:p>
        </w:tc>
        <w:tc>
          <w:tcPr>
            <w:tcW w:w="2033" w:type="dxa"/>
            <w:tcBorders>
              <w:top w:val="single" w:sz="2" w:space="0" w:color="auto"/>
              <w:left w:val="single" w:sz="2" w:space="0" w:color="auto"/>
              <w:bottom w:val="single" w:sz="2" w:space="0" w:color="auto"/>
              <w:right w:val="single" w:sz="2" w:space="0" w:color="auto"/>
            </w:tcBorders>
            <w:vAlign w:val="center"/>
          </w:tcPr>
          <w:p w14:paraId="550B561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主任会计师</w:t>
            </w:r>
          </w:p>
        </w:tc>
        <w:tc>
          <w:tcPr>
            <w:tcW w:w="1701" w:type="dxa"/>
            <w:tcBorders>
              <w:top w:val="single" w:sz="2" w:space="0" w:color="auto"/>
              <w:left w:val="single" w:sz="2" w:space="0" w:color="auto"/>
              <w:bottom w:val="single" w:sz="2" w:space="0" w:color="auto"/>
              <w:right w:val="single" w:sz="2" w:space="0" w:color="auto"/>
            </w:tcBorders>
            <w:vAlign w:val="center"/>
          </w:tcPr>
          <w:p w14:paraId="2EF39BD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52AE1989"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C1690D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5B8009A5"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27B19F1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周婧</w:t>
            </w:r>
          </w:p>
        </w:tc>
        <w:tc>
          <w:tcPr>
            <w:tcW w:w="2361" w:type="dxa"/>
            <w:tcBorders>
              <w:top w:val="single" w:sz="2" w:space="0" w:color="auto"/>
              <w:left w:val="single" w:sz="2" w:space="0" w:color="auto"/>
              <w:bottom w:val="single" w:sz="2" w:space="0" w:color="auto"/>
              <w:right w:val="single" w:sz="2" w:space="0" w:color="auto"/>
            </w:tcBorders>
            <w:vAlign w:val="center"/>
          </w:tcPr>
          <w:p w14:paraId="643113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四川鹏达工程造价咨询有限责任公司</w:t>
            </w:r>
          </w:p>
        </w:tc>
        <w:tc>
          <w:tcPr>
            <w:tcW w:w="2033" w:type="dxa"/>
            <w:tcBorders>
              <w:top w:val="single" w:sz="2" w:space="0" w:color="auto"/>
              <w:left w:val="single" w:sz="2" w:space="0" w:color="auto"/>
              <w:bottom w:val="single" w:sz="2" w:space="0" w:color="auto"/>
              <w:right w:val="single" w:sz="2" w:space="0" w:color="auto"/>
            </w:tcBorders>
            <w:vAlign w:val="center"/>
          </w:tcPr>
          <w:p w14:paraId="49CA5B3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造价工程师</w:t>
            </w:r>
          </w:p>
        </w:tc>
        <w:tc>
          <w:tcPr>
            <w:tcW w:w="1701" w:type="dxa"/>
            <w:tcBorders>
              <w:top w:val="single" w:sz="2" w:space="0" w:color="auto"/>
              <w:left w:val="single" w:sz="2" w:space="0" w:color="auto"/>
              <w:bottom w:val="single" w:sz="2" w:space="0" w:color="auto"/>
              <w:right w:val="single" w:sz="2" w:space="0" w:color="auto"/>
            </w:tcBorders>
            <w:vAlign w:val="center"/>
          </w:tcPr>
          <w:p w14:paraId="7319CCA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3FCE138A"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FD0775D"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71FB103F"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59FED72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杨帆</w:t>
            </w:r>
          </w:p>
        </w:tc>
        <w:tc>
          <w:tcPr>
            <w:tcW w:w="2361" w:type="dxa"/>
            <w:tcBorders>
              <w:top w:val="single" w:sz="2" w:space="0" w:color="auto"/>
              <w:left w:val="single" w:sz="2" w:space="0" w:color="auto"/>
              <w:bottom w:val="single" w:sz="2" w:space="0" w:color="auto"/>
              <w:right w:val="single" w:sz="2" w:space="0" w:color="auto"/>
            </w:tcBorders>
            <w:vAlign w:val="center"/>
          </w:tcPr>
          <w:p w14:paraId="2090052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四川天仁和律师事务所</w:t>
            </w:r>
          </w:p>
        </w:tc>
        <w:tc>
          <w:tcPr>
            <w:tcW w:w="2033" w:type="dxa"/>
            <w:tcBorders>
              <w:top w:val="single" w:sz="2" w:space="0" w:color="auto"/>
              <w:left w:val="single" w:sz="2" w:space="0" w:color="auto"/>
              <w:bottom w:val="single" w:sz="2" w:space="0" w:color="auto"/>
              <w:right w:val="single" w:sz="2" w:space="0" w:color="auto"/>
            </w:tcBorders>
            <w:vAlign w:val="center"/>
          </w:tcPr>
          <w:p w14:paraId="5023504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副主任</w:t>
            </w:r>
          </w:p>
        </w:tc>
        <w:tc>
          <w:tcPr>
            <w:tcW w:w="1701" w:type="dxa"/>
            <w:tcBorders>
              <w:top w:val="single" w:sz="2" w:space="0" w:color="auto"/>
              <w:left w:val="single" w:sz="2" w:space="0" w:color="auto"/>
              <w:bottom w:val="single" w:sz="2" w:space="0" w:color="auto"/>
              <w:right w:val="single" w:sz="2" w:space="0" w:color="auto"/>
            </w:tcBorders>
            <w:vAlign w:val="center"/>
          </w:tcPr>
          <w:p w14:paraId="75CCD30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4DC93FDC"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CA3C64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339F4ABC"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47AB3B6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余茂鑫</w:t>
            </w:r>
          </w:p>
        </w:tc>
        <w:tc>
          <w:tcPr>
            <w:tcW w:w="2361" w:type="dxa"/>
            <w:tcBorders>
              <w:top w:val="single" w:sz="2" w:space="0" w:color="auto"/>
              <w:left w:val="single" w:sz="2" w:space="0" w:color="auto"/>
              <w:bottom w:val="single" w:sz="2" w:space="0" w:color="auto"/>
              <w:right w:val="single" w:sz="2" w:space="0" w:color="auto"/>
            </w:tcBorders>
            <w:vAlign w:val="center"/>
          </w:tcPr>
          <w:p w14:paraId="0F126A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四川图都律师事务所</w:t>
            </w:r>
          </w:p>
        </w:tc>
        <w:tc>
          <w:tcPr>
            <w:tcW w:w="2033" w:type="dxa"/>
            <w:tcBorders>
              <w:top w:val="single" w:sz="2" w:space="0" w:color="auto"/>
              <w:left w:val="single" w:sz="2" w:space="0" w:color="auto"/>
              <w:bottom w:val="single" w:sz="2" w:space="0" w:color="auto"/>
              <w:right w:val="single" w:sz="2" w:space="0" w:color="auto"/>
            </w:tcBorders>
            <w:vAlign w:val="center"/>
          </w:tcPr>
          <w:p w14:paraId="509D131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合伙人</w:t>
            </w:r>
          </w:p>
        </w:tc>
        <w:tc>
          <w:tcPr>
            <w:tcW w:w="1701" w:type="dxa"/>
            <w:tcBorders>
              <w:top w:val="single" w:sz="2" w:space="0" w:color="auto"/>
              <w:left w:val="single" w:sz="2" w:space="0" w:color="auto"/>
              <w:bottom w:val="single" w:sz="2" w:space="0" w:color="auto"/>
              <w:right w:val="single" w:sz="2" w:space="0" w:color="auto"/>
            </w:tcBorders>
            <w:vAlign w:val="center"/>
          </w:tcPr>
          <w:p w14:paraId="34F3138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6C4113A2"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79B15C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5878308C"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0102E72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周雪琴</w:t>
            </w:r>
          </w:p>
        </w:tc>
        <w:tc>
          <w:tcPr>
            <w:tcW w:w="2361" w:type="dxa"/>
            <w:tcBorders>
              <w:top w:val="single" w:sz="2" w:space="0" w:color="auto"/>
              <w:left w:val="single" w:sz="2" w:space="0" w:color="auto"/>
              <w:bottom w:val="single" w:sz="2" w:space="0" w:color="auto"/>
              <w:right w:val="single" w:sz="2" w:space="0" w:color="auto"/>
            </w:tcBorders>
            <w:vAlign w:val="center"/>
          </w:tcPr>
          <w:p w14:paraId="676AFA1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厦门圣博瑞贸易有限公司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0E0846C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法定代表人、执行董事</w:t>
            </w:r>
          </w:p>
        </w:tc>
        <w:tc>
          <w:tcPr>
            <w:tcW w:w="1701" w:type="dxa"/>
            <w:tcBorders>
              <w:top w:val="single" w:sz="2" w:space="0" w:color="auto"/>
              <w:left w:val="single" w:sz="2" w:space="0" w:color="auto"/>
              <w:bottom w:val="single" w:sz="2" w:space="0" w:color="auto"/>
              <w:right w:val="single" w:sz="2" w:space="0" w:color="auto"/>
            </w:tcBorders>
            <w:vAlign w:val="center"/>
          </w:tcPr>
          <w:p w14:paraId="6E90151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2886C4B1"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53474F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5E16159"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15EB5EA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吴战宗</w:t>
            </w:r>
          </w:p>
        </w:tc>
        <w:tc>
          <w:tcPr>
            <w:tcW w:w="2361" w:type="dxa"/>
            <w:tcBorders>
              <w:top w:val="single" w:sz="2" w:space="0" w:color="auto"/>
              <w:left w:val="single" w:sz="2" w:space="0" w:color="auto"/>
              <w:bottom w:val="single" w:sz="2" w:space="0" w:color="auto"/>
              <w:right w:val="single" w:sz="2" w:space="0" w:color="auto"/>
            </w:tcBorders>
            <w:vAlign w:val="center"/>
          </w:tcPr>
          <w:p w14:paraId="0199EBF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2033" w:type="dxa"/>
            <w:tcBorders>
              <w:top w:val="single" w:sz="2" w:space="0" w:color="auto"/>
              <w:left w:val="single" w:sz="2" w:space="0" w:color="auto"/>
              <w:bottom w:val="single" w:sz="2" w:space="0" w:color="auto"/>
              <w:right w:val="single" w:sz="2" w:space="0" w:color="auto"/>
            </w:tcBorders>
            <w:vAlign w:val="center"/>
          </w:tcPr>
          <w:p w14:paraId="08FDC2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监事</w:t>
            </w:r>
          </w:p>
        </w:tc>
        <w:tc>
          <w:tcPr>
            <w:tcW w:w="1701" w:type="dxa"/>
            <w:tcBorders>
              <w:top w:val="single" w:sz="2" w:space="0" w:color="auto"/>
              <w:left w:val="single" w:sz="2" w:space="0" w:color="auto"/>
              <w:bottom w:val="single" w:sz="2" w:space="0" w:color="auto"/>
              <w:right w:val="single" w:sz="2" w:space="0" w:color="auto"/>
            </w:tcBorders>
            <w:vAlign w:val="center"/>
          </w:tcPr>
          <w:p w14:paraId="0A1ED14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5B4E8B02"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F37AC7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ABC6D65"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72606BA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刘婧</w:t>
            </w:r>
          </w:p>
        </w:tc>
        <w:tc>
          <w:tcPr>
            <w:tcW w:w="2361" w:type="dxa"/>
            <w:tcBorders>
              <w:top w:val="single" w:sz="2" w:space="0" w:color="auto"/>
              <w:left w:val="single" w:sz="2" w:space="0" w:color="auto"/>
              <w:bottom w:val="single" w:sz="2" w:space="0" w:color="auto"/>
              <w:right w:val="single" w:sz="2" w:space="0" w:color="auto"/>
            </w:tcBorders>
            <w:vAlign w:val="center"/>
          </w:tcPr>
          <w:p w14:paraId="780F853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青岛龙大鲜生供应链有限公司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06777AC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法定代表人、董事长</w:t>
            </w:r>
          </w:p>
        </w:tc>
        <w:tc>
          <w:tcPr>
            <w:tcW w:w="1701" w:type="dxa"/>
            <w:tcBorders>
              <w:top w:val="single" w:sz="2" w:space="0" w:color="auto"/>
              <w:left w:val="single" w:sz="2" w:space="0" w:color="auto"/>
              <w:bottom w:val="single" w:sz="2" w:space="0" w:color="auto"/>
              <w:right w:val="single" w:sz="2" w:space="0" w:color="auto"/>
            </w:tcBorders>
            <w:vAlign w:val="center"/>
          </w:tcPr>
          <w:p w14:paraId="30AD393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007903E5"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D9726E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52B3F046"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59BD9C33"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刘婧</w:t>
            </w:r>
          </w:p>
        </w:tc>
        <w:tc>
          <w:tcPr>
            <w:tcW w:w="2361" w:type="dxa"/>
            <w:tcBorders>
              <w:top w:val="single" w:sz="2" w:space="0" w:color="auto"/>
              <w:left w:val="single" w:sz="2" w:space="0" w:color="auto"/>
              <w:bottom w:val="single" w:sz="2" w:space="0" w:color="auto"/>
              <w:right w:val="single" w:sz="2" w:space="0" w:color="auto"/>
            </w:tcBorders>
            <w:vAlign w:val="center"/>
          </w:tcPr>
          <w:p w14:paraId="5A1E28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四川龙鲜活供应链有限公司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52072CE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法定代表人、经理</w:t>
            </w:r>
          </w:p>
        </w:tc>
        <w:tc>
          <w:tcPr>
            <w:tcW w:w="1701" w:type="dxa"/>
            <w:tcBorders>
              <w:top w:val="single" w:sz="2" w:space="0" w:color="auto"/>
              <w:left w:val="single" w:sz="2" w:space="0" w:color="auto"/>
              <w:bottom w:val="single" w:sz="2" w:space="0" w:color="auto"/>
              <w:right w:val="single" w:sz="2" w:space="0" w:color="auto"/>
            </w:tcBorders>
            <w:vAlign w:val="center"/>
          </w:tcPr>
          <w:p w14:paraId="7853494D"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2E2FFA92"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1AC869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1FCD198F"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5C1587B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刘婧</w:t>
            </w:r>
          </w:p>
        </w:tc>
        <w:tc>
          <w:tcPr>
            <w:tcW w:w="2361" w:type="dxa"/>
            <w:tcBorders>
              <w:top w:val="single" w:sz="2" w:space="0" w:color="auto"/>
              <w:left w:val="single" w:sz="2" w:space="0" w:color="auto"/>
              <w:bottom w:val="single" w:sz="2" w:space="0" w:color="auto"/>
              <w:right w:val="single" w:sz="2" w:space="0" w:color="auto"/>
            </w:tcBorders>
            <w:vAlign w:val="center"/>
          </w:tcPr>
          <w:p w14:paraId="410489F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四川龙炸餐饮管理有限公司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662DA6B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法定代表人、董事长</w:t>
            </w:r>
          </w:p>
        </w:tc>
        <w:tc>
          <w:tcPr>
            <w:tcW w:w="1701" w:type="dxa"/>
            <w:tcBorders>
              <w:top w:val="single" w:sz="2" w:space="0" w:color="auto"/>
              <w:left w:val="single" w:sz="2" w:space="0" w:color="auto"/>
              <w:bottom w:val="single" w:sz="2" w:space="0" w:color="auto"/>
              <w:right w:val="single" w:sz="2" w:space="0" w:color="auto"/>
            </w:tcBorders>
            <w:vAlign w:val="center"/>
          </w:tcPr>
          <w:p w14:paraId="0060A59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16BDBB7F"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7CEB39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1337782" w14:textId="77777777" w:rsidTr="00A820CB">
        <w:trPr>
          <w:trHeight w:val="240"/>
        </w:trPr>
        <w:tc>
          <w:tcPr>
            <w:tcW w:w="851" w:type="dxa"/>
            <w:tcBorders>
              <w:top w:val="single" w:sz="2" w:space="0" w:color="auto"/>
              <w:left w:val="single" w:sz="2" w:space="0" w:color="auto"/>
              <w:bottom w:val="single" w:sz="2" w:space="0" w:color="auto"/>
              <w:right w:val="single" w:sz="2" w:space="0" w:color="auto"/>
            </w:tcBorders>
            <w:vAlign w:val="center"/>
          </w:tcPr>
          <w:p w14:paraId="1A5A3D3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刘婧</w:t>
            </w:r>
          </w:p>
        </w:tc>
        <w:tc>
          <w:tcPr>
            <w:tcW w:w="2361" w:type="dxa"/>
            <w:tcBorders>
              <w:top w:val="single" w:sz="2" w:space="0" w:color="auto"/>
              <w:left w:val="single" w:sz="2" w:space="0" w:color="auto"/>
              <w:bottom w:val="single" w:sz="2" w:space="0" w:color="auto"/>
              <w:right w:val="single" w:sz="2" w:space="0" w:color="auto"/>
            </w:tcBorders>
            <w:vAlign w:val="center"/>
          </w:tcPr>
          <w:p w14:paraId="12EBA1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河南龙大牧原食品有限公司</w:t>
            </w:r>
          </w:p>
        </w:tc>
        <w:tc>
          <w:tcPr>
            <w:tcW w:w="2033" w:type="dxa"/>
            <w:tcBorders>
              <w:top w:val="single" w:sz="2" w:space="0" w:color="auto"/>
              <w:left w:val="single" w:sz="2" w:space="0" w:color="auto"/>
              <w:bottom w:val="single" w:sz="2" w:space="0" w:color="auto"/>
              <w:right w:val="single" w:sz="2" w:space="0" w:color="auto"/>
            </w:tcBorders>
            <w:vAlign w:val="center"/>
          </w:tcPr>
          <w:p w14:paraId="74A183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w:t>
            </w:r>
          </w:p>
        </w:tc>
        <w:tc>
          <w:tcPr>
            <w:tcW w:w="1701" w:type="dxa"/>
            <w:tcBorders>
              <w:top w:val="single" w:sz="2" w:space="0" w:color="auto"/>
              <w:left w:val="single" w:sz="2" w:space="0" w:color="auto"/>
              <w:bottom w:val="single" w:sz="2" w:space="0" w:color="auto"/>
              <w:right w:val="single" w:sz="2" w:space="0" w:color="auto"/>
            </w:tcBorders>
            <w:vAlign w:val="center"/>
          </w:tcPr>
          <w:p w14:paraId="732B7C9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p>
        </w:tc>
        <w:tc>
          <w:tcPr>
            <w:tcW w:w="1418" w:type="dxa"/>
            <w:tcBorders>
              <w:top w:val="single" w:sz="2" w:space="0" w:color="auto"/>
              <w:left w:val="single" w:sz="2" w:space="0" w:color="auto"/>
              <w:bottom w:val="single" w:sz="2" w:space="0" w:color="auto"/>
              <w:right w:val="single" w:sz="2" w:space="0" w:color="auto"/>
            </w:tcBorders>
            <w:vAlign w:val="center"/>
          </w:tcPr>
          <w:p w14:paraId="66580579" w14:textId="77777777" w:rsidR="00E32FE0" w:rsidRPr="005B5EC1" w:rsidRDefault="00E32FE0">
            <w:pPr>
              <w:spacing w:after="0" w:line="240" w:lineRule="exac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9D6D19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bl>
    <w:p w14:paraId="4E7C6E0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公司现任及报告期内离任董事、监事和高级管理人员近三年证券监管机构处罚的情况</w:t>
      </w:r>
    </w:p>
    <w:p w14:paraId="1696A89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CCD6CDD" w14:textId="77777777" w:rsidR="00E32FE0" w:rsidRPr="005B5EC1" w:rsidRDefault="00000000">
      <w:pPr>
        <w:pStyle w:val="3"/>
        <w:spacing w:line="280" w:lineRule="exact"/>
        <w:jc w:val="left"/>
        <w:rPr>
          <w:rFonts w:ascii="Times New Roman" w:hAnsi="Times New Roman" w:cs="Times New Roman"/>
          <w:b/>
          <w:bCs/>
        </w:rPr>
      </w:pPr>
      <w:bookmarkStart w:id="66" w:name="_Toc988955"/>
      <w:r w:rsidRPr="005B5EC1">
        <w:rPr>
          <w:rFonts w:ascii="Times New Roman" w:hAnsi="Times New Roman" w:cs="Times New Roman"/>
          <w:b/>
          <w:bCs/>
        </w:rPr>
        <w:t>3</w:t>
      </w:r>
      <w:r w:rsidRPr="005B5EC1">
        <w:rPr>
          <w:rFonts w:ascii="Times New Roman" w:hAnsi="Times New Roman" w:cs="Times New Roman"/>
          <w:b/>
          <w:bCs/>
        </w:rPr>
        <w:t>、董事、监事、高级管理人员报酬情况</w:t>
      </w:r>
      <w:bookmarkEnd w:id="66"/>
    </w:p>
    <w:p w14:paraId="5FD617E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董事、监事、高级管理人员报酬的决策程序、确定依据、实际支付情况</w:t>
      </w:r>
    </w:p>
    <w:p w14:paraId="335ED20E" w14:textId="208DD992" w:rsidR="00AF139E" w:rsidRPr="005B5EC1" w:rsidRDefault="00000000" w:rsidP="00A820CB">
      <w:pPr>
        <w:pStyle w:val="a3"/>
        <w:spacing w:before="0" w:beforeAutospacing="0" w:after="0" w:afterAutospacing="0" w:line="276" w:lineRule="auto"/>
        <w:ind w:firstLineChars="200" w:firstLine="360"/>
        <w:divId w:val="1614168637"/>
        <w:rPr>
          <w:rFonts w:ascii="Times New Roman" w:hAnsi="Times New Roman" w:cs="Times New Roman"/>
          <w:sz w:val="18"/>
          <w:szCs w:val="18"/>
        </w:rPr>
      </w:pPr>
      <w:r w:rsidRPr="005B5EC1">
        <w:rPr>
          <w:rFonts w:ascii="Times New Roman" w:hAnsi="Times New Roman" w:cs="Times New Roman"/>
          <w:sz w:val="18"/>
          <w:szCs w:val="18"/>
        </w:rPr>
        <w:t>董事、监事的报酬分别由董事会、监事会提出议案，报股东大会批准，公司总经理、副总经理、董事会秘书、财务总监</w:t>
      </w:r>
      <w:r w:rsidR="00975D82">
        <w:rPr>
          <w:rFonts w:ascii="Times New Roman" w:hAnsi="Times New Roman" w:cs="Times New Roman" w:hint="eastAsia"/>
          <w:sz w:val="18"/>
          <w:szCs w:val="18"/>
        </w:rPr>
        <w:t>等</w:t>
      </w:r>
      <w:r w:rsidRPr="005B5EC1">
        <w:rPr>
          <w:rFonts w:ascii="Times New Roman" w:hAnsi="Times New Roman" w:cs="Times New Roman"/>
          <w:sz w:val="18"/>
          <w:szCs w:val="18"/>
        </w:rPr>
        <w:t>高级管理人员的报酬由公司薪酬与考核委员会提出议案，报董事会批准。</w:t>
      </w:r>
    </w:p>
    <w:p w14:paraId="57AD293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公司报告期内董事、监事和高级管理人员报酬情况</w:t>
      </w:r>
    </w:p>
    <w:p w14:paraId="291323C9"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750"/>
        <w:gridCol w:w="708"/>
        <w:gridCol w:w="2673"/>
        <w:gridCol w:w="1013"/>
        <w:gridCol w:w="1741"/>
        <w:gridCol w:w="1377"/>
      </w:tblGrid>
      <w:tr w:rsidR="00E32FE0" w:rsidRPr="005B5EC1" w14:paraId="748E8F25"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E5092B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姓名</w:t>
            </w:r>
          </w:p>
        </w:tc>
        <w:tc>
          <w:tcPr>
            <w:tcW w:w="750" w:type="dxa"/>
            <w:tcBorders>
              <w:top w:val="single" w:sz="2" w:space="0" w:color="auto"/>
              <w:left w:val="single" w:sz="2" w:space="0" w:color="auto"/>
              <w:bottom w:val="single" w:sz="2" w:space="0" w:color="auto"/>
              <w:right w:val="single" w:sz="2" w:space="0" w:color="auto"/>
            </w:tcBorders>
            <w:shd w:val="clear" w:color="auto" w:fill="D3D3D3"/>
            <w:vAlign w:val="center"/>
          </w:tcPr>
          <w:p w14:paraId="54192EE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性别</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6529252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年龄</w:t>
            </w:r>
          </w:p>
        </w:tc>
        <w:tc>
          <w:tcPr>
            <w:tcW w:w="2673" w:type="dxa"/>
            <w:tcBorders>
              <w:top w:val="single" w:sz="2" w:space="0" w:color="auto"/>
              <w:left w:val="single" w:sz="2" w:space="0" w:color="auto"/>
              <w:bottom w:val="single" w:sz="2" w:space="0" w:color="auto"/>
              <w:right w:val="single" w:sz="2" w:space="0" w:color="auto"/>
            </w:tcBorders>
            <w:shd w:val="clear" w:color="auto" w:fill="D3D3D3"/>
            <w:vAlign w:val="center"/>
          </w:tcPr>
          <w:p w14:paraId="7682AC0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职务</w:t>
            </w:r>
          </w:p>
        </w:tc>
        <w:tc>
          <w:tcPr>
            <w:tcW w:w="1013" w:type="dxa"/>
            <w:tcBorders>
              <w:top w:val="single" w:sz="2" w:space="0" w:color="auto"/>
              <w:left w:val="single" w:sz="2" w:space="0" w:color="auto"/>
              <w:bottom w:val="single" w:sz="2" w:space="0" w:color="auto"/>
              <w:right w:val="single" w:sz="2" w:space="0" w:color="auto"/>
            </w:tcBorders>
            <w:shd w:val="clear" w:color="auto" w:fill="D3D3D3"/>
            <w:vAlign w:val="center"/>
          </w:tcPr>
          <w:p w14:paraId="0E0E22C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任职状态</w:t>
            </w:r>
          </w:p>
        </w:tc>
        <w:tc>
          <w:tcPr>
            <w:tcW w:w="1741" w:type="dxa"/>
            <w:tcBorders>
              <w:top w:val="single" w:sz="2" w:space="0" w:color="auto"/>
              <w:left w:val="single" w:sz="2" w:space="0" w:color="auto"/>
              <w:bottom w:val="single" w:sz="2" w:space="0" w:color="auto"/>
              <w:right w:val="single" w:sz="2" w:space="0" w:color="auto"/>
            </w:tcBorders>
            <w:shd w:val="clear" w:color="auto" w:fill="D3D3D3"/>
            <w:vAlign w:val="center"/>
          </w:tcPr>
          <w:p w14:paraId="4F58A93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从公司获得的税前报酬总额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760B86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是否在公司关联方获取报酬</w:t>
            </w:r>
          </w:p>
        </w:tc>
      </w:tr>
      <w:tr w:rsidR="00E32FE0" w:rsidRPr="005B5EC1" w14:paraId="7A71F52A"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C166ED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杨晓初</w:t>
            </w:r>
          </w:p>
        </w:tc>
        <w:tc>
          <w:tcPr>
            <w:tcW w:w="750" w:type="dxa"/>
            <w:tcBorders>
              <w:top w:val="single" w:sz="2" w:space="0" w:color="auto"/>
              <w:left w:val="single" w:sz="2" w:space="0" w:color="auto"/>
              <w:bottom w:val="single" w:sz="2" w:space="0" w:color="auto"/>
              <w:right w:val="single" w:sz="2" w:space="0" w:color="auto"/>
            </w:tcBorders>
            <w:vAlign w:val="center"/>
          </w:tcPr>
          <w:p w14:paraId="23A6CCE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708" w:type="dxa"/>
            <w:tcBorders>
              <w:top w:val="single" w:sz="2" w:space="0" w:color="auto"/>
              <w:left w:val="single" w:sz="2" w:space="0" w:color="auto"/>
              <w:bottom w:val="single" w:sz="2" w:space="0" w:color="auto"/>
              <w:right w:val="single" w:sz="2" w:space="0" w:color="auto"/>
            </w:tcBorders>
            <w:vAlign w:val="center"/>
          </w:tcPr>
          <w:p w14:paraId="510F867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55</w:t>
            </w:r>
          </w:p>
        </w:tc>
        <w:tc>
          <w:tcPr>
            <w:tcW w:w="2673" w:type="dxa"/>
            <w:tcBorders>
              <w:top w:val="single" w:sz="2" w:space="0" w:color="auto"/>
              <w:left w:val="single" w:sz="2" w:space="0" w:color="auto"/>
              <w:bottom w:val="single" w:sz="2" w:space="0" w:color="auto"/>
              <w:right w:val="single" w:sz="2" w:space="0" w:color="auto"/>
            </w:tcBorders>
            <w:vAlign w:val="center"/>
          </w:tcPr>
          <w:p w14:paraId="5BA7820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董事长、总经理</w:t>
            </w:r>
          </w:p>
        </w:tc>
        <w:tc>
          <w:tcPr>
            <w:tcW w:w="1013" w:type="dxa"/>
            <w:tcBorders>
              <w:top w:val="single" w:sz="2" w:space="0" w:color="auto"/>
              <w:left w:val="single" w:sz="2" w:space="0" w:color="auto"/>
              <w:bottom w:val="single" w:sz="2" w:space="0" w:color="auto"/>
              <w:right w:val="single" w:sz="2" w:space="0" w:color="auto"/>
            </w:tcBorders>
            <w:vAlign w:val="center"/>
          </w:tcPr>
          <w:p w14:paraId="443493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300D3A8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48.55</w:t>
            </w:r>
          </w:p>
        </w:tc>
        <w:tc>
          <w:tcPr>
            <w:tcW w:w="1377" w:type="dxa"/>
            <w:tcBorders>
              <w:top w:val="single" w:sz="2" w:space="0" w:color="auto"/>
              <w:left w:val="single" w:sz="2" w:space="0" w:color="auto"/>
              <w:bottom w:val="single" w:sz="2" w:space="0" w:color="auto"/>
              <w:right w:val="single" w:sz="2" w:space="0" w:color="auto"/>
            </w:tcBorders>
            <w:vAlign w:val="center"/>
          </w:tcPr>
          <w:p w14:paraId="068A15C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0BEED79E"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0D73AD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王豪杰</w:t>
            </w:r>
          </w:p>
        </w:tc>
        <w:tc>
          <w:tcPr>
            <w:tcW w:w="750" w:type="dxa"/>
            <w:tcBorders>
              <w:top w:val="single" w:sz="2" w:space="0" w:color="auto"/>
              <w:left w:val="single" w:sz="2" w:space="0" w:color="auto"/>
              <w:bottom w:val="single" w:sz="2" w:space="0" w:color="auto"/>
              <w:right w:val="single" w:sz="2" w:space="0" w:color="auto"/>
            </w:tcBorders>
            <w:vAlign w:val="center"/>
          </w:tcPr>
          <w:p w14:paraId="5BF99AE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708" w:type="dxa"/>
            <w:tcBorders>
              <w:top w:val="single" w:sz="2" w:space="0" w:color="auto"/>
              <w:left w:val="single" w:sz="2" w:space="0" w:color="auto"/>
              <w:bottom w:val="single" w:sz="2" w:space="0" w:color="auto"/>
              <w:right w:val="single" w:sz="2" w:space="0" w:color="auto"/>
            </w:tcBorders>
            <w:vAlign w:val="center"/>
          </w:tcPr>
          <w:p w14:paraId="11B97F3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48</w:t>
            </w:r>
          </w:p>
        </w:tc>
        <w:tc>
          <w:tcPr>
            <w:tcW w:w="2673" w:type="dxa"/>
            <w:tcBorders>
              <w:top w:val="single" w:sz="2" w:space="0" w:color="auto"/>
              <w:left w:val="single" w:sz="2" w:space="0" w:color="auto"/>
              <w:bottom w:val="single" w:sz="2" w:space="0" w:color="auto"/>
              <w:right w:val="single" w:sz="2" w:space="0" w:color="auto"/>
            </w:tcBorders>
            <w:vAlign w:val="center"/>
          </w:tcPr>
          <w:p w14:paraId="145255B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w:t>
            </w:r>
          </w:p>
        </w:tc>
        <w:tc>
          <w:tcPr>
            <w:tcW w:w="1013" w:type="dxa"/>
            <w:tcBorders>
              <w:top w:val="single" w:sz="2" w:space="0" w:color="auto"/>
              <w:left w:val="single" w:sz="2" w:space="0" w:color="auto"/>
              <w:bottom w:val="single" w:sz="2" w:space="0" w:color="auto"/>
              <w:right w:val="single" w:sz="2" w:space="0" w:color="auto"/>
            </w:tcBorders>
            <w:vAlign w:val="center"/>
          </w:tcPr>
          <w:p w14:paraId="35AF4D8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213E44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w:t>
            </w:r>
          </w:p>
        </w:tc>
        <w:tc>
          <w:tcPr>
            <w:tcW w:w="1377" w:type="dxa"/>
            <w:tcBorders>
              <w:top w:val="single" w:sz="2" w:space="0" w:color="auto"/>
              <w:left w:val="single" w:sz="2" w:space="0" w:color="auto"/>
              <w:bottom w:val="single" w:sz="2" w:space="0" w:color="auto"/>
              <w:right w:val="single" w:sz="2" w:space="0" w:color="auto"/>
            </w:tcBorders>
            <w:vAlign w:val="center"/>
          </w:tcPr>
          <w:p w14:paraId="6CD6EA7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706D2939"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4D274F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750" w:type="dxa"/>
            <w:tcBorders>
              <w:top w:val="single" w:sz="2" w:space="0" w:color="auto"/>
              <w:left w:val="single" w:sz="2" w:space="0" w:color="auto"/>
              <w:bottom w:val="single" w:sz="2" w:space="0" w:color="auto"/>
              <w:right w:val="single" w:sz="2" w:space="0" w:color="auto"/>
            </w:tcBorders>
            <w:vAlign w:val="center"/>
          </w:tcPr>
          <w:p w14:paraId="78DE9DF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708" w:type="dxa"/>
            <w:tcBorders>
              <w:top w:val="single" w:sz="2" w:space="0" w:color="auto"/>
              <w:left w:val="single" w:sz="2" w:space="0" w:color="auto"/>
              <w:bottom w:val="single" w:sz="2" w:space="0" w:color="auto"/>
              <w:right w:val="single" w:sz="2" w:space="0" w:color="auto"/>
            </w:tcBorders>
            <w:vAlign w:val="center"/>
          </w:tcPr>
          <w:p w14:paraId="0F5E21D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44</w:t>
            </w:r>
          </w:p>
        </w:tc>
        <w:tc>
          <w:tcPr>
            <w:tcW w:w="2673" w:type="dxa"/>
            <w:tcBorders>
              <w:top w:val="single" w:sz="2" w:space="0" w:color="auto"/>
              <w:left w:val="single" w:sz="2" w:space="0" w:color="auto"/>
              <w:bottom w:val="single" w:sz="2" w:space="0" w:color="auto"/>
              <w:right w:val="single" w:sz="2" w:space="0" w:color="auto"/>
            </w:tcBorders>
            <w:vAlign w:val="center"/>
          </w:tcPr>
          <w:p w14:paraId="2943D46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董事、副总经理、董事会秘书</w:t>
            </w:r>
          </w:p>
        </w:tc>
        <w:tc>
          <w:tcPr>
            <w:tcW w:w="1013" w:type="dxa"/>
            <w:tcBorders>
              <w:top w:val="single" w:sz="2" w:space="0" w:color="auto"/>
              <w:left w:val="single" w:sz="2" w:space="0" w:color="auto"/>
              <w:bottom w:val="single" w:sz="2" w:space="0" w:color="auto"/>
              <w:right w:val="single" w:sz="2" w:space="0" w:color="auto"/>
            </w:tcBorders>
            <w:vAlign w:val="center"/>
          </w:tcPr>
          <w:p w14:paraId="2A380A7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42F781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21.92</w:t>
            </w:r>
          </w:p>
        </w:tc>
        <w:tc>
          <w:tcPr>
            <w:tcW w:w="1377" w:type="dxa"/>
            <w:tcBorders>
              <w:top w:val="single" w:sz="2" w:space="0" w:color="auto"/>
              <w:left w:val="single" w:sz="2" w:space="0" w:color="auto"/>
              <w:bottom w:val="single" w:sz="2" w:space="0" w:color="auto"/>
              <w:right w:val="single" w:sz="2" w:space="0" w:color="auto"/>
            </w:tcBorders>
            <w:vAlign w:val="center"/>
          </w:tcPr>
          <w:p w14:paraId="2C3E631D"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0F40FE35"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6D359C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祝波</w:t>
            </w:r>
          </w:p>
        </w:tc>
        <w:tc>
          <w:tcPr>
            <w:tcW w:w="750" w:type="dxa"/>
            <w:tcBorders>
              <w:top w:val="single" w:sz="2" w:space="0" w:color="auto"/>
              <w:left w:val="single" w:sz="2" w:space="0" w:color="auto"/>
              <w:bottom w:val="single" w:sz="2" w:space="0" w:color="auto"/>
              <w:right w:val="single" w:sz="2" w:space="0" w:color="auto"/>
            </w:tcBorders>
            <w:vAlign w:val="center"/>
          </w:tcPr>
          <w:p w14:paraId="1529157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708" w:type="dxa"/>
            <w:tcBorders>
              <w:top w:val="single" w:sz="2" w:space="0" w:color="auto"/>
              <w:left w:val="single" w:sz="2" w:space="0" w:color="auto"/>
              <w:bottom w:val="single" w:sz="2" w:space="0" w:color="auto"/>
              <w:right w:val="single" w:sz="2" w:space="0" w:color="auto"/>
            </w:tcBorders>
            <w:vAlign w:val="center"/>
          </w:tcPr>
          <w:p w14:paraId="64296A1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43</w:t>
            </w:r>
          </w:p>
        </w:tc>
        <w:tc>
          <w:tcPr>
            <w:tcW w:w="2673" w:type="dxa"/>
            <w:tcBorders>
              <w:top w:val="single" w:sz="2" w:space="0" w:color="auto"/>
              <w:left w:val="single" w:sz="2" w:space="0" w:color="auto"/>
              <w:bottom w:val="single" w:sz="2" w:space="0" w:color="auto"/>
              <w:right w:val="single" w:sz="2" w:space="0" w:color="auto"/>
            </w:tcBorders>
            <w:vAlign w:val="center"/>
          </w:tcPr>
          <w:p w14:paraId="23D7075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w:t>
            </w:r>
          </w:p>
        </w:tc>
        <w:tc>
          <w:tcPr>
            <w:tcW w:w="1013" w:type="dxa"/>
            <w:tcBorders>
              <w:top w:val="single" w:sz="2" w:space="0" w:color="auto"/>
              <w:left w:val="single" w:sz="2" w:space="0" w:color="auto"/>
              <w:bottom w:val="single" w:sz="2" w:space="0" w:color="auto"/>
              <w:right w:val="single" w:sz="2" w:space="0" w:color="auto"/>
            </w:tcBorders>
            <w:vAlign w:val="center"/>
          </w:tcPr>
          <w:p w14:paraId="0B413D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60D092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3C89D86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1A63BA7D"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B64EF9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周婧</w:t>
            </w:r>
          </w:p>
        </w:tc>
        <w:tc>
          <w:tcPr>
            <w:tcW w:w="750" w:type="dxa"/>
            <w:tcBorders>
              <w:top w:val="single" w:sz="2" w:space="0" w:color="auto"/>
              <w:left w:val="single" w:sz="2" w:space="0" w:color="auto"/>
              <w:bottom w:val="single" w:sz="2" w:space="0" w:color="auto"/>
              <w:right w:val="single" w:sz="2" w:space="0" w:color="auto"/>
            </w:tcBorders>
            <w:vAlign w:val="center"/>
          </w:tcPr>
          <w:p w14:paraId="7A48B13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708" w:type="dxa"/>
            <w:tcBorders>
              <w:top w:val="single" w:sz="2" w:space="0" w:color="auto"/>
              <w:left w:val="single" w:sz="2" w:space="0" w:color="auto"/>
              <w:bottom w:val="single" w:sz="2" w:space="0" w:color="auto"/>
              <w:right w:val="single" w:sz="2" w:space="0" w:color="auto"/>
            </w:tcBorders>
            <w:vAlign w:val="center"/>
          </w:tcPr>
          <w:p w14:paraId="51C2CB9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41</w:t>
            </w:r>
          </w:p>
        </w:tc>
        <w:tc>
          <w:tcPr>
            <w:tcW w:w="2673" w:type="dxa"/>
            <w:tcBorders>
              <w:top w:val="single" w:sz="2" w:space="0" w:color="auto"/>
              <w:left w:val="single" w:sz="2" w:space="0" w:color="auto"/>
              <w:bottom w:val="single" w:sz="2" w:space="0" w:color="auto"/>
              <w:right w:val="single" w:sz="2" w:space="0" w:color="auto"/>
            </w:tcBorders>
            <w:vAlign w:val="center"/>
          </w:tcPr>
          <w:p w14:paraId="3909469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独立董事</w:t>
            </w:r>
          </w:p>
        </w:tc>
        <w:tc>
          <w:tcPr>
            <w:tcW w:w="1013" w:type="dxa"/>
            <w:tcBorders>
              <w:top w:val="single" w:sz="2" w:space="0" w:color="auto"/>
              <w:left w:val="single" w:sz="2" w:space="0" w:color="auto"/>
              <w:bottom w:val="single" w:sz="2" w:space="0" w:color="auto"/>
              <w:right w:val="single" w:sz="2" w:space="0" w:color="auto"/>
            </w:tcBorders>
            <w:vAlign w:val="center"/>
          </w:tcPr>
          <w:p w14:paraId="33E59D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0AC868D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w:t>
            </w:r>
          </w:p>
        </w:tc>
        <w:tc>
          <w:tcPr>
            <w:tcW w:w="1377" w:type="dxa"/>
            <w:tcBorders>
              <w:top w:val="single" w:sz="2" w:space="0" w:color="auto"/>
              <w:left w:val="single" w:sz="2" w:space="0" w:color="auto"/>
              <w:bottom w:val="single" w:sz="2" w:space="0" w:color="auto"/>
              <w:right w:val="single" w:sz="2" w:space="0" w:color="auto"/>
            </w:tcBorders>
            <w:vAlign w:val="center"/>
          </w:tcPr>
          <w:p w14:paraId="456A4EF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C500CDD"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7EF60AB3"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杨帆</w:t>
            </w:r>
          </w:p>
        </w:tc>
        <w:tc>
          <w:tcPr>
            <w:tcW w:w="750" w:type="dxa"/>
            <w:tcBorders>
              <w:top w:val="single" w:sz="2" w:space="0" w:color="auto"/>
              <w:left w:val="single" w:sz="2" w:space="0" w:color="auto"/>
              <w:bottom w:val="single" w:sz="2" w:space="0" w:color="auto"/>
              <w:right w:val="single" w:sz="2" w:space="0" w:color="auto"/>
            </w:tcBorders>
            <w:vAlign w:val="center"/>
          </w:tcPr>
          <w:p w14:paraId="4005653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708" w:type="dxa"/>
            <w:tcBorders>
              <w:top w:val="single" w:sz="2" w:space="0" w:color="auto"/>
              <w:left w:val="single" w:sz="2" w:space="0" w:color="auto"/>
              <w:bottom w:val="single" w:sz="2" w:space="0" w:color="auto"/>
              <w:right w:val="single" w:sz="2" w:space="0" w:color="auto"/>
            </w:tcBorders>
            <w:vAlign w:val="center"/>
          </w:tcPr>
          <w:p w14:paraId="2A0805D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58</w:t>
            </w:r>
          </w:p>
        </w:tc>
        <w:tc>
          <w:tcPr>
            <w:tcW w:w="2673" w:type="dxa"/>
            <w:tcBorders>
              <w:top w:val="single" w:sz="2" w:space="0" w:color="auto"/>
              <w:left w:val="single" w:sz="2" w:space="0" w:color="auto"/>
              <w:bottom w:val="single" w:sz="2" w:space="0" w:color="auto"/>
              <w:right w:val="single" w:sz="2" w:space="0" w:color="auto"/>
            </w:tcBorders>
            <w:vAlign w:val="center"/>
          </w:tcPr>
          <w:p w14:paraId="10D5827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独立董事</w:t>
            </w:r>
          </w:p>
        </w:tc>
        <w:tc>
          <w:tcPr>
            <w:tcW w:w="1013" w:type="dxa"/>
            <w:tcBorders>
              <w:top w:val="single" w:sz="2" w:space="0" w:color="auto"/>
              <w:left w:val="single" w:sz="2" w:space="0" w:color="auto"/>
              <w:bottom w:val="single" w:sz="2" w:space="0" w:color="auto"/>
              <w:right w:val="single" w:sz="2" w:space="0" w:color="auto"/>
            </w:tcBorders>
            <w:vAlign w:val="center"/>
          </w:tcPr>
          <w:p w14:paraId="69FAFC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5CAC08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w:t>
            </w:r>
          </w:p>
        </w:tc>
        <w:tc>
          <w:tcPr>
            <w:tcW w:w="1377" w:type="dxa"/>
            <w:tcBorders>
              <w:top w:val="single" w:sz="2" w:space="0" w:color="auto"/>
              <w:left w:val="single" w:sz="2" w:space="0" w:color="auto"/>
              <w:bottom w:val="single" w:sz="2" w:space="0" w:color="auto"/>
              <w:right w:val="single" w:sz="2" w:space="0" w:color="auto"/>
            </w:tcBorders>
            <w:vAlign w:val="center"/>
          </w:tcPr>
          <w:p w14:paraId="4EBFBA0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7D57410"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60A32D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余茂鑫</w:t>
            </w:r>
          </w:p>
        </w:tc>
        <w:tc>
          <w:tcPr>
            <w:tcW w:w="750" w:type="dxa"/>
            <w:tcBorders>
              <w:top w:val="single" w:sz="2" w:space="0" w:color="auto"/>
              <w:left w:val="single" w:sz="2" w:space="0" w:color="auto"/>
              <w:bottom w:val="single" w:sz="2" w:space="0" w:color="auto"/>
              <w:right w:val="single" w:sz="2" w:space="0" w:color="auto"/>
            </w:tcBorders>
            <w:vAlign w:val="center"/>
          </w:tcPr>
          <w:p w14:paraId="204DDAB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708" w:type="dxa"/>
            <w:tcBorders>
              <w:top w:val="single" w:sz="2" w:space="0" w:color="auto"/>
              <w:left w:val="single" w:sz="2" w:space="0" w:color="auto"/>
              <w:bottom w:val="single" w:sz="2" w:space="0" w:color="auto"/>
              <w:right w:val="single" w:sz="2" w:space="0" w:color="auto"/>
            </w:tcBorders>
            <w:vAlign w:val="center"/>
          </w:tcPr>
          <w:p w14:paraId="65CC928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35</w:t>
            </w:r>
          </w:p>
        </w:tc>
        <w:tc>
          <w:tcPr>
            <w:tcW w:w="2673" w:type="dxa"/>
            <w:tcBorders>
              <w:top w:val="single" w:sz="2" w:space="0" w:color="auto"/>
              <w:left w:val="single" w:sz="2" w:space="0" w:color="auto"/>
              <w:bottom w:val="single" w:sz="2" w:space="0" w:color="auto"/>
              <w:right w:val="single" w:sz="2" w:space="0" w:color="auto"/>
            </w:tcBorders>
            <w:vAlign w:val="center"/>
          </w:tcPr>
          <w:p w14:paraId="741EC63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独立董事</w:t>
            </w:r>
          </w:p>
        </w:tc>
        <w:tc>
          <w:tcPr>
            <w:tcW w:w="1013" w:type="dxa"/>
            <w:tcBorders>
              <w:top w:val="single" w:sz="2" w:space="0" w:color="auto"/>
              <w:left w:val="single" w:sz="2" w:space="0" w:color="auto"/>
              <w:bottom w:val="single" w:sz="2" w:space="0" w:color="auto"/>
              <w:right w:val="single" w:sz="2" w:space="0" w:color="auto"/>
            </w:tcBorders>
            <w:vAlign w:val="center"/>
          </w:tcPr>
          <w:p w14:paraId="5BA654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17174C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w:t>
            </w:r>
          </w:p>
        </w:tc>
        <w:tc>
          <w:tcPr>
            <w:tcW w:w="1377" w:type="dxa"/>
            <w:tcBorders>
              <w:top w:val="single" w:sz="2" w:space="0" w:color="auto"/>
              <w:left w:val="single" w:sz="2" w:space="0" w:color="auto"/>
              <w:bottom w:val="single" w:sz="2" w:space="0" w:color="auto"/>
              <w:right w:val="single" w:sz="2" w:space="0" w:color="auto"/>
            </w:tcBorders>
            <w:vAlign w:val="center"/>
          </w:tcPr>
          <w:p w14:paraId="73D4DAA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31A9EBC5"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2D26E9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周雪琴</w:t>
            </w:r>
          </w:p>
        </w:tc>
        <w:tc>
          <w:tcPr>
            <w:tcW w:w="750" w:type="dxa"/>
            <w:tcBorders>
              <w:top w:val="single" w:sz="2" w:space="0" w:color="auto"/>
              <w:left w:val="single" w:sz="2" w:space="0" w:color="auto"/>
              <w:bottom w:val="single" w:sz="2" w:space="0" w:color="auto"/>
              <w:right w:val="single" w:sz="2" w:space="0" w:color="auto"/>
            </w:tcBorders>
            <w:vAlign w:val="center"/>
          </w:tcPr>
          <w:p w14:paraId="3DE97C7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708" w:type="dxa"/>
            <w:tcBorders>
              <w:top w:val="single" w:sz="2" w:space="0" w:color="auto"/>
              <w:left w:val="single" w:sz="2" w:space="0" w:color="auto"/>
              <w:bottom w:val="single" w:sz="2" w:space="0" w:color="auto"/>
              <w:right w:val="single" w:sz="2" w:space="0" w:color="auto"/>
            </w:tcBorders>
            <w:vAlign w:val="center"/>
          </w:tcPr>
          <w:p w14:paraId="41587A0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43</w:t>
            </w:r>
          </w:p>
        </w:tc>
        <w:tc>
          <w:tcPr>
            <w:tcW w:w="2673" w:type="dxa"/>
            <w:tcBorders>
              <w:top w:val="single" w:sz="2" w:space="0" w:color="auto"/>
              <w:left w:val="single" w:sz="2" w:space="0" w:color="auto"/>
              <w:bottom w:val="single" w:sz="2" w:space="0" w:color="auto"/>
              <w:right w:val="single" w:sz="2" w:space="0" w:color="auto"/>
            </w:tcBorders>
            <w:vAlign w:val="center"/>
          </w:tcPr>
          <w:p w14:paraId="7A4E637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监事会主席</w:t>
            </w:r>
          </w:p>
        </w:tc>
        <w:tc>
          <w:tcPr>
            <w:tcW w:w="1013" w:type="dxa"/>
            <w:tcBorders>
              <w:top w:val="single" w:sz="2" w:space="0" w:color="auto"/>
              <w:left w:val="single" w:sz="2" w:space="0" w:color="auto"/>
              <w:bottom w:val="single" w:sz="2" w:space="0" w:color="auto"/>
              <w:right w:val="single" w:sz="2" w:space="0" w:color="auto"/>
            </w:tcBorders>
            <w:vAlign w:val="center"/>
          </w:tcPr>
          <w:p w14:paraId="2C4AAEE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4825030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4EF1E9F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600F5E65"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EC6B723"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张楠</w:t>
            </w:r>
          </w:p>
        </w:tc>
        <w:tc>
          <w:tcPr>
            <w:tcW w:w="750" w:type="dxa"/>
            <w:tcBorders>
              <w:top w:val="single" w:sz="2" w:space="0" w:color="auto"/>
              <w:left w:val="single" w:sz="2" w:space="0" w:color="auto"/>
              <w:bottom w:val="single" w:sz="2" w:space="0" w:color="auto"/>
              <w:right w:val="single" w:sz="2" w:space="0" w:color="auto"/>
            </w:tcBorders>
            <w:vAlign w:val="center"/>
          </w:tcPr>
          <w:p w14:paraId="086C9A0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708" w:type="dxa"/>
            <w:tcBorders>
              <w:top w:val="single" w:sz="2" w:space="0" w:color="auto"/>
              <w:left w:val="single" w:sz="2" w:space="0" w:color="auto"/>
              <w:bottom w:val="single" w:sz="2" w:space="0" w:color="auto"/>
              <w:right w:val="single" w:sz="2" w:space="0" w:color="auto"/>
            </w:tcBorders>
            <w:vAlign w:val="center"/>
          </w:tcPr>
          <w:p w14:paraId="495CB523"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41</w:t>
            </w:r>
          </w:p>
        </w:tc>
        <w:tc>
          <w:tcPr>
            <w:tcW w:w="2673" w:type="dxa"/>
            <w:tcBorders>
              <w:top w:val="single" w:sz="2" w:space="0" w:color="auto"/>
              <w:left w:val="single" w:sz="2" w:space="0" w:color="auto"/>
              <w:bottom w:val="single" w:sz="2" w:space="0" w:color="auto"/>
              <w:right w:val="single" w:sz="2" w:space="0" w:color="auto"/>
            </w:tcBorders>
            <w:vAlign w:val="center"/>
          </w:tcPr>
          <w:p w14:paraId="049DCFF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监事</w:t>
            </w:r>
          </w:p>
        </w:tc>
        <w:tc>
          <w:tcPr>
            <w:tcW w:w="1013" w:type="dxa"/>
            <w:tcBorders>
              <w:top w:val="single" w:sz="2" w:space="0" w:color="auto"/>
              <w:left w:val="single" w:sz="2" w:space="0" w:color="auto"/>
              <w:bottom w:val="single" w:sz="2" w:space="0" w:color="auto"/>
              <w:right w:val="single" w:sz="2" w:space="0" w:color="auto"/>
            </w:tcBorders>
            <w:vAlign w:val="center"/>
          </w:tcPr>
          <w:p w14:paraId="353FFED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731F41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29.89</w:t>
            </w:r>
          </w:p>
        </w:tc>
        <w:tc>
          <w:tcPr>
            <w:tcW w:w="1377" w:type="dxa"/>
            <w:tcBorders>
              <w:top w:val="single" w:sz="2" w:space="0" w:color="auto"/>
              <w:left w:val="single" w:sz="2" w:space="0" w:color="auto"/>
              <w:bottom w:val="single" w:sz="2" w:space="0" w:color="auto"/>
              <w:right w:val="single" w:sz="2" w:space="0" w:color="auto"/>
            </w:tcBorders>
            <w:vAlign w:val="center"/>
          </w:tcPr>
          <w:p w14:paraId="111B516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D9FB677"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8A5317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吴战宗</w:t>
            </w:r>
          </w:p>
        </w:tc>
        <w:tc>
          <w:tcPr>
            <w:tcW w:w="750" w:type="dxa"/>
            <w:tcBorders>
              <w:top w:val="single" w:sz="2" w:space="0" w:color="auto"/>
              <w:left w:val="single" w:sz="2" w:space="0" w:color="auto"/>
              <w:bottom w:val="single" w:sz="2" w:space="0" w:color="auto"/>
              <w:right w:val="single" w:sz="2" w:space="0" w:color="auto"/>
            </w:tcBorders>
            <w:vAlign w:val="center"/>
          </w:tcPr>
          <w:p w14:paraId="0466935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男</w:t>
            </w:r>
          </w:p>
        </w:tc>
        <w:tc>
          <w:tcPr>
            <w:tcW w:w="708" w:type="dxa"/>
            <w:tcBorders>
              <w:top w:val="single" w:sz="2" w:space="0" w:color="auto"/>
              <w:left w:val="single" w:sz="2" w:space="0" w:color="auto"/>
              <w:bottom w:val="single" w:sz="2" w:space="0" w:color="auto"/>
              <w:right w:val="single" w:sz="2" w:space="0" w:color="auto"/>
            </w:tcBorders>
            <w:vAlign w:val="center"/>
          </w:tcPr>
          <w:p w14:paraId="6E2F61E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42</w:t>
            </w:r>
          </w:p>
        </w:tc>
        <w:tc>
          <w:tcPr>
            <w:tcW w:w="2673" w:type="dxa"/>
            <w:tcBorders>
              <w:top w:val="single" w:sz="2" w:space="0" w:color="auto"/>
              <w:left w:val="single" w:sz="2" w:space="0" w:color="auto"/>
              <w:bottom w:val="single" w:sz="2" w:space="0" w:color="auto"/>
              <w:right w:val="single" w:sz="2" w:space="0" w:color="auto"/>
            </w:tcBorders>
            <w:vAlign w:val="center"/>
          </w:tcPr>
          <w:p w14:paraId="2ACB809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职工监事</w:t>
            </w:r>
          </w:p>
        </w:tc>
        <w:tc>
          <w:tcPr>
            <w:tcW w:w="1013" w:type="dxa"/>
            <w:tcBorders>
              <w:top w:val="single" w:sz="2" w:space="0" w:color="auto"/>
              <w:left w:val="single" w:sz="2" w:space="0" w:color="auto"/>
              <w:bottom w:val="single" w:sz="2" w:space="0" w:color="auto"/>
              <w:right w:val="single" w:sz="2" w:space="0" w:color="auto"/>
            </w:tcBorders>
            <w:vAlign w:val="center"/>
          </w:tcPr>
          <w:p w14:paraId="5C11A23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2B89AF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35.89</w:t>
            </w:r>
          </w:p>
        </w:tc>
        <w:tc>
          <w:tcPr>
            <w:tcW w:w="1377" w:type="dxa"/>
            <w:tcBorders>
              <w:top w:val="single" w:sz="2" w:space="0" w:color="auto"/>
              <w:left w:val="single" w:sz="2" w:space="0" w:color="auto"/>
              <w:bottom w:val="single" w:sz="2" w:space="0" w:color="auto"/>
              <w:right w:val="single" w:sz="2" w:space="0" w:color="auto"/>
            </w:tcBorders>
            <w:vAlign w:val="center"/>
          </w:tcPr>
          <w:p w14:paraId="5C11B02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5BE4667D"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327B51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张凌</w:t>
            </w:r>
          </w:p>
        </w:tc>
        <w:tc>
          <w:tcPr>
            <w:tcW w:w="750" w:type="dxa"/>
            <w:tcBorders>
              <w:top w:val="single" w:sz="2" w:space="0" w:color="auto"/>
              <w:left w:val="single" w:sz="2" w:space="0" w:color="auto"/>
              <w:bottom w:val="single" w:sz="2" w:space="0" w:color="auto"/>
              <w:right w:val="single" w:sz="2" w:space="0" w:color="auto"/>
            </w:tcBorders>
            <w:vAlign w:val="center"/>
          </w:tcPr>
          <w:p w14:paraId="055B269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708" w:type="dxa"/>
            <w:tcBorders>
              <w:top w:val="single" w:sz="2" w:space="0" w:color="auto"/>
              <w:left w:val="single" w:sz="2" w:space="0" w:color="auto"/>
              <w:bottom w:val="single" w:sz="2" w:space="0" w:color="auto"/>
              <w:right w:val="single" w:sz="2" w:space="0" w:color="auto"/>
            </w:tcBorders>
            <w:vAlign w:val="center"/>
          </w:tcPr>
          <w:p w14:paraId="14E47CF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47</w:t>
            </w:r>
          </w:p>
        </w:tc>
        <w:tc>
          <w:tcPr>
            <w:tcW w:w="2673" w:type="dxa"/>
            <w:tcBorders>
              <w:top w:val="single" w:sz="2" w:space="0" w:color="auto"/>
              <w:left w:val="single" w:sz="2" w:space="0" w:color="auto"/>
              <w:bottom w:val="single" w:sz="2" w:space="0" w:color="auto"/>
              <w:right w:val="single" w:sz="2" w:space="0" w:color="auto"/>
            </w:tcBorders>
            <w:vAlign w:val="center"/>
          </w:tcPr>
          <w:p w14:paraId="1C9C0C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财务总监</w:t>
            </w:r>
          </w:p>
        </w:tc>
        <w:tc>
          <w:tcPr>
            <w:tcW w:w="1013" w:type="dxa"/>
            <w:tcBorders>
              <w:top w:val="single" w:sz="2" w:space="0" w:color="auto"/>
              <w:left w:val="single" w:sz="2" w:space="0" w:color="auto"/>
              <w:bottom w:val="single" w:sz="2" w:space="0" w:color="auto"/>
              <w:right w:val="single" w:sz="2" w:space="0" w:color="auto"/>
            </w:tcBorders>
            <w:vAlign w:val="center"/>
          </w:tcPr>
          <w:p w14:paraId="2987C25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583664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18.55</w:t>
            </w:r>
          </w:p>
        </w:tc>
        <w:tc>
          <w:tcPr>
            <w:tcW w:w="1377" w:type="dxa"/>
            <w:tcBorders>
              <w:top w:val="single" w:sz="2" w:space="0" w:color="auto"/>
              <w:left w:val="single" w:sz="2" w:space="0" w:color="auto"/>
              <w:bottom w:val="single" w:sz="2" w:space="0" w:color="auto"/>
              <w:right w:val="single" w:sz="2" w:space="0" w:color="auto"/>
            </w:tcBorders>
            <w:vAlign w:val="center"/>
          </w:tcPr>
          <w:p w14:paraId="39BE7D9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7E49916"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43CAD7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刘婧</w:t>
            </w:r>
          </w:p>
        </w:tc>
        <w:tc>
          <w:tcPr>
            <w:tcW w:w="750" w:type="dxa"/>
            <w:tcBorders>
              <w:top w:val="single" w:sz="2" w:space="0" w:color="auto"/>
              <w:left w:val="single" w:sz="2" w:space="0" w:color="auto"/>
              <w:bottom w:val="single" w:sz="2" w:space="0" w:color="auto"/>
              <w:right w:val="single" w:sz="2" w:space="0" w:color="auto"/>
            </w:tcBorders>
            <w:vAlign w:val="center"/>
          </w:tcPr>
          <w:p w14:paraId="06D68E5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708" w:type="dxa"/>
            <w:tcBorders>
              <w:top w:val="single" w:sz="2" w:space="0" w:color="auto"/>
              <w:left w:val="single" w:sz="2" w:space="0" w:color="auto"/>
              <w:bottom w:val="single" w:sz="2" w:space="0" w:color="auto"/>
              <w:right w:val="single" w:sz="2" w:space="0" w:color="auto"/>
            </w:tcBorders>
            <w:vAlign w:val="center"/>
          </w:tcPr>
          <w:p w14:paraId="701F3B4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37</w:t>
            </w:r>
          </w:p>
        </w:tc>
        <w:tc>
          <w:tcPr>
            <w:tcW w:w="2673" w:type="dxa"/>
            <w:tcBorders>
              <w:top w:val="single" w:sz="2" w:space="0" w:color="auto"/>
              <w:left w:val="single" w:sz="2" w:space="0" w:color="auto"/>
              <w:bottom w:val="single" w:sz="2" w:space="0" w:color="auto"/>
              <w:right w:val="single" w:sz="2" w:space="0" w:color="auto"/>
            </w:tcBorders>
            <w:vAlign w:val="center"/>
          </w:tcPr>
          <w:p w14:paraId="7931076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副总经理</w:t>
            </w:r>
          </w:p>
        </w:tc>
        <w:tc>
          <w:tcPr>
            <w:tcW w:w="1013" w:type="dxa"/>
            <w:tcBorders>
              <w:top w:val="single" w:sz="2" w:space="0" w:color="auto"/>
              <w:left w:val="single" w:sz="2" w:space="0" w:color="auto"/>
              <w:bottom w:val="single" w:sz="2" w:space="0" w:color="auto"/>
              <w:right w:val="single" w:sz="2" w:space="0" w:color="auto"/>
            </w:tcBorders>
            <w:vAlign w:val="center"/>
          </w:tcPr>
          <w:p w14:paraId="68F6C02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现任</w:t>
            </w:r>
          </w:p>
        </w:tc>
        <w:tc>
          <w:tcPr>
            <w:tcW w:w="1741" w:type="dxa"/>
            <w:tcBorders>
              <w:top w:val="single" w:sz="2" w:space="0" w:color="auto"/>
              <w:left w:val="single" w:sz="2" w:space="0" w:color="auto"/>
              <w:bottom w:val="single" w:sz="2" w:space="0" w:color="auto"/>
              <w:right w:val="single" w:sz="2" w:space="0" w:color="auto"/>
            </w:tcBorders>
            <w:vAlign w:val="center"/>
          </w:tcPr>
          <w:p w14:paraId="5D35A2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18.55</w:t>
            </w:r>
          </w:p>
        </w:tc>
        <w:tc>
          <w:tcPr>
            <w:tcW w:w="1377" w:type="dxa"/>
            <w:tcBorders>
              <w:top w:val="single" w:sz="2" w:space="0" w:color="auto"/>
              <w:left w:val="single" w:sz="2" w:space="0" w:color="auto"/>
              <w:bottom w:val="single" w:sz="2" w:space="0" w:color="auto"/>
              <w:right w:val="single" w:sz="2" w:space="0" w:color="auto"/>
            </w:tcBorders>
            <w:vAlign w:val="center"/>
          </w:tcPr>
          <w:p w14:paraId="6DABEE5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CDED384"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7D1D47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张玮</w:t>
            </w:r>
          </w:p>
        </w:tc>
        <w:tc>
          <w:tcPr>
            <w:tcW w:w="750" w:type="dxa"/>
            <w:tcBorders>
              <w:top w:val="single" w:sz="2" w:space="0" w:color="auto"/>
              <w:left w:val="single" w:sz="2" w:space="0" w:color="auto"/>
              <w:bottom w:val="single" w:sz="2" w:space="0" w:color="auto"/>
              <w:right w:val="single" w:sz="2" w:space="0" w:color="auto"/>
            </w:tcBorders>
            <w:vAlign w:val="center"/>
          </w:tcPr>
          <w:p w14:paraId="67D062E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女</w:t>
            </w:r>
          </w:p>
        </w:tc>
        <w:tc>
          <w:tcPr>
            <w:tcW w:w="708" w:type="dxa"/>
            <w:tcBorders>
              <w:top w:val="single" w:sz="2" w:space="0" w:color="auto"/>
              <w:left w:val="single" w:sz="2" w:space="0" w:color="auto"/>
              <w:bottom w:val="single" w:sz="2" w:space="0" w:color="auto"/>
              <w:right w:val="single" w:sz="2" w:space="0" w:color="auto"/>
            </w:tcBorders>
            <w:vAlign w:val="center"/>
          </w:tcPr>
          <w:p w14:paraId="406ED59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41</w:t>
            </w:r>
          </w:p>
        </w:tc>
        <w:tc>
          <w:tcPr>
            <w:tcW w:w="2673" w:type="dxa"/>
            <w:tcBorders>
              <w:top w:val="single" w:sz="2" w:space="0" w:color="auto"/>
              <w:left w:val="single" w:sz="2" w:space="0" w:color="auto"/>
              <w:bottom w:val="single" w:sz="2" w:space="0" w:color="auto"/>
              <w:right w:val="single" w:sz="2" w:space="0" w:color="auto"/>
            </w:tcBorders>
            <w:vAlign w:val="center"/>
          </w:tcPr>
          <w:p w14:paraId="7704D8F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原监事会主席</w:t>
            </w:r>
          </w:p>
        </w:tc>
        <w:tc>
          <w:tcPr>
            <w:tcW w:w="1013" w:type="dxa"/>
            <w:tcBorders>
              <w:top w:val="single" w:sz="2" w:space="0" w:color="auto"/>
              <w:left w:val="single" w:sz="2" w:space="0" w:color="auto"/>
              <w:bottom w:val="single" w:sz="2" w:space="0" w:color="auto"/>
              <w:right w:val="single" w:sz="2" w:space="0" w:color="auto"/>
            </w:tcBorders>
            <w:vAlign w:val="center"/>
          </w:tcPr>
          <w:p w14:paraId="100591F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离任</w:t>
            </w:r>
          </w:p>
        </w:tc>
        <w:tc>
          <w:tcPr>
            <w:tcW w:w="1741" w:type="dxa"/>
            <w:tcBorders>
              <w:top w:val="single" w:sz="2" w:space="0" w:color="auto"/>
              <w:left w:val="single" w:sz="2" w:space="0" w:color="auto"/>
              <w:bottom w:val="single" w:sz="2" w:space="0" w:color="auto"/>
              <w:right w:val="single" w:sz="2" w:space="0" w:color="auto"/>
            </w:tcBorders>
            <w:vAlign w:val="center"/>
          </w:tcPr>
          <w:p w14:paraId="40BE91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69E90E8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145FEE83" w14:textId="77777777" w:rsidTr="00A820CB">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B65489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750" w:type="dxa"/>
            <w:tcBorders>
              <w:top w:val="single" w:sz="2" w:space="0" w:color="auto"/>
              <w:left w:val="single" w:sz="2" w:space="0" w:color="auto"/>
              <w:bottom w:val="single" w:sz="2" w:space="0" w:color="auto"/>
              <w:right w:val="single" w:sz="2" w:space="0" w:color="auto"/>
            </w:tcBorders>
            <w:shd w:val="clear" w:color="auto" w:fill="D3D3D3"/>
            <w:vAlign w:val="center"/>
          </w:tcPr>
          <w:p w14:paraId="779DC5C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7ABA55A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2673" w:type="dxa"/>
            <w:tcBorders>
              <w:top w:val="single" w:sz="2" w:space="0" w:color="auto"/>
              <w:left w:val="single" w:sz="2" w:space="0" w:color="auto"/>
              <w:bottom w:val="single" w:sz="2" w:space="0" w:color="auto"/>
              <w:right w:val="single" w:sz="2" w:space="0" w:color="auto"/>
            </w:tcBorders>
            <w:shd w:val="clear" w:color="auto" w:fill="D3D3D3"/>
            <w:vAlign w:val="center"/>
          </w:tcPr>
          <w:p w14:paraId="59752EE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013" w:type="dxa"/>
            <w:tcBorders>
              <w:top w:val="single" w:sz="2" w:space="0" w:color="auto"/>
              <w:left w:val="single" w:sz="2" w:space="0" w:color="auto"/>
              <w:bottom w:val="single" w:sz="2" w:space="0" w:color="auto"/>
              <w:right w:val="single" w:sz="2" w:space="0" w:color="auto"/>
            </w:tcBorders>
            <w:shd w:val="clear" w:color="auto" w:fill="D3D3D3"/>
            <w:vAlign w:val="center"/>
          </w:tcPr>
          <w:p w14:paraId="7F952D2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741" w:type="dxa"/>
            <w:tcBorders>
              <w:top w:val="single" w:sz="2" w:space="0" w:color="auto"/>
              <w:left w:val="single" w:sz="2" w:space="0" w:color="auto"/>
              <w:bottom w:val="single" w:sz="2" w:space="0" w:color="auto"/>
              <w:right w:val="single" w:sz="2" w:space="0" w:color="auto"/>
            </w:tcBorders>
            <w:vAlign w:val="center"/>
          </w:tcPr>
          <w:p w14:paraId="18F23E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208.35</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048653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bl>
    <w:p w14:paraId="3F4DD0E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其他情况说明</w:t>
      </w:r>
    </w:p>
    <w:p w14:paraId="275452C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8F7CDB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67" w:name="_Toc988956"/>
      <w:r w:rsidRPr="005B5EC1">
        <w:rPr>
          <w:rFonts w:ascii="Times New Roman" w:eastAsia="宋体" w:hAnsi="Times New Roman" w:cs="Times New Roman"/>
          <w:b/>
          <w:bCs/>
          <w:sz w:val="24"/>
          <w:szCs w:val="24"/>
        </w:rPr>
        <w:t>六、报告期内董事履行职责的情况</w:t>
      </w:r>
      <w:bookmarkEnd w:id="67"/>
    </w:p>
    <w:p w14:paraId="059AEAC0" w14:textId="77777777" w:rsidR="00E32FE0" w:rsidRPr="005B5EC1" w:rsidRDefault="00000000">
      <w:pPr>
        <w:pStyle w:val="3"/>
        <w:spacing w:line="280" w:lineRule="exact"/>
        <w:jc w:val="left"/>
        <w:rPr>
          <w:rFonts w:ascii="Times New Roman" w:hAnsi="Times New Roman" w:cs="Times New Roman"/>
          <w:b/>
          <w:bCs/>
        </w:rPr>
      </w:pPr>
      <w:bookmarkStart w:id="68" w:name="_Toc988957"/>
      <w:r w:rsidRPr="005B5EC1">
        <w:rPr>
          <w:rFonts w:ascii="Times New Roman" w:hAnsi="Times New Roman" w:cs="Times New Roman"/>
          <w:b/>
          <w:bCs/>
        </w:rPr>
        <w:t>1</w:t>
      </w:r>
      <w:r w:rsidRPr="005B5EC1">
        <w:rPr>
          <w:rFonts w:ascii="Times New Roman" w:hAnsi="Times New Roman" w:cs="Times New Roman"/>
          <w:b/>
          <w:bCs/>
        </w:rPr>
        <w:t>、本报告期董事会情况</w:t>
      </w:r>
      <w:bookmarkEnd w:id="68"/>
    </w:p>
    <w:tbl>
      <w:tblPr>
        <w:tblW w:w="10065" w:type="dxa"/>
        <w:tblInd w:w="-8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2552"/>
        <w:gridCol w:w="1701"/>
        <w:gridCol w:w="1701"/>
        <w:gridCol w:w="4111"/>
      </w:tblGrid>
      <w:tr w:rsidR="00E32FE0" w:rsidRPr="005B5EC1" w14:paraId="7587B637" w14:textId="77777777" w:rsidTr="00A820CB">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232C8D5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会议届次</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7F37D27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召开日期</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1B9138F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披露日期</w:t>
            </w:r>
          </w:p>
        </w:tc>
        <w:tc>
          <w:tcPr>
            <w:tcW w:w="4111" w:type="dxa"/>
            <w:tcBorders>
              <w:top w:val="single" w:sz="2" w:space="0" w:color="auto"/>
              <w:left w:val="single" w:sz="2" w:space="0" w:color="auto"/>
              <w:bottom w:val="single" w:sz="2" w:space="0" w:color="auto"/>
              <w:right w:val="single" w:sz="2" w:space="0" w:color="auto"/>
            </w:tcBorders>
            <w:shd w:val="clear" w:color="auto" w:fill="D3D3D3"/>
            <w:vAlign w:val="center"/>
          </w:tcPr>
          <w:p w14:paraId="2D42C4E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会议决议</w:t>
            </w:r>
          </w:p>
        </w:tc>
      </w:tr>
      <w:tr w:rsidR="00E32FE0" w:rsidRPr="005B5EC1" w14:paraId="376DB54B" w14:textId="77777777" w:rsidTr="00A820CB">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72664AF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第五届董事会第二十次会议</w:t>
            </w:r>
          </w:p>
        </w:tc>
        <w:tc>
          <w:tcPr>
            <w:tcW w:w="1701" w:type="dxa"/>
            <w:tcBorders>
              <w:top w:val="single" w:sz="2" w:space="0" w:color="auto"/>
              <w:left w:val="single" w:sz="2" w:space="0" w:color="auto"/>
              <w:bottom w:val="single" w:sz="2" w:space="0" w:color="auto"/>
              <w:right w:val="single" w:sz="2" w:space="0" w:color="auto"/>
            </w:tcBorders>
            <w:vAlign w:val="center"/>
          </w:tcPr>
          <w:p w14:paraId="595626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59125DD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16</w:t>
            </w:r>
            <w:r w:rsidRPr="005B5EC1">
              <w:rPr>
                <w:rFonts w:ascii="Times New Roman" w:eastAsia="宋体" w:hAnsi="Times New Roman" w:cs="Times New Roman"/>
                <w:sz w:val="18"/>
                <w:szCs w:val="18"/>
              </w:rPr>
              <w:t>日</w:t>
            </w:r>
          </w:p>
        </w:tc>
        <w:tc>
          <w:tcPr>
            <w:tcW w:w="4111" w:type="dxa"/>
            <w:tcBorders>
              <w:top w:val="single" w:sz="2" w:space="0" w:color="auto"/>
              <w:left w:val="single" w:sz="2" w:space="0" w:color="auto"/>
              <w:bottom w:val="single" w:sz="2" w:space="0" w:color="auto"/>
              <w:right w:val="single" w:sz="2" w:space="0" w:color="auto"/>
            </w:tcBorders>
            <w:vAlign w:val="center"/>
          </w:tcPr>
          <w:p w14:paraId="30A7FB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详见巨潮资讯网（</w:t>
            </w:r>
            <w:r w:rsidRPr="005B5EC1">
              <w:rPr>
                <w:rFonts w:ascii="Times New Roman" w:eastAsia="宋体" w:hAnsi="Times New Roman" w:cs="Times New Roman"/>
                <w:sz w:val="18"/>
                <w:szCs w:val="18"/>
              </w:rPr>
              <w:t>http://www.cninfo.com.cn</w:t>
            </w:r>
            <w:r w:rsidRPr="005B5EC1">
              <w:rPr>
                <w:rFonts w:ascii="Times New Roman" w:eastAsia="宋体" w:hAnsi="Times New Roman" w:cs="Times New Roman"/>
                <w:sz w:val="18"/>
                <w:szCs w:val="18"/>
              </w:rPr>
              <w:t>）《第五届董事会第二十次会议公告》（</w:t>
            </w:r>
            <w:r w:rsidRPr="005B5EC1">
              <w:rPr>
                <w:rFonts w:ascii="Times New Roman" w:eastAsia="宋体" w:hAnsi="Times New Roman" w:cs="Times New Roman"/>
                <w:sz w:val="18"/>
                <w:szCs w:val="18"/>
              </w:rPr>
              <w:t>2024-009</w:t>
            </w:r>
            <w:r w:rsidRPr="005B5EC1">
              <w:rPr>
                <w:rFonts w:ascii="Times New Roman" w:eastAsia="宋体" w:hAnsi="Times New Roman" w:cs="Times New Roman"/>
                <w:sz w:val="18"/>
                <w:szCs w:val="18"/>
              </w:rPr>
              <w:t>）</w:t>
            </w:r>
          </w:p>
        </w:tc>
      </w:tr>
      <w:tr w:rsidR="00E32FE0" w:rsidRPr="005B5EC1" w14:paraId="0D0D1D01" w14:textId="77777777" w:rsidTr="00A820CB">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06D0DB9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第五届董事会第二十一次会议</w:t>
            </w:r>
          </w:p>
        </w:tc>
        <w:tc>
          <w:tcPr>
            <w:tcW w:w="1701" w:type="dxa"/>
            <w:tcBorders>
              <w:top w:val="single" w:sz="2" w:space="0" w:color="auto"/>
              <w:left w:val="single" w:sz="2" w:space="0" w:color="auto"/>
              <w:bottom w:val="single" w:sz="2" w:space="0" w:color="auto"/>
              <w:right w:val="single" w:sz="2" w:space="0" w:color="auto"/>
            </w:tcBorders>
            <w:vAlign w:val="center"/>
          </w:tcPr>
          <w:p w14:paraId="1585AF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44ADE5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日</w:t>
            </w:r>
          </w:p>
        </w:tc>
        <w:tc>
          <w:tcPr>
            <w:tcW w:w="4111" w:type="dxa"/>
            <w:tcBorders>
              <w:top w:val="single" w:sz="2" w:space="0" w:color="auto"/>
              <w:left w:val="single" w:sz="2" w:space="0" w:color="auto"/>
              <w:bottom w:val="single" w:sz="2" w:space="0" w:color="auto"/>
              <w:right w:val="single" w:sz="2" w:space="0" w:color="auto"/>
            </w:tcBorders>
            <w:vAlign w:val="center"/>
          </w:tcPr>
          <w:p w14:paraId="5E375D8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详见巨潮资讯网（</w:t>
            </w:r>
            <w:r w:rsidRPr="005B5EC1">
              <w:rPr>
                <w:rFonts w:ascii="Times New Roman" w:eastAsia="宋体" w:hAnsi="Times New Roman" w:cs="Times New Roman"/>
                <w:sz w:val="18"/>
                <w:szCs w:val="18"/>
              </w:rPr>
              <w:t>http://www.cninfo.com.cn</w:t>
            </w:r>
            <w:r w:rsidRPr="005B5EC1">
              <w:rPr>
                <w:rFonts w:ascii="Times New Roman" w:eastAsia="宋体" w:hAnsi="Times New Roman" w:cs="Times New Roman"/>
                <w:sz w:val="18"/>
                <w:szCs w:val="18"/>
              </w:rPr>
              <w:t>）《第五届董事会第二十一次会议公告》（</w:t>
            </w:r>
            <w:r w:rsidRPr="005B5EC1">
              <w:rPr>
                <w:rFonts w:ascii="Times New Roman" w:eastAsia="宋体" w:hAnsi="Times New Roman" w:cs="Times New Roman"/>
                <w:sz w:val="18"/>
                <w:szCs w:val="18"/>
              </w:rPr>
              <w:t>2024-025</w:t>
            </w:r>
            <w:r w:rsidRPr="005B5EC1">
              <w:rPr>
                <w:rFonts w:ascii="Times New Roman" w:eastAsia="宋体" w:hAnsi="Times New Roman" w:cs="Times New Roman"/>
                <w:sz w:val="18"/>
                <w:szCs w:val="18"/>
              </w:rPr>
              <w:t>）</w:t>
            </w:r>
          </w:p>
        </w:tc>
      </w:tr>
      <w:tr w:rsidR="00E32FE0" w:rsidRPr="005B5EC1" w14:paraId="573171C3" w14:textId="77777777" w:rsidTr="00A820CB">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4B1E71F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第五届董事会第二十二次会议</w:t>
            </w:r>
          </w:p>
        </w:tc>
        <w:tc>
          <w:tcPr>
            <w:tcW w:w="1701" w:type="dxa"/>
            <w:tcBorders>
              <w:top w:val="single" w:sz="2" w:space="0" w:color="auto"/>
              <w:left w:val="single" w:sz="2" w:space="0" w:color="auto"/>
              <w:bottom w:val="single" w:sz="2" w:space="0" w:color="auto"/>
              <w:right w:val="single" w:sz="2" w:space="0" w:color="auto"/>
            </w:tcBorders>
            <w:vAlign w:val="center"/>
          </w:tcPr>
          <w:p w14:paraId="6A0749A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34A1709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16</w:t>
            </w:r>
            <w:r w:rsidRPr="005B5EC1">
              <w:rPr>
                <w:rFonts w:ascii="Times New Roman" w:eastAsia="宋体" w:hAnsi="Times New Roman" w:cs="Times New Roman"/>
                <w:sz w:val="18"/>
                <w:szCs w:val="18"/>
              </w:rPr>
              <w:t>日</w:t>
            </w:r>
          </w:p>
        </w:tc>
        <w:tc>
          <w:tcPr>
            <w:tcW w:w="4111" w:type="dxa"/>
            <w:tcBorders>
              <w:top w:val="single" w:sz="2" w:space="0" w:color="auto"/>
              <w:left w:val="single" w:sz="2" w:space="0" w:color="auto"/>
              <w:bottom w:val="single" w:sz="2" w:space="0" w:color="auto"/>
              <w:right w:val="single" w:sz="2" w:space="0" w:color="auto"/>
            </w:tcBorders>
            <w:vAlign w:val="center"/>
          </w:tcPr>
          <w:p w14:paraId="30696AC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详见巨潮资讯网（</w:t>
            </w:r>
            <w:r w:rsidRPr="005B5EC1">
              <w:rPr>
                <w:rFonts w:ascii="Times New Roman" w:eastAsia="宋体" w:hAnsi="Times New Roman" w:cs="Times New Roman"/>
                <w:sz w:val="18"/>
                <w:szCs w:val="18"/>
              </w:rPr>
              <w:t>http://www.cninfo.com.cn</w:t>
            </w:r>
            <w:r w:rsidRPr="005B5EC1">
              <w:rPr>
                <w:rFonts w:ascii="Times New Roman" w:eastAsia="宋体" w:hAnsi="Times New Roman" w:cs="Times New Roman"/>
                <w:sz w:val="18"/>
                <w:szCs w:val="18"/>
              </w:rPr>
              <w:t>）《第五届董事会第二十二次会议公告》（</w:t>
            </w:r>
            <w:r w:rsidRPr="005B5EC1">
              <w:rPr>
                <w:rFonts w:ascii="Times New Roman" w:eastAsia="宋体" w:hAnsi="Times New Roman" w:cs="Times New Roman"/>
                <w:sz w:val="18"/>
                <w:szCs w:val="18"/>
              </w:rPr>
              <w:t>2024-038</w:t>
            </w:r>
            <w:r w:rsidRPr="005B5EC1">
              <w:rPr>
                <w:rFonts w:ascii="Times New Roman" w:eastAsia="宋体" w:hAnsi="Times New Roman" w:cs="Times New Roman"/>
                <w:sz w:val="18"/>
                <w:szCs w:val="18"/>
              </w:rPr>
              <w:t>）</w:t>
            </w:r>
          </w:p>
        </w:tc>
      </w:tr>
      <w:tr w:rsidR="00E32FE0" w:rsidRPr="005B5EC1" w14:paraId="71965781" w14:textId="77777777" w:rsidTr="00A820CB">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1EE6252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第五届董事会第二十三次会议</w:t>
            </w:r>
          </w:p>
        </w:tc>
        <w:tc>
          <w:tcPr>
            <w:tcW w:w="1701" w:type="dxa"/>
            <w:tcBorders>
              <w:top w:val="single" w:sz="2" w:space="0" w:color="auto"/>
              <w:left w:val="single" w:sz="2" w:space="0" w:color="auto"/>
              <w:bottom w:val="single" w:sz="2" w:space="0" w:color="auto"/>
              <w:right w:val="single" w:sz="2" w:space="0" w:color="auto"/>
            </w:tcBorders>
            <w:vAlign w:val="center"/>
          </w:tcPr>
          <w:p w14:paraId="7E2BFE7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22</w:t>
            </w:r>
            <w:r w:rsidRPr="005B5EC1">
              <w:rPr>
                <w:rFonts w:ascii="Times New Roman" w:eastAsia="宋体" w:hAnsi="Times New Roman" w:cs="Times New Roman"/>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78CD14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4111" w:type="dxa"/>
            <w:tcBorders>
              <w:top w:val="single" w:sz="2" w:space="0" w:color="auto"/>
              <w:left w:val="single" w:sz="2" w:space="0" w:color="auto"/>
              <w:bottom w:val="single" w:sz="2" w:space="0" w:color="auto"/>
              <w:right w:val="single" w:sz="2" w:space="0" w:color="auto"/>
            </w:tcBorders>
            <w:vAlign w:val="center"/>
          </w:tcPr>
          <w:p w14:paraId="6E98A8F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详见巨潮资讯网（</w:t>
            </w:r>
            <w:r w:rsidRPr="005B5EC1">
              <w:rPr>
                <w:rFonts w:ascii="Times New Roman" w:eastAsia="宋体" w:hAnsi="Times New Roman" w:cs="Times New Roman"/>
                <w:sz w:val="18"/>
                <w:szCs w:val="18"/>
              </w:rPr>
              <w:t>http://www.cninfo.com.cn</w:t>
            </w:r>
            <w:r w:rsidRPr="005B5EC1">
              <w:rPr>
                <w:rFonts w:ascii="Times New Roman" w:eastAsia="宋体" w:hAnsi="Times New Roman" w:cs="Times New Roman"/>
                <w:sz w:val="18"/>
                <w:szCs w:val="18"/>
              </w:rPr>
              <w:t>）《第五届董事会第二十三次会议公告》（</w:t>
            </w:r>
            <w:r w:rsidRPr="005B5EC1">
              <w:rPr>
                <w:rFonts w:ascii="Times New Roman" w:eastAsia="宋体" w:hAnsi="Times New Roman" w:cs="Times New Roman"/>
                <w:sz w:val="18"/>
                <w:szCs w:val="18"/>
              </w:rPr>
              <w:t>2024-043</w:t>
            </w:r>
            <w:r w:rsidRPr="005B5EC1">
              <w:rPr>
                <w:rFonts w:ascii="Times New Roman" w:eastAsia="宋体" w:hAnsi="Times New Roman" w:cs="Times New Roman"/>
                <w:sz w:val="18"/>
                <w:szCs w:val="18"/>
              </w:rPr>
              <w:t>）</w:t>
            </w:r>
          </w:p>
        </w:tc>
      </w:tr>
      <w:tr w:rsidR="00E32FE0" w:rsidRPr="005B5EC1" w14:paraId="466F5622" w14:textId="77777777" w:rsidTr="00A820CB">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2FA7D8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第五届董事会第二十四次会议</w:t>
            </w:r>
          </w:p>
        </w:tc>
        <w:tc>
          <w:tcPr>
            <w:tcW w:w="1701" w:type="dxa"/>
            <w:tcBorders>
              <w:top w:val="single" w:sz="2" w:space="0" w:color="auto"/>
              <w:left w:val="single" w:sz="2" w:space="0" w:color="auto"/>
              <w:bottom w:val="single" w:sz="2" w:space="0" w:color="auto"/>
              <w:right w:val="single" w:sz="2" w:space="0" w:color="auto"/>
            </w:tcBorders>
            <w:vAlign w:val="center"/>
          </w:tcPr>
          <w:p w14:paraId="553C35C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29</w:t>
            </w:r>
            <w:r w:rsidRPr="005B5EC1">
              <w:rPr>
                <w:rFonts w:ascii="Times New Roman" w:eastAsia="宋体" w:hAnsi="Times New Roman" w:cs="Times New Roman"/>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01E710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4111" w:type="dxa"/>
            <w:tcBorders>
              <w:top w:val="single" w:sz="2" w:space="0" w:color="auto"/>
              <w:left w:val="single" w:sz="2" w:space="0" w:color="auto"/>
              <w:bottom w:val="single" w:sz="2" w:space="0" w:color="auto"/>
              <w:right w:val="single" w:sz="2" w:space="0" w:color="auto"/>
            </w:tcBorders>
            <w:vAlign w:val="center"/>
          </w:tcPr>
          <w:p w14:paraId="187B1F6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详见巨潮资讯网（</w:t>
            </w:r>
            <w:r w:rsidRPr="005B5EC1">
              <w:rPr>
                <w:rFonts w:ascii="Times New Roman" w:eastAsia="宋体" w:hAnsi="Times New Roman" w:cs="Times New Roman"/>
                <w:sz w:val="18"/>
                <w:szCs w:val="18"/>
              </w:rPr>
              <w:t>http://www.cninfo.com.cn</w:t>
            </w:r>
            <w:r w:rsidRPr="005B5EC1">
              <w:rPr>
                <w:rFonts w:ascii="Times New Roman" w:eastAsia="宋体" w:hAnsi="Times New Roman" w:cs="Times New Roman"/>
                <w:sz w:val="18"/>
                <w:szCs w:val="18"/>
              </w:rPr>
              <w:t>）《第五届董事会第二十四次会议公告》（</w:t>
            </w:r>
            <w:r w:rsidRPr="005B5EC1">
              <w:rPr>
                <w:rFonts w:ascii="Times New Roman" w:eastAsia="宋体" w:hAnsi="Times New Roman" w:cs="Times New Roman"/>
                <w:sz w:val="18"/>
                <w:szCs w:val="18"/>
              </w:rPr>
              <w:t>2024-046</w:t>
            </w:r>
            <w:r w:rsidRPr="005B5EC1">
              <w:rPr>
                <w:rFonts w:ascii="Times New Roman" w:eastAsia="宋体" w:hAnsi="Times New Roman" w:cs="Times New Roman"/>
                <w:sz w:val="18"/>
                <w:szCs w:val="18"/>
              </w:rPr>
              <w:t>）</w:t>
            </w:r>
          </w:p>
        </w:tc>
      </w:tr>
      <w:tr w:rsidR="00E32FE0" w:rsidRPr="005B5EC1" w14:paraId="36F0CEA1" w14:textId="77777777" w:rsidTr="00A820CB">
        <w:trPr>
          <w:trHeight w:val="240"/>
        </w:trPr>
        <w:tc>
          <w:tcPr>
            <w:tcW w:w="2552" w:type="dxa"/>
            <w:tcBorders>
              <w:top w:val="single" w:sz="2" w:space="0" w:color="auto"/>
              <w:left w:val="single" w:sz="2" w:space="0" w:color="auto"/>
              <w:bottom w:val="single" w:sz="2" w:space="0" w:color="auto"/>
              <w:right w:val="single" w:sz="2" w:space="0" w:color="auto"/>
            </w:tcBorders>
            <w:vAlign w:val="center"/>
          </w:tcPr>
          <w:p w14:paraId="38481F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第五届董事会第二十五次会议</w:t>
            </w:r>
          </w:p>
        </w:tc>
        <w:tc>
          <w:tcPr>
            <w:tcW w:w="1701" w:type="dxa"/>
            <w:tcBorders>
              <w:top w:val="single" w:sz="2" w:space="0" w:color="auto"/>
              <w:left w:val="single" w:sz="2" w:space="0" w:color="auto"/>
              <w:bottom w:val="single" w:sz="2" w:space="0" w:color="auto"/>
              <w:right w:val="single" w:sz="2" w:space="0" w:color="auto"/>
            </w:tcBorders>
            <w:vAlign w:val="center"/>
          </w:tcPr>
          <w:p w14:paraId="41FDD58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1701" w:type="dxa"/>
            <w:tcBorders>
              <w:top w:val="single" w:sz="2" w:space="0" w:color="auto"/>
              <w:left w:val="single" w:sz="2" w:space="0" w:color="auto"/>
              <w:bottom w:val="single" w:sz="2" w:space="0" w:color="auto"/>
              <w:right w:val="single" w:sz="2" w:space="0" w:color="auto"/>
            </w:tcBorders>
            <w:vAlign w:val="center"/>
          </w:tcPr>
          <w:p w14:paraId="41F5CE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4111" w:type="dxa"/>
            <w:tcBorders>
              <w:top w:val="single" w:sz="2" w:space="0" w:color="auto"/>
              <w:left w:val="single" w:sz="2" w:space="0" w:color="auto"/>
              <w:bottom w:val="single" w:sz="2" w:space="0" w:color="auto"/>
              <w:right w:val="single" w:sz="2" w:space="0" w:color="auto"/>
            </w:tcBorders>
            <w:vAlign w:val="center"/>
          </w:tcPr>
          <w:p w14:paraId="0DEF788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详见巨潮资讯网（</w:t>
            </w:r>
            <w:r w:rsidRPr="005B5EC1">
              <w:rPr>
                <w:rFonts w:ascii="Times New Roman" w:eastAsia="宋体" w:hAnsi="Times New Roman" w:cs="Times New Roman"/>
                <w:sz w:val="18"/>
                <w:szCs w:val="18"/>
              </w:rPr>
              <w:t>http://www.cninfo.com.cn</w:t>
            </w:r>
            <w:r w:rsidRPr="005B5EC1">
              <w:rPr>
                <w:rFonts w:ascii="Times New Roman" w:eastAsia="宋体" w:hAnsi="Times New Roman" w:cs="Times New Roman"/>
                <w:sz w:val="18"/>
                <w:szCs w:val="18"/>
              </w:rPr>
              <w:t>）《第五届董事会第二十五次会议公告》（</w:t>
            </w:r>
            <w:r w:rsidRPr="005B5EC1">
              <w:rPr>
                <w:rFonts w:ascii="Times New Roman" w:eastAsia="宋体" w:hAnsi="Times New Roman" w:cs="Times New Roman"/>
                <w:sz w:val="18"/>
                <w:szCs w:val="18"/>
              </w:rPr>
              <w:t>2024-060</w:t>
            </w:r>
            <w:r w:rsidRPr="005B5EC1">
              <w:rPr>
                <w:rFonts w:ascii="Times New Roman" w:eastAsia="宋体" w:hAnsi="Times New Roman" w:cs="Times New Roman"/>
                <w:sz w:val="18"/>
                <w:szCs w:val="18"/>
              </w:rPr>
              <w:t>）</w:t>
            </w:r>
          </w:p>
        </w:tc>
      </w:tr>
    </w:tbl>
    <w:p w14:paraId="4F33D7AB" w14:textId="77777777" w:rsidR="00E32FE0" w:rsidRPr="005B5EC1" w:rsidRDefault="00000000">
      <w:pPr>
        <w:pStyle w:val="3"/>
        <w:spacing w:line="280" w:lineRule="exact"/>
        <w:jc w:val="left"/>
        <w:rPr>
          <w:rFonts w:ascii="Times New Roman" w:hAnsi="Times New Roman" w:cs="Times New Roman"/>
          <w:b/>
          <w:bCs/>
        </w:rPr>
      </w:pPr>
      <w:bookmarkStart w:id="69" w:name="_Toc988958"/>
      <w:r w:rsidRPr="005B5EC1">
        <w:rPr>
          <w:rFonts w:ascii="Times New Roman" w:hAnsi="Times New Roman" w:cs="Times New Roman"/>
          <w:b/>
          <w:bCs/>
        </w:rPr>
        <w:t>2</w:t>
      </w:r>
      <w:r w:rsidRPr="005B5EC1">
        <w:rPr>
          <w:rFonts w:ascii="Times New Roman" w:hAnsi="Times New Roman" w:cs="Times New Roman"/>
          <w:b/>
          <w:bCs/>
        </w:rPr>
        <w:t>、董事出席董事会及股东大会的情况</w:t>
      </w:r>
      <w:bookmarkEnd w:id="69"/>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E32FE0" w:rsidRPr="005B5EC1" w14:paraId="0FF1AC1D" w14:textId="77777777">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12E5AB8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董事出席董事会及股东大会的情况</w:t>
            </w:r>
          </w:p>
        </w:tc>
      </w:tr>
      <w:tr w:rsidR="00E32FE0" w:rsidRPr="005B5EC1" w14:paraId="6CA28C95"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564A11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董事姓名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085A17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本报告期应参加董事会次数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18F1F9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现场出席董事会次数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ABC2F9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以通讯方式参加董事会次数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07A62C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委托出席董事会次数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22BA17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EDD344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是否连续两次未亲自参加董事会会议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72B8BE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出席股东大会次数</w:t>
            </w:r>
          </w:p>
        </w:tc>
      </w:tr>
      <w:tr w:rsidR="00E32FE0" w:rsidRPr="005B5EC1" w14:paraId="301BB80A"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2F8196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杨晓初</w:t>
            </w:r>
          </w:p>
        </w:tc>
        <w:tc>
          <w:tcPr>
            <w:tcW w:w="1205" w:type="dxa"/>
            <w:tcBorders>
              <w:top w:val="single" w:sz="2" w:space="0" w:color="auto"/>
              <w:left w:val="single" w:sz="2" w:space="0" w:color="auto"/>
              <w:bottom w:val="single" w:sz="2" w:space="0" w:color="auto"/>
              <w:right w:val="single" w:sz="2" w:space="0" w:color="auto"/>
            </w:tcBorders>
            <w:vAlign w:val="center"/>
          </w:tcPr>
          <w:p w14:paraId="72F3663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7EA48DF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09E6211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5C90D87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3BCCDD9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3D5CCE1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2C5ABD4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r>
      <w:tr w:rsidR="00E32FE0" w:rsidRPr="005B5EC1" w14:paraId="57FC7425"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270256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王豪杰</w:t>
            </w:r>
          </w:p>
        </w:tc>
        <w:tc>
          <w:tcPr>
            <w:tcW w:w="1205" w:type="dxa"/>
            <w:tcBorders>
              <w:top w:val="single" w:sz="2" w:space="0" w:color="auto"/>
              <w:left w:val="single" w:sz="2" w:space="0" w:color="auto"/>
              <w:bottom w:val="single" w:sz="2" w:space="0" w:color="auto"/>
              <w:right w:val="single" w:sz="2" w:space="0" w:color="auto"/>
            </w:tcBorders>
            <w:vAlign w:val="center"/>
          </w:tcPr>
          <w:p w14:paraId="1357F57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3070217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58C14A5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A4CEF1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447C8A1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78CA543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050CD2B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r>
      <w:tr w:rsidR="00E32FE0" w:rsidRPr="005B5EC1" w14:paraId="225329F6"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0B009C1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1205" w:type="dxa"/>
            <w:tcBorders>
              <w:top w:val="single" w:sz="2" w:space="0" w:color="auto"/>
              <w:left w:val="single" w:sz="2" w:space="0" w:color="auto"/>
              <w:bottom w:val="single" w:sz="2" w:space="0" w:color="auto"/>
              <w:right w:val="single" w:sz="2" w:space="0" w:color="auto"/>
            </w:tcBorders>
            <w:vAlign w:val="center"/>
          </w:tcPr>
          <w:p w14:paraId="3170E05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525C50F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3A9ACCE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5FB3841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4DF862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E2B570D"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2FB73403"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r>
      <w:tr w:rsidR="00E32FE0" w:rsidRPr="005B5EC1" w14:paraId="19AE208C"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B7D982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祝波</w:t>
            </w:r>
          </w:p>
        </w:tc>
        <w:tc>
          <w:tcPr>
            <w:tcW w:w="1205" w:type="dxa"/>
            <w:tcBorders>
              <w:top w:val="single" w:sz="2" w:space="0" w:color="auto"/>
              <w:left w:val="single" w:sz="2" w:space="0" w:color="auto"/>
              <w:bottom w:val="single" w:sz="2" w:space="0" w:color="auto"/>
              <w:right w:val="single" w:sz="2" w:space="0" w:color="auto"/>
            </w:tcBorders>
            <w:vAlign w:val="center"/>
          </w:tcPr>
          <w:p w14:paraId="4C4335E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4977FD6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1B40C5B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1EECBB0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7AD0611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72AD11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30A3DEF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r>
      <w:tr w:rsidR="00E32FE0" w:rsidRPr="005B5EC1" w14:paraId="087A9B1A"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8235AC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周婧</w:t>
            </w:r>
          </w:p>
        </w:tc>
        <w:tc>
          <w:tcPr>
            <w:tcW w:w="1205" w:type="dxa"/>
            <w:tcBorders>
              <w:top w:val="single" w:sz="2" w:space="0" w:color="auto"/>
              <w:left w:val="single" w:sz="2" w:space="0" w:color="auto"/>
              <w:bottom w:val="single" w:sz="2" w:space="0" w:color="auto"/>
              <w:right w:val="single" w:sz="2" w:space="0" w:color="auto"/>
            </w:tcBorders>
            <w:vAlign w:val="center"/>
          </w:tcPr>
          <w:p w14:paraId="0F5E3573"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2C35364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106EF4F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BB7842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1A56051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710E284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472C45B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r>
      <w:tr w:rsidR="00E32FE0" w:rsidRPr="005B5EC1" w14:paraId="31703D7C"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29CFB53"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杨帆</w:t>
            </w:r>
          </w:p>
        </w:tc>
        <w:tc>
          <w:tcPr>
            <w:tcW w:w="1205" w:type="dxa"/>
            <w:tcBorders>
              <w:top w:val="single" w:sz="2" w:space="0" w:color="auto"/>
              <w:left w:val="single" w:sz="2" w:space="0" w:color="auto"/>
              <w:bottom w:val="single" w:sz="2" w:space="0" w:color="auto"/>
              <w:right w:val="single" w:sz="2" w:space="0" w:color="auto"/>
            </w:tcBorders>
            <w:vAlign w:val="center"/>
          </w:tcPr>
          <w:p w14:paraId="3B6298E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509102D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662747B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BF77EF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30CDAB4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5D2FD64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0F3CFAD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r>
      <w:tr w:rsidR="00E32FE0" w:rsidRPr="005B5EC1" w14:paraId="4701CDF5"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9F3920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余茂鑫</w:t>
            </w:r>
          </w:p>
        </w:tc>
        <w:tc>
          <w:tcPr>
            <w:tcW w:w="1205" w:type="dxa"/>
            <w:tcBorders>
              <w:top w:val="single" w:sz="2" w:space="0" w:color="auto"/>
              <w:left w:val="single" w:sz="2" w:space="0" w:color="auto"/>
              <w:bottom w:val="single" w:sz="2" w:space="0" w:color="auto"/>
              <w:right w:val="single" w:sz="2" w:space="0" w:color="auto"/>
            </w:tcBorders>
            <w:vAlign w:val="center"/>
          </w:tcPr>
          <w:p w14:paraId="50367B3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552221A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1205" w:type="dxa"/>
            <w:tcBorders>
              <w:top w:val="single" w:sz="2" w:space="0" w:color="auto"/>
              <w:left w:val="single" w:sz="2" w:space="0" w:color="auto"/>
              <w:bottom w:val="single" w:sz="2" w:space="0" w:color="auto"/>
              <w:right w:val="single" w:sz="2" w:space="0" w:color="auto"/>
            </w:tcBorders>
            <w:vAlign w:val="center"/>
          </w:tcPr>
          <w:p w14:paraId="19711B3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32E053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378BE37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0CA1C15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3484000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r>
    </w:tbl>
    <w:p w14:paraId="2B46F96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连续两次未亲自出席董事会的说明</w:t>
      </w:r>
    </w:p>
    <w:p w14:paraId="5CDBF176" w14:textId="77777777" w:rsidR="00AF139E" w:rsidRPr="005B5EC1" w:rsidRDefault="00000000" w:rsidP="00A820CB">
      <w:pPr>
        <w:pStyle w:val="a3"/>
        <w:spacing w:before="0" w:beforeAutospacing="0" w:after="0" w:afterAutospacing="0" w:line="276" w:lineRule="auto"/>
        <w:ind w:firstLine="408"/>
        <w:divId w:val="873812393"/>
        <w:rPr>
          <w:rFonts w:ascii="Times New Roman" w:hAnsi="Times New Roman" w:cs="Times New Roman"/>
          <w:sz w:val="18"/>
          <w:szCs w:val="18"/>
        </w:rPr>
      </w:pPr>
      <w:r w:rsidRPr="005B5EC1">
        <w:rPr>
          <w:rFonts w:ascii="Times New Roman" w:hAnsi="Times New Roman" w:cs="Times New Roman"/>
          <w:sz w:val="18"/>
          <w:szCs w:val="18"/>
        </w:rPr>
        <w:t>不适用</w:t>
      </w:r>
    </w:p>
    <w:p w14:paraId="7CCB2969" w14:textId="77777777" w:rsidR="00E32FE0" w:rsidRPr="005B5EC1" w:rsidRDefault="00000000">
      <w:pPr>
        <w:pStyle w:val="3"/>
        <w:spacing w:line="280" w:lineRule="exact"/>
        <w:jc w:val="left"/>
        <w:rPr>
          <w:rFonts w:ascii="Times New Roman" w:hAnsi="Times New Roman" w:cs="Times New Roman"/>
          <w:b/>
          <w:bCs/>
        </w:rPr>
      </w:pPr>
      <w:bookmarkStart w:id="70" w:name="_Toc988959"/>
      <w:r w:rsidRPr="005B5EC1">
        <w:rPr>
          <w:rFonts w:ascii="Times New Roman" w:hAnsi="Times New Roman" w:cs="Times New Roman"/>
          <w:b/>
          <w:bCs/>
        </w:rPr>
        <w:t>3</w:t>
      </w:r>
      <w:r w:rsidRPr="005B5EC1">
        <w:rPr>
          <w:rFonts w:ascii="Times New Roman" w:hAnsi="Times New Roman" w:cs="Times New Roman"/>
          <w:b/>
          <w:bCs/>
        </w:rPr>
        <w:t>、董事对公司有关事项提出异议的情况</w:t>
      </w:r>
      <w:bookmarkEnd w:id="70"/>
    </w:p>
    <w:p w14:paraId="1900906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董事对公司有关事项是否提出异议</w:t>
      </w:r>
    </w:p>
    <w:p w14:paraId="45B1024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32B2555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报告期内董事对公司有关事项未提出异议。</w:t>
      </w:r>
    </w:p>
    <w:p w14:paraId="7E808666" w14:textId="77777777" w:rsidR="00E32FE0" w:rsidRPr="005B5EC1" w:rsidRDefault="00000000">
      <w:pPr>
        <w:pStyle w:val="3"/>
        <w:spacing w:line="280" w:lineRule="exact"/>
        <w:jc w:val="left"/>
        <w:rPr>
          <w:rFonts w:ascii="Times New Roman" w:hAnsi="Times New Roman" w:cs="Times New Roman"/>
          <w:b/>
          <w:bCs/>
        </w:rPr>
      </w:pPr>
      <w:bookmarkStart w:id="71" w:name="_Toc988960"/>
      <w:r w:rsidRPr="005B5EC1">
        <w:rPr>
          <w:rFonts w:ascii="Times New Roman" w:hAnsi="Times New Roman" w:cs="Times New Roman"/>
          <w:b/>
          <w:bCs/>
        </w:rPr>
        <w:t>4</w:t>
      </w:r>
      <w:r w:rsidRPr="005B5EC1">
        <w:rPr>
          <w:rFonts w:ascii="Times New Roman" w:hAnsi="Times New Roman" w:cs="Times New Roman"/>
          <w:b/>
          <w:bCs/>
        </w:rPr>
        <w:t>、董事履行职责的其他说明</w:t>
      </w:r>
      <w:bookmarkEnd w:id="71"/>
    </w:p>
    <w:p w14:paraId="23B1062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董事对公司有关建议是否被采纳</w:t>
      </w:r>
    </w:p>
    <w:p w14:paraId="5946771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sym w:font="Wingdings 2" w:char="F052"/>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否</w:t>
      </w:r>
    </w:p>
    <w:p w14:paraId="7F5279A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董事对公司有关建议被采纳或未被采纳的说明</w:t>
      </w:r>
    </w:p>
    <w:p w14:paraId="1A12CC06" w14:textId="77777777" w:rsidR="00AF139E" w:rsidRPr="005B5EC1" w:rsidRDefault="00000000" w:rsidP="00A820CB">
      <w:pPr>
        <w:pStyle w:val="a3"/>
        <w:spacing w:before="0" w:beforeAutospacing="0" w:after="0" w:afterAutospacing="0" w:line="276" w:lineRule="auto"/>
        <w:ind w:firstLineChars="200" w:firstLine="360"/>
        <w:divId w:val="1499420551"/>
        <w:rPr>
          <w:rFonts w:ascii="Times New Roman" w:hAnsi="Times New Roman" w:cs="Times New Roman"/>
          <w:sz w:val="18"/>
          <w:szCs w:val="18"/>
        </w:rPr>
      </w:pPr>
      <w:r w:rsidRPr="005B5EC1">
        <w:rPr>
          <w:rFonts w:ascii="Times New Roman" w:hAnsi="Times New Roman" w:cs="Times New Roman"/>
          <w:sz w:val="18"/>
          <w:szCs w:val="18"/>
        </w:rPr>
        <w:t>报告期内，公司董事严格按照《公司法》《证券法》《深圳证券交易所股票上市规则》《深圳证券交易所上市公司自律监管指引第</w:t>
      </w:r>
      <w:r w:rsidRPr="005B5EC1">
        <w:rPr>
          <w:rFonts w:ascii="Times New Roman" w:hAnsi="Times New Roman" w:cs="Times New Roman"/>
          <w:sz w:val="18"/>
          <w:szCs w:val="18"/>
        </w:rPr>
        <w:t>1</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主板上市公司规范运作》等法律、法规及《公司章程》等公司制度的规定，依法履行职责。本着对全体股东负责的态度，恪尽职守、忠实勤勉的履行职责。积极出席董事会和股东大会，认真审议各项议案，对报告期内的定期报告、关联交易、会计师事务所聘任、公司章程修订、可转化公司债券价格是否修正等重大事项提出专业的意见和建议，维护公司及股东的合法权益，保障公司的规范运作和可持续发展。</w:t>
      </w:r>
    </w:p>
    <w:p w14:paraId="5E29C47D"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72" w:name="_Toc988961"/>
      <w:r w:rsidRPr="005B5EC1">
        <w:rPr>
          <w:rFonts w:ascii="Times New Roman" w:eastAsia="宋体" w:hAnsi="Times New Roman" w:cs="Times New Roman"/>
          <w:b/>
          <w:bCs/>
          <w:sz w:val="24"/>
          <w:szCs w:val="24"/>
        </w:rPr>
        <w:t>七、董事会下设专门委员会在报告期内的情况</w:t>
      </w:r>
      <w:bookmarkEnd w:id="7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029"/>
        <w:gridCol w:w="1276"/>
        <w:gridCol w:w="567"/>
        <w:gridCol w:w="1559"/>
        <w:gridCol w:w="2694"/>
        <w:gridCol w:w="992"/>
        <w:gridCol w:w="709"/>
        <w:gridCol w:w="813"/>
      </w:tblGrid>
      <w:tr w:rsidR="00E32FE0" w:rsidRPr="005B5EC1" w14:paraId="1C8FEDD7" w14:textId="77777777" w:rsidTr="00A820CB">
        <w:trPr>
          <w:trHeight w:val="240"/>
        </w:trPr>
        <w:tc>
          <w:tcPr>
            <w:tcW w:w="1029" w:type="dxa"/>
            <w:tcBorders>
              <w:top w:val="single" w:sz="2" w:space="0" w:color="auto"/>
              <w:left w:val="single" w:sz="2" w:space="0" w:color="auto"/>
              <w:bottom w:val="single" w:sz="2" w:space="0" w:color="auto"/>
              <w:right w:val="single" w:sz="2" w:space="0" w:color="auto"/>
            </w:tcBorders>
            <w:shd w:val="clear" w:color="auto" w:fill="D3D3D3"/>
            <w:vAlign w:val="center"/>
          </w:tcPr>
          <w:p w14:paraId="0363E61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委员会名称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A7F1C2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成员情况</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967100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召开会议次数</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1DEC7E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召开日期</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4AA8410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会议内容</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3D2E43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提出的重要意见和建议</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C8AAAF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其他履行职责的情况</w:t>
            </w:r>
          </w:p>
        </w:tc>
        <w:tc>
          <w:tcPr>
            <w:tcW w:w="813" w:type="dxa"/>
            <w:tcBorders>
              <w:top w:val="single" w:sz="2" w:space="0" w:color="auto"/>
              <w:left w:val="single" w:sz="2" w:space="0" w:color="auto"/>
              <w:bottom w:val="single" w:sz="2" w:space="0" w:color="auto"/>
              <w:right w:val="single" w:sz="2" w:space="0" w:color="auto"/>
            </w:tcBorders>
            <w:shd w:val="clear" w:color="auto" w:fill="D3D3D3"/>
            <w:vAlign w:val="center"/>
          </w:tcPr>
          <w:p w14:paraId="2ECD7F0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异议事项具体情况（如有）</w:t>
            </w:r>
          </w:p>
        </w:tc>
      </w:tr>
      <w:tr w:rsidR="00E32FE0" w:rsidRPr="005B5EC1" w14:paraId="6860BF41" w14:textId="77777777" w:rsidTr="00A820CB">
        <w:trPr>
          <w:trHeight w:val="240"/>
        </w:trPr>
        <w:tc>
          <w:tcPr>
            <w:tcW w:w="1029" w:type="dxa"/>
            <w:tcBorders>
              <w:top w:val="single" w:sz="2" w:space="0" w:color="auto"/>
              <w:left w:val="single" w:sz="2" w:space="0" w:color="auto"/>
              <w:bottom w:val="single" w:sz="2" w:space="0" w:color="auto"/>
              <w:right w:val="single" w:sz="2" w:space="0" w:color="auto"/>
            </w:tcBorders>
            <w:vAlign w:val="center"/>
          </w:tcPr>
          <w:p w14:paraId="58A41BF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审计委员会</w:t>
            </w:r>
          </w:p>
        </w:tc>
        <w:tc>
          <w:tcPr>
            <w:tcW w:w="1276" w:type="dxa"/>
            <w:tcBorders>
              <w:top w:val="single" w:sz="2" w:space="0" w:color="auto"/>
              <w:left w:val="single" w:sz="2" w:space="0" w:color="auto"/>
              <w:bottom w:val="single" w:sz="2" w:space="0" w:color="auto"/>
              <w:right w:val="single" w:sz="2" w:space="0" w:color="auto"/>
            </w:tcBorders>
            <w:vAlign w:val="center"/>
          </w:tcPr>
          <w:p w14:paraId="2AD1717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周婧、余茂鑫、杨晓初</w:t>
            </w:r>
          </w:p>
        </w:tc>
        <w:tc>
          <w:tcPr>
            <w:tcW w:w="567" w:type="dxa"/>
            <w:tcBorders>
              <w:top w:val="single" w:sz="2" w:space="0" w:color="auto"/>
              <w:left w:val="single" w:sz="2" w:space="0" w:color="auto"/>
              <w:bottom w:val="single" w:sz="2" w:space="0" w:color="auto"/>
              <w:right w:val="single" w:sz="2" w:space="0" w:color="auto"/>
            </w:tcBorders>
            <w:vAlign w:val="center"/>
          </w:tcPr>
          <w:p w14:paraId="3FFA34C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p>
        </w:tc>
        <w:tc>
          <w:tcPr>
            <w:tcW w:w="1559" w:type="dxa"/>
            <w:tcBorders>
              <w:top w:val="single" w:sz="2" w:space="0" w:color="auto"/>
              <w:left w:val="single" w:sz="2" w:space="0" w:color="auto"/>
              <w:bottom w:val="single" w:sz="2" w:space="0" w:color="auto"/>
              <w:right w:val="single" w:sz="2" w:space="0" w:color="auto"/>
            </w:tcBorders>
            <w:vAlign w:val="center"/>
          </w:tcPr>
          <w:p w14:paraId="7CC679C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p>
        </w:tc>
        <w:tc>
          <w:tcPr>
            <w:tcW w:w="2694" w:type="dxa"/>
            <w:tcBorders>
              <w:top w:val="single" w:sz="2" w:space="0" w:color="auto"/>
              <w:left w:val="single" w:sz="2" w:space="0" w:color="auto"/>
              <w:bottom w:val="single" w:sz="2" w:space="0" w:color="auto"/>
              <w:right w:val="single" w:sz="2" w:space="0" w:color="auto"/>
            </w:tcBorders>
            <w:vAlign w:val="center"/>
          </w:tcPr>
          <w:p w14:paraId="653A7A78" w14:textId="13061795"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年度财务决算报告》《</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年年度报告全文及摘要》《</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年度内部控制自我评价报告》《关于募集资金年度存放与实际使用情况的专项报告》《关于预计</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年度在关联银行开展存贷款业务的议案》《审计部</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年度工作报告》《审计部</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年第一季度工作报告及下一步工作计划》《关于会计师事务所</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年度履职情况评估及审计委员会履行监督职责情况的议案》《</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年度第一季度报告》《关于续聘会计师事务所的议案》</w:t>
            </w:r>
          </w:p>
        </w:tc>
        <w:tc>
          <w:tcPr>
            <w:tcW w:w="992" w:type="dxa"/>
            <w:tcBorders>
              <w:top w:val="single" w:sz="2" w:space="0" w:color="auto"/>
              <w:left w:val="single" w:sz="2" w:space="0" w:color="auto"/>
              <w:bottom w:val="single" w:sz="2" w:space="0" w:color="auto"/>
              <w:right w:val="single" w:sz="2" w:space="0" w:color="auto"/>
            </w:tcBorders>
            <w:vAlign w:val="center"/>
          </w:tcPr>
          <w:p w14:paraId="0F7929D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同意各议案</w:t>
            </w:r>
          </w:p>
        </w:tc>
        <w:tc>
          <w:tcPr>
            <w:tcW w:w="709" w:type="dxa"/>
            <w:tcBorders>
              <w:top w:val="single" w:sz="2" w:space="0" w:color="auto"/>
              <w:left w:val="single" w:sz="2" w:space="0" w:color="auto"/>
              <w:bottom w:val="single" w:sz="2" w:space="0" w:color="auto"/>
              <w:right w:val="single" w:sz="2" w:space="0" w:color="auto"/>
            </w:tcBorders>
            <w:vAlign w:val="center"/>
          </w:tcPr>
          <w:p w14:paraId="36469AD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813" w:type="dxa"/>
            <w:tcBorders>
              <w:top w:val="single" w:sz="2" w:space="0" w:color="auto"/>
              <w:left w:val="single" w:sz="2" w:space="0" w:color="auto"/>
              <w:bottom w:val="single" w:sz="2" w:space="0" w:color="auto"/>
              <w:right w:val="single" w:sz="2" w:space="0" w:color="auto"/>
            </w:tcBorders>
            <w:vAlign w:val="center"/>
          </w:tcPr>
          <w:p w14:paraId="4DAFB28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7932B767" w14:textId="77777777" w:rsidTr="00A820CB">
        <w:trPr>
          <w:trHeight w:val="240"/>
        </w:trPr>
        <w:tc>
          <w:tcPr>
            <w:tcW w:w="1029" w:type="dxa"/>
            <w:tcBorders>
              <w:top w:val="single" w:sz="2" w:space="0" w:color="auto"/>
              <w:left w:val="single" w:sz="2" w:space="0" w:color="auto"/>
              <w:bottom w:val="single" w:sz="2" w:space="0" w:color="auto"/>
              <w:right w:val="single" w:sz="2" w:space="0" w:color="auto"/>
            </w:tcBorders>
            <w:vAlign w:val="center"/>
          </w:tcPr>
          <w:p w14:paraId="6296152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审计委员会</w:t>
            </w:r>
          </w:p>
        </w:tc>
        <w:tc>
          <w:tcPr>
            <w:tcW w:w="1276" w:type="dxa"/>
            <w:tcBorders>
              <w:top w:val="single" w:sz="2" w:space="0" w:color="auto"/>
              <w:left w:val="single" w:sz="2" w:space="0" w:color="auto"/>
              <w:bottom w:val="single" w:sz="2" w:space="0" w:color="auto"/>
              <w:right w:val="single" w:sz="2" w:space="0" w:color="auto"/>
            </w:tcBorders>
            <w:vAlign w:val="center"/>
          </w:tcPr>
          <w:p w14:paraId="32B557C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周婧、余茂鑫、祝波</w:t>
            </w:r>
          </w:p>
        </w:tc>
        <w:tc>
          <w:tcPr>
            <w:tcW w:w="567" w:type="dxa"/>
            <w:tcBorders>
              <w:top w:val="single" w:sz="2" w:space="0" w:color="auto"/>
              <w:left w:val="single" w:sz="2" w:space="0" w:color="auto"/>
              <w:bottom w:val="single" w:sz="2" w:space="0" w:color="auto"/>
              <w:right w:val="single" w:sz="2" w:space="0" w:color="auto"/>
            </w:tcBorders>
            <w:vAlign w:val="center"/>
          </w:tcPr>
          <w:p w14:paraId="71F5170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p>
        </w:tc>
        <w:tc>
          <w:tcPr>
            <w:tcW w:w="1559" w:type="dxa"/>
            <w:tcBorders>
              <w:top w:val="single" w:sz="2" w:space="0" w:color="auto"/>
              <w:left w:val="single" w:sz="2" w:space="0" w:color="auto"/>
              <w:bottom w:val="single" w:sz="2" w:space="0" w:color="auto"/>
              <w:right w:val="single" w:sz="2" w:space="0" w:color="auto"/>
            </w:tcBorders>
            <w:vAlign w:val="center"/>
          </w:tcPr>
          <w:p w14:paraId="6281480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2694" w:type="dxa"/>
            <w:tcBorders>
              <w:top w:val="single" w:sz="2" w:space="0" w:color="auto"/>
              <w:left w:val="single" w:sz="2" w:space="0" w:color="auto"/>
              <w:bottom w:val="single" w:sz="2" w:space="0" w:color="auto"/>
              <w:right w:val="single" w:sz="2" w:space="0" w:color="auto"/>
            </w:tcBorders>
            <w:vAlign w:val="center"/>
          </w:tcPr>
          <w:p w14:paraId="14B5F2C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年半年度报告及其摘要》《</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年半年度募集资金存放与实际使用情况的专项报告》</w:t>
            </w:r>
          </w:p>
        </w:tc>
        <w:tc>
          <w:tcPr>
            <w:tcW w:w="992" w:type="dxa"/>
            <w:tcBorders>
              <w:top w:val="single" w:sz="2" w:space="0" w:color="auto"/>
              <w:left w:val="single" w:sz="2" w:space="0" w:color="auto"/>
              <w:bottom w:val="single" w:sz="2" w:space="0" w:color="auto"/>
              <w:right w:val="single" w:sz="2" w:space="0" w:color="auto"/>
            </w:tcBorders>
            <w:vAlign w:val="center"/>
          </w:tcPr>
          <w:p w14:paraId="232F0D1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同意各议案</w:t>
            </w:r>
          </w:p>
        </w:tc>
        <w:tc>
          <w:tcPr>
            <w:tcW w:w="709" w:type="dxa"/>
            <w:tcBorders>
              <w:top w:val="single" w:sz="2" w:space="0" w:color="auto"/>
              <w:left w:val="single" w:sz="2" w:space="0" w:color="auto"/>
              <w:bottom w:val="single" w:sz="2" w:space="0" w:color="auto"/>
              <w:right w:val="single" w:sz="2" w:space="0" w:color="auto"/>
            </w:tcBorders>
            <w:vAlign w:val="center"/>
          </w:tcPr>
          <w:p w14:paraId="5F15F48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813" w:type="dxa"/>
            <w:tcBorders>
              <w:top w:val="single" w:sz="2" w:space="0" w:color="auto"/>
              <w:left w:val="single" w:sz="2" w:space="0" w:color="auto"/>
              <w:bottom w:val="single" w:sz="2" w:space="0" w:color="auto"/>
              <w:right w:val="single" w:sz="2" w:space="0" w:color="auto"/>
            </w:tcBorders>
            <w:vAlign w:val="center"/>
          </w:tcPr>
          <w:p w14:paraId="6853FD8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6DC58F6F" w14:textId="77777777" w:rsidTr="00A820CB">
        <w:trPr>
          <w:trHeight w:val="240"/>
        </w:trPr>
        <w:tc>
          <w:tcPr>
            <w:tcW w:w="1029" w:type="dxa"/>
            <w:tcBorders>
              <w:top w:val="single" w:sz="2" w:space="0" w:color="auto"/>
              <w:left w:val="single" w:sz="2" w:space="0" w:color="auto"/>
              <w:bottom w:val="single" w:sz="2" w:space="0" w:color="auto"/>
              <w:right w:val="single" w:sz="2" w:space="0" w:color="auto"/>
            </w:tcBorders>
            <w:vAlign w:val="center"/>
          </w:tcPr>
          <w:p w14:paraId="29B2D89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审计委员会</w:t>
            </w:r>
          </w:p>
        </w:tc>
        <w:tc>
          <w:tcPr>
            <w:tcW w:w="1276" w:type="dxa"/>
            <w:tcBorders>
              <w:top w:val="single" w:sz="2" w:space="0" w:color="auto"/>
              <w:left w:val="single" w:sz="2" w:space="0" w:color="auto"/>
              <w:bottom w:val="single" w:sz="2" w:space="0" w:color="auto"/>
              <w:right w:val="single" w:sz="2" w:space="0" w:color="auto"/>
            </w:tcBorders>
            <w:vAlign w:val="center"/>
          </w:tcPr>
          <w:p w14:paraId="4D2AE6C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周婧、余茂鑫、祝波</w:t>
            </w:r>
          </w:p>
        </w:tc>
        <w:tc>
          <w:tcPr>
            <w:tcW w:w="567" w:type="dxa"/>
            <w:tcBorders>
              <w:top w:val="single" w:sz="2" w:space="0" w:color="auto"/>
              <w:left w:val="single" w:sz="2" w:space="0" w:color="auto"/>
              <w:bottom w:val="single" w:sz="2" w:space="0" w:color="auto"/>
              <w:right w:val="single" w:sz="2" w:space="0" w:color="auto"/>
            </w:tcBorders>
            <w:vAlign w:val="center"/>
          </w:tcPr>
          <w:p w14:paraId="01E336C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p>
        </w:tc>
        <w:tc>
          <w:tcPr>
            <w:tcW w:w="1559" w:type="dxa"/>
            <w:tcBorders>
              <w:top w:val="single" w:sz="2" w:space="0" w:color="auto"/>
              <w:left w:val="single" w:sz="2" w:space="0" w:color="auto"/>
              <w:bottom w:val="single" w:sz="2" w:space="0" w:color="auto"/>
              <w:right w:val="single" w:sz="2" w:space="0" w:color="auto"/>
            </w:tcBorders>
            <w:vAlign w:val="center"/>
          </w:tcPr>
          <w:p w14:paraId="04BA5BA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2694" w:type="dxa"/>
            <w:tcBorders>
              <w:top w:val="single" w:sz="2" w:space="0" w:color="auto"/>
              <w:left w:val="single" w:sz="2" w:space="0" w:color="auto"/>
              <w:bottom w:val="single" w:sz="2" w:space="0" w:color="auto"/>
              <w:right w:val="single" w:sz="2" w:space="0" w:color="auto"/>
            </w:tcBorders>
            <w:vAlign w:val="center"/>
          </w:tcPr>
          <w:p w14:paraId="7C59B3F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《关于公司</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年第三季度报告的议案》</w:t>
            </w:r>
          </w:p>
        </w:tc>
        <w:tc>
          <w:tcPr>
            <w:tcW w:w="992" w:type="dxa"/>
            <w:tcBorders>
              <w:top w:val="single" w:sz="2" w:space="0" w:color="auto"/>
              <w:left w:val="single" w:sz="2" w:space="0" w:color="auto"/>
              <w:bottom w:val="single" w:sz="2" w:space="0" w:color="auto"/>
              <w:right w:val="single" w:sz="2" w:space="0" w:color="auto"/>
            </w:tcBorders>
            <w:vAlign w:val="center"/>
          </w:tcPr>
          <w:p w14:paraId="185AB77C"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同意各议案</w:t>
            </w:r>
          </w:p>
        </w:tc>
        <w:tc>
          <w:tcPr>
            <w:tcW w:w="709" w:type="dxa"/>
            <w:tcBorders>
              <w:top w:val="single" w:sz="2" w:space="0" w:color="auto"/>
              <w:left w:val="single" w:sz="2" w:space="0" w:color="auto"/>
              <w:bottom w:val="single" w:sz="2" w:space="0" w:color="auto"/>
              <w:right w:val="single" w:sz="2" w:space="0" w:color="auto"/>
            </w:tcBorders>
            <w:vAlign w:val="center"/>
          </w:tcPr>
          <w:p w14:paraId="6B3DDEC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813" w:type="dxa"/>
            <w:tcBorders>
              <w:top w:val="single" w:sz="2" w:space="0" w:color="auto"/>
              <w:left w:val="single" w:sz="2" w:space="0" w:color="auto"/>
              <w:bottom w:val="single" w:sz="2" w:space="0" w:color="auto"/>
              <w:right w:val="single" w:sz="2" w:space="0" w:color="auto"/>
            </w:tcBorders>
            <w:vAlign w:val="center"/>
          </w:tcPr>
          <w:p w14:paraId="3F990E4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78C039FF" w14:textId="77777777" w:rsidTr="00A820CB">
        <w:trPr>
          <w:trHeight w:val="240"/>
        </w:trPr>
        <w:tc>
          <w:tcPr>
            <w:tcW w:w="1029" w:type="dxa"/>
            <w:tcBorders>
              <w:top w:val="single" w:sz="2" w:space="0" w:color="auto"/>
              <w:left w:val="single" w:sz="2" w:space="0" w:color="auto"/>
              <w:bottom w:val="single" w:sz="2" w:space="0" w:color="auto"/>
              <w:right w:val="single" w:sz="2" w:space="0" w:color="auto"/>
            </w:tcBorders>
            <w:vAlign w:val="center"/>
          </w:tcPr>
          <w:p w14:paraId="4F1C86C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审计委员会</w:t>
            </w:r>
          </w:p>
        </w:tc>
        <w:tc>
          <w:tcPr>
            <w:tcW w:w="1276" w:type="dxa"/>
            <w:tcBorders>
              <w:top w:val="single" w:sz="2" w:space="0" w:color="auto"/>
              <w:left w:val="single" w:sz="2" w:space="0" w:color="auto"/>
              <w:bottom w:val="single" w:sz="2" w:space="0" w:color="auto"/>
              <w:right w:val="single" w:sz="2" w:space="0" w:color="auto"/>
            </w:tcBorders>
            <w:vAlign w:val="center"/>
          </w:tcPr>
          <w:p w14:paraId="146AE75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周婧、余茂鑫、祝波</w:t>
            </w:r>
          </w:p>
        </w:tc>
        <w:tc>
          <w:tcPr>
            <w:tcW w:w="567" w:type="dxa"/>
            <w:tcBorders>
              <w:top w:val="single" w:sz="2" w:space="0" w:color="auto"/>
              <w:left w:val="single" w:sz="2" w:space="0" w:color="auto"/>
              <w:bottom w:val="single" w:sz="2" w:space="0" w:color="auto"/>
              <w:right w:val="single" w:sz="2" w:space="0" w:color="auto"/>
            </w:tcBorders>
            <w:vAlign w:val="center"/>
          </w:tcPr>
          <w:p w14:paraId="6439E22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p>
        </w:tc>
        <w:tc>
          <w:tcPr>
            <w:tcW w:w="1559" w:type="dxa"/>
            <w:tcBorders>
              <w:top w:val="single" w:sz="2" w:space="0" w:color="auto"/>
              <w:left w:val="single" w:sz="2" w:space="0" w:color="auto"/>
              <w:bottom w:val="single" w:sz="2" w:space="0" w:color="auto"/>
              <w:right w:val="single" w:sz="2" w:space="0" w:color="auto"/>
            </w:tcBorders>
            <w:vAlign w:val="center"/>
          </w:tcPr>
          <w:p w14:paraId="1BA5BB13"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2694" w:type="dxa"/>
            <w:tcBorders>
              <w:top w:val="single" w:sz="2" w:space="0" w:color="auto"/>
              <w:left w:val="single" w:sz="2" w:space="0" w:color="auto"/>
              <w:bottom w:val="single" w:sz="2" w:space="0" w:color="auto"/>
              <w:right w:val="single" w:sz="2" w:space="0" w:color="auto"/>
            </w:tcBorders>
            <w:vAlign w:val="center"/>
          </w:tcPr>
          <w:p w14:paraId="400697A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《关于公司</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年度审计计划的议案》</w:t>
            </w:r>
          </w:p>
        </w:tc>
        <w:tc>
          <w:tcPr>
            <w:tcW w:w="992" w:type="dxa"/>
            <w:tcBorders>
              <w:top w:val="single" w:sz="2" w:space="0" w:color="auto"/>
              <w:left w:val="single" w:sz="2" w:space="0" w:color="auto"/>
              <w:bottom w:val="single" w:sz="2" w:space="0" w:color="auto"/>
              <w:right w:val="single" w:sz="2" w:space="0" w:color="auto"/>
            </w:tcBorders>
            <w:vAlign w:val="center"/>
          </w:tcPr>
          <w:p w14:paraId="57F3B92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同意各议案</w:t>
            </w:r>
          </w:p>
        </w:tc>
        <w:tc>
          <w:tcPr>
            <w:tcW w:w="709" w:type="dxa"/>
            <w:tcBorders>
              <w:top w:val="single" w:sz="2" w:space="0" w:color="auto"/>
              <w:left w:val="single" w:sz="2" w:space="0" w:color="auto"/>
              <w:bottom w:val="single" w:sz="2" w:space="0" w:color="auto"/>
              <w:right w:val="single" w:sz="2" w:space="0" w:color="auto"/>
            </w:tcBorders>
            <w:vAlign w:val="center"/>
          </w:tcPr>
          <w:p w14:paraId="3C12F9D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813" w:type="dxa"/>
            <w:tcBorders>
              <w:top w:val="single" w:sz="2" w:space="0" w:color="auto"/>
              <w:left w:val="single" w:sz="2" w:space="0" w:color="auto"/>
              <w:bottom w:val="single" w:sz="2" w:space="0" w:color="auto"/>
              <w:right w:val="single" w:sz="2" w:space="0" w:color="auto"/>
            </w:tcBorders>
            <w:vAlign w:val="center"/>
          </w:tcPr>
          <w:p w14:paraId="3F0688F0"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6FBA60E1" w14:textId="77777777" w:rsidTr="00A820CB">
        <w:trPr>
          <w:trHeight w:val="240"/>
        </w:trPr>
        <w:tc>
          <w:tcPr>
            <w:tcW w:w="1029" w:type="dxa"/>
            <w:tcBorders>
              <w:top w:val="single" w:sz="2" w:space="0" w:color="auto"/>
              <w:left w:val="single" w:sz="2" w:space="0" w:color="auto"/>
              <w:bottom w:val="single" w:sz="2" w:space="0" w:color="auto"/>
              <w:right w:val="single" w:sz="2" w:space="0" w:color="auto"/>
            </w:tcBorders>
            <w:vAlign w:val="center"/>
          </w:tcPr>
          <w:p w14:paraId="017DF18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提名委员会</w:t>
            </w:r>
          </w:p>
        </w:tc>
        <w:tc>
          <w:tcPr>
            <w:tcW w:w="1276" w:type="dxa"/>
            <w:tcBorders>
              <w:top w:val="single" w:sz="2" w:space="0" w:color="auto"/>
              <w:left w:val="single" w:sz="2" w:space="0" w:color="auto"/>
              <w:bottom w:val="single" w:sz="2" w:space="0" w:color="auto"/>
              <w:right w:val="single" w:sz="2" w:space="0" w:color="auto"/>
            </w:tcBorders>
            <w:vAlign w:val="center"/>
          </w:tcPr>
          <w:p w14:paraId="57A7DF0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余茂鑫、王豪杰、杨帆</w:t>
            </w:r>
          </w:p>
        </w:tc>
        <w:tc>
          <w:tcPr>
            <w:tcW w:w="567" w:type="dxa"/>
            <w:tcBorders>
              <w:top w:val="single" w:sz="2" w:space="0" w:color="auto"/>
              <w:left w:val="single" w:sz="2" w:space="0" w:color="auto"/>
              <w:bottom w:val="single" w:sz="2" w:space="0" w:color="auto"/>
              <w:right w:val="single" w:sz="2" w:space="0" w:color="auto"/>
            </w:tcBorders>
            <w:vAlign w:val="center"/>
          </w:tcPr>
          <w:p w14:paraId="5E23C33E"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1559" w:type="dxa"/>
            <w:tcBorders>
              <w:top w:val="single" w:sz="2" w:space="0" w:color="auto"/>
              <w:left w:val="single" w:sz="2" w:space="0" w:color="auto"/>
              <w:bottom w:val="single" w:sz="2" w:space="0" w:color="auto"/>
              <w:right w:val="single" w:sz="2" w:space="0" w:color="auto"/>
            </w:tcBorders>
            <w:vAlign w:val="center"/>
          </w:tcPr>
          <w:p w14:paraId="1D06139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p>
        </w:tc>
        <w:tc>
          <w:tcPr>
            <w:tcW w:w="2694" w:type="dxa"/>
            <w:tcBorders>
              <w:top w:val="single" w:sz="2" w:space="0" w:color="auto"/>
              <w:left w:val="single" w:sz="2" w:space="0" w:color="auto"/>
              <w:bottom w:val="single" w:sz="2" w:space="0" w:color="auto"/>
              <w:right w:val="single" w:sz="2" w:space="0" w:color="auto"/>
            </w:tcBorders>
            <w:vAlign w:val="center"/>
          </w:tcPr>
          <w:p w14:paraId="0D2966B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《关于聘任总经理的议案》</w:t>
            </w:r>
          </w:p>
        </w:tc>
        <w:tc>
          <w:tcPr>
            <w:tcW w:w="992" w:type="dxa"/>
            <w:tcBorders>
              <w:top w:val="single" w:sz="2" w:space="0" w:color="auto"/>
              <w:left w:val="single" w:sz="2" w:space="0" w:color="auto"/>
              <w:bottom w:val="single" w:sz="2" w:space="0" w:color="auto"/>
              <w:right w:val="single" w:sz="2" w:space="0" w:color="auto"/>
            </w:tcBorders>
            <w:vAlign w:val="center"/>
          </w:tcPr>
          <w:p w14:paraId="08552C9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同意各议案</w:t>
            </w:r>
          </w:p>
        </w:tc>
        <w:tc>
          <w:tcPr>
            <w:tcW w:w="709" w:type="dxa"/>
            <w:tcBorders>
              <w:top w:val="single" w:sz="2" w:space="0" w:color="auto"/>
              <w:left w:val="single" w:sz="2" w:space="0" w:color="auto"/>
              <w:bottom w:val="single" w:sz="2" w:space="0" w:color="auto"/>
              <w:right w:val="single" w:sz="2" w:space="0" w:color="auto"/>
            </w:tcBorders>
            <w:vAlign w:val="center"/>
          </w:tcPr>
          <w:p w14:paraId="469BFDE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813" w:type="dxa"/>
            <w:tcBorders>
              <w:top w:val="single" w:sz="2" w:space="0" w:color="auto"/>
              <w:left w:val="single" w:sz="2" w:space="0" w:color="auto"/>
              <w:bottom w:val="single" w:sz="2" w:space="0" w:color="auto"/>
              <w:right w:val="single" w:sz="2" w:space="0" w:color="auto"/>
            </w:tcBorders>
            <w:vAlign w:val="center"/>
          </w:tcPr>
          <w:p w14:paraId="6968ACCF"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3A1105A4" w14:textId="77777777" w:rsidTr="00A820CB">
        <w:trPr>
          <w:trHeight w:val="240"/>
        </w:trPr>
        <w:tc>
          <w:tcPr>
            <w:tcW w:w="1029" w:type="dxa"/>
            <w:tcBorders>
              <w:top w:val="single" w:sz="2" w:space="0" w:color="auto"/>
              <w:left w:val="single" w:sz="2" w:space="0" w:color="auto"/>
              <w:bottom w:val="single" w:sz="2" w:space="0" w:color="auto"/>
              <w:right w:val="single" w:sz="2" w:space="0" w:color="auto"/>
            </w:tcBorders>
            <w:vAlign w:val="center"/>
          </w:tcPr>
          <w:p w14:paraId="5C239637"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薪酬与考核委员会</w:t>
            </w:r>
          </w:p>
        </w:tc>
        <w:tc>
          <w:tcPr>
            <w:tcW w:w="1276" w:type="dxa"/>
            <w:tcBorders>
              <w:top w:val="single" w:sz="2" w:space="0" w:color="auto"/>
              <w:left w:val="single" w:sz="2" w:space="0" w:color="auto"/>
              <w:bottom w:val="single" w:sz="2" w:space="0" w:color="auto"/>
              <w:right w:val="single" w:sz="2" w:space="0" w:color="auto"/>
            </w:tcBorders>
            <w:vAlign w:val="center"/>
          </w:tcPr>
          <w:p w14:paraId="5C46AD3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杨帆、周婧、杨晓初</w:t>
            </w:r>
          </w:p>
        </w:tc>
        <w:tc>
          <w:tcPr>
            <w:tcW w:w="567" w:type="dxa"/>
            <w:tcBorders>
              <w:top w:val="single" w:sz="2" w:space="0" w:color="auto"/>
              <w:left w:val="single" w:sz="2" w:space="0" w:color="auto"/>
              <w:bottom w:val="single" w:sz="2" w:space="0" w:color="auto"/>
              <w:right w:val="single" w:sz="2" w:space="0" w:color="auto"/>
            </w:tcBorders>
            <w:vAlign w:val="center"/>
          </w:tcPr>
          <w:p w14:paraId="1E6F429D"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1559" w:type="dxa"/>
            <w:tcBorders>
              <w:top w:val="single" w:sz="2" w:space="0" w:color="auto"/>
              <w:left w:val="single" w:sz="2" w:space="0" w:color="auto"/>
              <w:bottom w:val="single" w:sz="2" w:space="0" w:color="auto"/>
              <w:right w:val="single" w:sz="2" w:space="0" w:color="auto"/>
            </w:tcBorders>
            <w:vAlign w:val="center"/>
          </w:tcPr>
          <w:p w14:paraId="2D5B46A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p>
        </w:tc>
        <w:tc>
          <w:tcPr>
            <w:tcW w:w="2694" w:type="dxa"/>
            <w:tcBorders>
              <w:top w:val="single" w:sz="2" w:space="0" w:color="auto"/>
              <w:left w:val="single" w:sz="2" w:space="0" w:color="auto"/>
              <w:bottom w:val="single" w:sz="2" w:space="0" w:color="auto"/>
              <w:right w:val="single" w:sz="2" w:space="0" w:color="auto"/>
            </w:tcBorders>
            <w:vAlign w:val="center"/>
          </w:tcPr>
          <w:p w14:paraId="21B1F7F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《关于审核公司董事、高级管理人员</w:t>
            </w: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年度薪酬发放的议案》</w:t>
            </w:r>
          </w:p>
        </w:tc>
        <w:tc>
          <w:tcPr>
            <w:tcW w:w="992" w:type="dxa"/>
            <w:tcBorders>
              <w:top w:val="single" w:sz="2" w:space="0" w:color="auto"/>
              <w:left w:val="single" w:sz="2" w:space="0" w:color="auto"/>
              <w:bottom w:val="single" w:sz="2" w:space="0" w:color="auto"/>
              <w:right w:val="single" w:sz="2" w:space="0" w:color="auto"/>
            </w:tcBorders>
            <w:vAlign w:val="center"/>
          </w:tcPr>
          <w:p w14:paraId="4382984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同意各议案</w:t>
            </w:r>
          </w:p>
        </w:tc>
        <w:tc>
          <w:tcPr>
            <w:tcW w:w="709" w:type="dxa"/>
            <w:tcBorders>
              <w:top w:val="single" w:sz="2" w:space="0" w:color="auto"/>
              <w:left w:val="single" w:sz="2" w:space="0" w:color="auto"/>
              <w:bottom w:val="single" w:sz="2" w:space="0" w:color="auto"/>
              <w:right w:val="single" w:sz="2" w:space="0" w:color="auto"/>
            </w:tcBorders>
            <w:vAlign w:val="center"/>
          </w:tcPr>
          <w:p w14:paraId="04186B3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813" w:type="dxa"/>
            <w:tcBorders>
              <w:top w:val="single" w:sz="2" w:space="0" w:color="auto"/>
              <w:left w:val="single" w:sz="2" w:space="0" w:color="auto"/>
              <w:bottom w:val="single" w:sz="2" w:space="0" w:color="auto"/>
              <w:right w:val="single" w:sz="2" w:space="0" w:color="auto"/>
            </w:tcBorders>
            <w:vAlign w:val="center"/>
          </w:tcPr>
          <w:p w14:paraId="37D679F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5CEE217F" w14:textId="77777777" w:rsidTr="00A820CB">
        <w:trPr>
          <w:trHeight w:val="240"/>
        </w:trPr>
        <w:tc>
          <w:tcPr>
            <w:tcW w:w="1029" w:type="dxa"/>
            <w:tcBorders>
              <w:top w:val="single" w:sz="2" w:space="0" w:color="auto"/>
              <w:left w:val="single" w:sz="2" w:space="0" w:color="auto"/>
              <w:bottom w:val="single" w:sz="2" w:space="0" w:color="auto"/>
              <w:right w:val="single" w:sz="2" w:space="0" w:color="auto"/>
            </w:tcBorders>
            <w:vAlign w:val="center"/>
          </w:tcPr>
          <w:p w14:paraId="3A123E6B"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战略委员会</w:t>
            </w:r>
          </w:p>
        </w:tc>
        <w:tc>
          <w:tcPr>
            <w:tcW w:w="1276" w:type="dxa"/>
            <w:tcBorders>
              <w:top w:val="single" w:sz="2" w:space="0" w:color="auto"/>
              <w:left w:val="single" w:sz="2" w:space="0" w:color="auto"/>
              <w:bottom w:val="single" w:sz="2" w:space="0" w:color="auto"/>
              <w:right w:val="single" w:sz="2" w:space="0" w:color="auto"/>
            </w:tcBorders>
            <w:vAlign w:val="center"/>
          </w:tcPr>
          <w:p w14:paraId="68F1608A"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杨晓初、王豪杰、周婧</w:t>
            </w:r>
          </w:p>
        </w:tc>
        <w:tc>
          <w:tcPr>
            <w:tcW w:w="567" w:type="dxa"/>
            <w:tcBorders>
              <w:top w:val="single" w:sz="2" w:space="0" w:color="auto"/>
              <w:left w:val="single" w:sz="2" w:space="0" w:color="auto"/>
              <w:bottom w:val="single" w:sz="2" w:space="0" w:color="auto"/>
              <w:right w:val="single" w:sz="2" w:space="0" w:color="auto"/>
            </w:tcBorders>
            <w:vAlign w:val="center"/>
          </w:tcPr>
          <w:p w14:paraId="0F118DE4"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1559" w:type="dxa"/>
            <w:tcBorders>
              <w:top w:val="single" w:sz="2" w:space="0" w:color="auto"/>
              <w:left w:val="single" w:sz="2" w:space="0" w:color="auto"/>
              <w:bottom w:val="single" w:sz="2" w:space="0" w:color="auto"/>
              <w:right w:val="single" w:sz="2" w:space="0" w:color="auto"/>
            </w:tcBorders>
            <w:vAlign w:val="center"/>
          </w:tcPr>
          <w:p w14:paraId="2F7D0BB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p>
        </w:tc>
        <w:tc>
          <w:tcPr>
            <w:tcW w:w="2694" w:type="dxa"/>
            <w:tcBorders>
              <w:top w:val="single" w:sz="2" w:space="0" w:color="auto"/>
              <w:left w:val="single" w:sz="2" w:space="0" w:color="auto"/>
              <w:bottom w:val="single" w:sz="2" w:space="0" w:color="auto"/>
              <w:right w:val="single" w:sz="2" w:space="0" w:color="auto"/>
            </w:tcBorders>
            <w:vAlign w:val="center"/>
          </w:tcPr>
          <w:p w14:paraId="6B36510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《关于公司</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年业务发展规划的议案》《关于未来三年（</w:t>
            </w:r>
            <w:r w:rsidRPr="005B5EC1">
              <w:rPr>
                <w:rFonts w:ascii="Times New Roman" w:eastAsia="宋体" w:hAnsi="Times New Roman" w:cs="Times New Roman"/>
                <w:sz w:val="18"/>
                <w:szCs w:val="18"/>
              </w:rPr>
              <w:t>2024-2026</w:t>
            </w:r>
            <w:r w:rsidRPr="005B5EC1">
              <w:rPr>
                <w:rFonts w:ascii="Times New Roman" w:eastAsia="宋体" w:hAnsi="Times New Roman" w:cs="Times New Roman"/>
                <w:sz w:val="18"/>
                <w:szCs w:val="18"/>
              </w:rPr>
              <w:t>年）股东分红回报规划的议案》</w:t>
            </w:r>
          </w:p>
        </w:tc>
        <w:tc>
          <w:tcPr>
            <w:tcW w:w="992" w:type="dxa"/>
            <w:tcBorders>
              <w:top w:val="single" w:sz="2" w:space="0" w:color="auto"/>
              <w:left w:val="single" w:sz="2" w:space="0" w:color="auto"/>
              <w:bottom w:val="single" w:sz="2" w:space="0" w:color="auto"/>
              <w:right w:val="single" w:sz="2" w:space="0" w:color="auto"/>
            </w:tcBorders>
            <w:vAlign w:val="center"/>
          </w:tcPr>
          <w:p w14:paraId="1DD05211"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同意各议案</w:t>
            </w:r>
          </w:p>
        </w:tc>
        <w:tc>
          <w:tcPr>
            <w:tcW w:w="709" w:type="dxa"/>
            <w:tcBorders>
              <w:top w:val="single" w:sz="2" w:space="0" w:color="auto"/>
              <w:left w:val="single" w:sz="2" w:space="0" w:color="auto"/>
              <w:bottom w:val="single" w:sz="2" w:space="0" w:color="auto"/>
              <w:right w:val="single" w:sz="2" w:space="0" w:color="auto"/>
            </w:tcBorders>
            <w:vAlign w:val="center"/>
          </w:tcPr>
          <w:p w14:paraId="5BE910D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813" w:type="dxa"/>
            <w:tcBorders>
              <w:top w:val="single" w:sz="2" w:space="0" w:color="auto"/>
              <w:left w:val="single" w:sz="2" w:space="0" w:color="auto"/>
              <w:bottom w:val="single" w:sz="2" w:space="0" w:color="auto"/>
              <w:right w:val="single" w:sz="2" w:space="0" w:color="auto"/>
            </w:tcBorders>
            <w:vAlign w:val="center"/>
          </w:tcPr>
          <w:p w14:paraId="173810ED"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bl>
    <w:p w14:paraId="3687F754"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73" w:name="_Toc988962"/>
      <w:r w:rsidRPr="005B5EC1">
        <w:rPr>
          <w:rFonts w:ascii="Times New Roman" w:eastAsia="宋体" w:hAnsi="Times New Roman" w:cs="Times New Roman"/>
          <w:b/>
          <w:bCs/>
          <w:sz w:val="24"/>
          <w:szCs w:val="24"/>
        </w:rPr>
        <w:t>八、监事会工作情况</w:t>
      </w:r>
      <w:bookmarkEnd w:id="73"/>
    </w:p>
    <w:p w14:paraId="1928247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监事会在报告期内的监督活动中发现公司是否存在风险</w:t>
      </w:r>
    </w:p>
    <w:p w14:paraId="340B9FA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3CF7B86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监事会对报告期内的监督事项无异议。</w:t>
      </w:r>
    </w:p>
    <w:p w14:paraId="066959BA"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74" w:name="_Toc988963"/>
      <w:r w:rsidRPr="005B5EC1">
        <w:rPr>
          <w:rFonts w:ascii="Times New Roman" w:eastAsia="宋体" w:hAnsi="Times New Roman" w:cs="Times New Roman"/>
          <w:b/>
          <w:bCs/>
          <w:sz w:val="24"/>
          <w:szCs w:val="24"/>
        </w:rPr>
        <w:lastRenderedPageBreak/>
        <w:t>九、公司员工情况</w:t>
      </w:r>
      <w:bookmarkEnd w:id="74"/>
    </w:p>
    <w:p w14:paraId="12A3EB0C" w14:textId="77777777" w:rsidR="00E32FE0" w:rsidRPr="005B5EC1" w:rsidRDefault="00000000">
      <w:pPr>
        <w:pStyle w:val="3"/>
        <w:spacing w:line="280" w:lineRule="exact"/>
        <w:jc w:val="left"/>
        <w:rPr>
          <w:rFonts w:ascii="Times New Roman" w:hAnsi="Times New Roman" w:cs="Times New Roman"/>
          <w:b/>
          <w:bCs/>
        </w:rPr>
      </w:pPr>
      <w:bookmarkStart w:id="75" w:name="_Toc988964"/>
      <w:r w:rsidRPr="005B5EC1">
        <w:rPr>
          <w:rFonts w:ascii="Times New Roman" w:hAnsi="Times New Roman" w:cs="Times New Roman"/>
          <w:b/>
          <w:bCs/>
        </w:rPr>
        <w:t>1</w:t>
      </w:r>
      <w:r w:rsidRPr="005B5EC1">
        <w:rPr>
          <w:rFonts w:ascii="Times New Roman" w:hAnsi="Times New Roman" w:cs="Times New Roman"/>
          <w:b/>
          <w:bCs/>
        </w:rPr>
        <w:t>、员工数量、专业构成及教育程度</w:t>
      </w:r>
      <w:bookmarkEnd w:id="7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167AABF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57CE0D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报告期末母公司在职员工的数量（人）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14:paraId="12CB25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2,244</w:t>
            </w:r>
          </w:p>
        </w:tc>
      </w:tr>
      <w:tr w:rsidR="00E32FE0" w:rsidRPr="005B5EC1" w14:paraId="03D877C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B233B4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报告期末主要子公司在职员工的数量（人）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14:paraId="11A50C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3,022</w:t>
            </w:r>
          </w:p>
        </w:tc>
      </w:tr>
      <w:tr w:rsidR="00E32FE0" w:rsidRPr="005B5EC1" w14:paraId="686255F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276AF0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报告期末在职员工的数量合计（人）</w:t>
            </w:r>
          </w:p>
        </w:tc>
        <w:tc>
          <w:tcPr>
            <w:tcW w:w="4820" w:type="dxa"/>
            <w:tcBorders>
              <w:top w:val="single" w:sz="2" w:space="0" w:color="auto"/>
              <w:left w:val="single" w:sz="2" w:space="0" w:color="auto"/>
              <w:bottom w:val="single" w:sz="2" w:space="0" w:color="auto"/>
              <w:right w:val="single" w:sz="2" w:space="0" w:color="auto"/>
            </w:tcBorders>
            <w:vAlign w:val="center"/>
          </w:tcPr>
          <w:p w14:paraId="3E268F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5,266</w:t>
            </w:r>
          </w:p>
        </w:tc>
      </w:tr>
      <w:tr w:rsidR="00E32FE0" w:rsidRPr="005B5EC1" w14:paraId="27775E2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F8872B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当期领取薪酬员工总人数（人）</w:t>
            </w:r>
          </w:p>
        </w:tc>
        <w:tc>
          <w:tcPr>
            <w:tcW w:w="4820" w:type="dxa"/>
            <w:tcBorders>
              <w:top w:val="single" w:sz="2" w:space="0" w:color="auto"/>
              <w:left w:val="single" w:sz="2" w:space="0" w:color="auto"/>
              <w:bottom w:val="single" w:sz="2" w:space="0" w:color="auto"/>
              <w:right w:val="single" w:sz="2" w:space="0" w:color="auto"/>
            </w:tcBorders>
            <w:vAlign w:val="center"/>
          </w:tcPr>
          <w:p w14:paraId="50A6BB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5,931</w:t>
            </w:r>
          </w:p>
        </w:tc>
      </w:tr>
      <w:tr w:rsidR="00E32FE0" w:rsidRPr="005B5EC1" w14:paraId="5FE31CD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963F74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母公司及主要子公司需承担费用的离退休职工人数（人）</w:t>
            </w:r>
          </w:p>
        </w:tc>
        <w:tc>
          <w:tcPr>
            <w:tcW w:w="4820" w:type="dxa"/>
            <w:tcBorders>
              <w:top w:val="single" w:sz="2" w:space="0" w:color="auto"/>
              <w:left w:val="single" w:sz="2" w:space="0" w:color="auto"/>
              <w:bottom w:val="single" w:sz="2" w:space="0" w:color="auto"/>
              <w:right w:val="single" w:sz="2" w:space="0" w:color="auto"/>
            </w:tcBorders>
            <w:vAlign w:val="center"/>
          </w:tcPr>
          <w:p w14:paraId="7B1140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140506F2"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6D6A8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专业构成</w:t>
            </w:r>
          </w:p>
        </w:tc>
      </w:tr>
      <w:tr w:rsidR="00E32FE0" w:rsidRPr="005B5EC1" w14:paraId="3393DF3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FE836A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专业构成类别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A84614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专业构成人数（人）</w:t>
            </w:r>
          </w:p>
        </w:tc>
      </w:tr>
      <w:tr w:rsidR="00E32FE0" w:rsidRPr="005B5EC1" w14:paraId="3C941F1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AE8253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生产人员</w:t>
            </w:r>
          </w:p>
        </w:tc>
        <w:tc>
          <w:tcPr>
            <w:tcW w:w="4820" w:type="dxa"/>
            <w:tcBorders>
              <w:top w:val="single" w:sz="2" w:space="0" w:color="auto"/>
              <w:left w:val="single" w:sz="2" w:space="0" w:color="auto"/>
              <w:bottom w:val="single" w:sz="2" w:space="0" w:color="auto"/>
              <w:right w:val="single" w:sz="2" w:space="0" w:color="auto"/>
            </w:tcBorders>
            <w:vAlign w:val="center"/>
          </w:tcPr>
          <w:p w14:paraId="46E790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3,364</w:t>
            </w:r>
          </w:p>
        </w:tc>
      </w:tr>
      <w:tr w:rsidR="00E32FE0" w:rsidRPr="005B5EC1" w14:paraId="5DD11DD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978928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销售人员</w:t>
            </w:r>
          </w:p>
        </w:tc>
        <w:tc>
          <w:tcPr>
            <w:tcW w:w="4820" w:type="dxa"/>
            <w:tcBorders>
              <w:top w:val="single" w:sz="2" w:space="0" w:color="auto"/>
              <w:left w:val="single" w:sz="2" w:space="0" w:color="auto"/>
              <w:bottom w:val="single" w:sz="2" w:space="0" w:color="auto"/>
              <w:right w:val="single" w:sz="2" w:space="0" w:color="auto"/>
            </w:tcBorders>
            <w:vAlign w:val="center"/>
          </w:tcPr>
          <w:p w14:paraId="419A76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595</w:t>
            </w:r>
          </w:p>
        </w:tc>
      </w:tr>
      <w:tr w:rsidR="00E32FE0" w:rsidRPr="005B5EC1" w14:paraId="1B10F5C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A71ABD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技术人员</w:t>
            </w:r>
          </w:p>
        </w:tc>
        <w:tc>
          <w:tcPr>
            <w:tcW w:w="4820" w:type="dxa"/>
            <w:tcBorders>
              <w:top w:val="single" w:sz="2" w:space="0" w:color="auto"/>
              <w:left w:val="single" w:sz="2" w:space="0" w:color="auto"/>
              <w:bottom w:val="single" w:sz="2" w:space="0" w:color="auto"/>
              <w:right w:val="single" w:sz="2" w:space="0" w:color="auto"/>
            </w:tcBorders>
            <w:vAlign w:val="center"/>
          </w:tcPr>
          <w:p w14:paraId="35DA84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251</w:t>
            </w:r>
          </w:p>
        </w:tc>
      </w:tr>
      <w:tr w:rsidR="00E32FE0" w:rsidRPr="005B5EC1" w14:paraId="730F249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4B19B4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财务人员</w:t>
            </w:r>
          </w:p>
        </w:tc>
        <w:tc>
          <w:tcPr>
            <w:tcW w:w="4820" w:type="dxa"/>
            <w:tcBorders>
              <w:top w:val="single" w:sz="2" w:space="0" w:color="auto"/>
              <w:left w:val="single" w:sz="2" w:space="0" w:color="auto"/>
              <w:bottom w:val="single" w:sz="2" w:space="0" w:color="auto"/>
              <w:right w:val="single" w:sz="2" w:space="0" w:color="auto"/>
            </w:tcBorders>
            <w:vAlign w:val="center"/>
          </w:tcPr>
          <w:p w14:paraId="5C9FA1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w:t>
            </w:r>
          </w:p>
        </w:tc>
      </w:tr>
      <w:tr w:rsidR="00E32FE0" w:rsidRPr="005B5EC1" w14:paraId="610DC17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6FB9D0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行政人员</w:t>
            </w:r>
          </w:p>
        </w:tc>
        <w:tc>
          <w:tcPr>
            <w:tcW w:w="4820" w:type="dxa"/>
            <w:tcBorders>
              <w:top w:val="single" w:sz="2" w:space="0" w:color="auto"/>
              <w:left w:val="single" w:sz="2" w:space="0" w:color="auto"/>
              <w:bottom w:val="single" w:sz="2" w:space="0" w:color="auto"/>
              <w:right w:val="single" w:sz="2" w:space="0" w:color="auto"/>
            </w:tcBorders>
            <w:vAlign w:val="center"/>
          </w:tcPr>
          <w:p w14:paraId="1DC31B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952</w:t>
            </w:r>
          </w:p>
        </w:tc>
      </w:tr>
      <w:tr w:rsidR="00E32FE0" w:rsidRPr="005B5EC1" w14:paraId="719361A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7C4BF9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01F6BB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5,266</w:t>
            </w:r>
          </w:p>
        </w:tc>
      </w:tr>
      <w:tr w:rsidR="00E32FE0" w:rsidRPr="005B5EC1" w14:paraId="7F776BB4"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E167AF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教育程度</w:t>
            </w:r>
          </w:p>
        </w:tc>
      </w:tr>
      <w:tr w:rsidR="00E32FE0" w:rsidRPr="005B5EC1" w14:paraId="18CB476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36BD7C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教育程度类别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B41724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数量（人）</w:t>
            </w:r>
          </w:p>
        </w:tc>
      </w:tr>
      <w:tr w:rsidR="00E32FE0" w:rsidRPr="005B5EC1" w14:paraId="6ABB0D8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97FC47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本科及以上</w:t>
            </w:r>
          </w:p>
        </w:tc>
        <w:tc>
          <w:tcPr>
            <w:tcW w:w="4820" w:type="dxa"/>
            <w:tcBorders>
              <w:top w:val="single" w:sz="2" w:space="0" w:color="auto"/>
              <w:left w:val="single" w:sz="2" w:space="0" w:color="auto"/>
              <w:bottom w:val="single" w:sz="2" w:space="0" w:color="auto"/>
              <w:right w:val="single" w:sz="2" w:space="0" w:color="auto"/>
            </w:tcBorders>
            <w:vAlign w:val="center"/>
          </w:tcPr>
          <w:p w14:paraId="45A1C9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341</w:t>
            </w:r>
          </w:p>
        </w:tc>
      </w:tr>
      <w:tr w:rsidR="00E32FE0" w:rsidRPr="005B5EC1" w14:paraId="6D44E20D"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5030DC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专科</w:t>
            </w:r>
          </w:p>
        </w:tc>
        <w:tc>
          <w:tcPr>
            <w:tcW w:w="4820" w:type="dxa"/>
            <w:tcBorders>
              <w:top w:val="single" w:sz="2" w:space="0" w:color="auto"/>
              <w:left w:val="single" w:sz="2" w:space="0" w:color="auto"/>
              <w:bottom w:val="single" w:sz="2" w:space="0" w:color="auto"/>
              <w:right w:val="single" w:sz="2" w:space="0" w:color="auto"/>
            </w:tcBorders>
            <w:vAlign w:val="center"/>
          </w:tcPr>
          <w:p w14:paraId="01351A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617</w:t>
            </w:r>
          </w:p>
        </w:tc>
      </w:tr>
      <w:tr w:rsidR="00E32FE0" w:rsidRPr="005B5EC1" w14:paraId="403D026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6A10DF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高中</w:t>
            </w:r>
          </w:p>
        </w:tc>
        <w:tc>
          <w:tcPr>
            <w:tcW w:w="4820" w:type="dxa"/>
            <w:tcBorders>
              <w:top w:val="single" w:sz="2" w:space="0" w:color="auto"/>
              <w:left w:val="single" w:sz="2" w:space="0" w:color="auto"/>
              <w:bottom w:val="single" w:sz="2" w:space="0" w:color="auto"/>
              <w:right w:val="single" w:sz="2" w:space="0" w:color="auto"/>
            </w:tcBorders>
            <w:vAlign w:val="center"/>
          </w:tcPr>
          <w:p w14:paraId="6BA1FB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1,514</w:t>
            </w:r>
          </w:p>
        </w:tc>
      </w:tr>
      <w:tr w:rsidR="00E32FE0" w:rsidRPr="005B5EC1" w14:paraId="118FDB3C"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F91244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中专</w:t>
            </w:r>
          </w:p>
        </w:tc>
        <w:tc>
          <w:tcPr>
            <w:tcW w:w="4820" w:type="dxa"/>
            <w:tcBorders>
              <w:top w:val="single" w:sz="2" w:space="0" w:color="auto"/>
              <w:left w:val="single" w:sz="2" w:space="0" w:color="auto"/>
              <w:bottom w:val="single" w:sz="2" w:space="0" w:color="auto"/>
              <w:right w:val="single" w:sz="2" w:space="0" w:color="auto"/>
            </w:tcBorders>
            <w:vAlign w:val="center"/>
          </w:tcPr>
          <w:p w14:paraId="7E294D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568</w:t>
            </w:r>
          </w:p>
        </w:tc>
      </w:tr>
      <w:tr w:rsidR="00E32FE0" w:rsidRPr="005B5EC1" w14:paraId="7ADEB1D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6DA40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中专及以下</w:t>
            </w:r>
          </w:p>
        </w:tc>
        <w:tc>
          <w:tcPr>
            <w:tcW w:w="4820" w:type="dxa"/>
            <w:tcBorders>
              <w:top w:val="single" w:sz="2" w:space="0" w:color="auto"/>
              <w:left w:val="single" w:sz="2" w:space="0" w:color="auto"/>
              <w:bottom w:val="single" w:sz="2" w:space="0" w:color="auto"/>
              <w:right w:val="single" w:sz="2" w:space="0" w:color="auto"/>
            </w:tcBorders>
            <w:vAlign w:val="center"/>
          </w:tcPr>
          <w:p w14:paraId="0DE08F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2,226</w:t>
            </w:r>
          </w:p>
        </w:tc>
      </w:tr>
      <w:tr w:rsidR="00E32FE0" w:rsidRPr="005B5EC1" w14:paraId="0230DDD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C592CF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14:paraId="141EF1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5,266</w:t>
            </w:r>
          </w:p>
        </w:tc>
      </w:tr>
    </w:tbl>
    <w:p w14:paraId="27BA2F15" w14:textId="77777777" w:rsidR="00E32FE0" w:rsidRPr="005B5EC1" w:rsidRDefault="00000000">
      <w:pPr>
        <w:pStyle w:val="3"/>
        <w:spacing w:line="280" w:lineRule="exact"/>
        <w:jc w:val="left"/>
        <w:rPr>
          <w:rFonts w:ascii="Times New Roman" w:hAnsi="Times New Roman" w:cs="Times New Roman"/>
          <w:b/>
          <w:bCs/>
        </w:rPr>
      </w:pPr>
      <w:bookmarkStart w:id="76" w:name="_Toc988965"/>
      <w:r w:rsidRPr="005B5EC1">
        <w:rPr>
          <w:rFonts w:ascii="Times New Roman" w:hAnsi="Times New Roman" w:cs="Times New Roman"/>
          <w:b/>
          <w:bCs/>
        </w:rPr>
        <w:t>2</w:t>
      </w:r>
      <w:r w:rsidRPr="005B5EC1">
        <w:rPr>
          <w:rFonts w:ascii="Times New Roman" w:hAnsi="Times New Roman" w:cs="Times New Roman"/>
          <w:b/>
          <w:bCs/>
        </w:rPr>
        <w:t>、薪酬政策</w:t>
      </w:r>
      <w:bookmarkEnd w:id="76"/>
    </w:p>
    <w:p w14:paraId="2CAD0D27" w14:textId="77777777" w:rsidR="00AF139E" w:rsidRPr="005B5EC1" w:rsidRDefault="00000000" w:rsidP="00A820CB">
      <w:pPr>
        <w:pStyle w:val="a3"/>
        <w:spacing w:before="0" w:beforeAutospacing="0" w:after="0" w:afterAutospacing="0" w:line="276" w:lineRule="auto"/>
        <w:ind w:firstLineChars="200" w:firstLine="360"/>
        <w:divId w:val="1934895627"/>
        <w:rPr>
          <w:rFonts w:ascii="Times New Roman" w:hAnsi="Times New Roman" w:cs="Times New Roman"/>
        </w:rPr>
      </w:pPr>
      <w:r w:rsidRPr="005B5EC1">
        <w:rPr>
          <w:rFonts w:ascii="Times New Roman" w:hAnsi="Times New Roman" w:cs="Times New Roman"/>
          <w:sz w:val="18"/>
          <w:szCs w:val="18"/>
        </w:rPr>
        <w:t>为持续激发员工活力、保障团队稳定，并推动集团战略目标的实现，本年度我司薪酬体系在遵循公平性、竞争性与可持续性原则的基础上，结合农牧行业特性及员工需求，进行了系统性优化。深入市场薪酬调研，确保薪酬水平与行业及地区市场保持一致，并根据公司发展状况和员工贡献进行动态调整，以吸引和保留优秀人才。坚持</w:t>
      </w:r>
      <w:r w:rsidRPr="005B5EC1">
        <w:rPr>
          <w:rFonts w:ascii="Times New Roman" w:hAnsi="Times New Roman" w:cs="Times New Roman"/>
          <w:sz w:val="18"/>
          <w:szCs w:val="18"/>
        </w:rPr>
        <w:t>“</w:t>
      </w:r>
      <w:r w:rsidRPr="005B5EC1">
        <w:rPr>
          <w:rFonts w:ascii="Times New Roman" w:hAnsi="Times New Roman" w:cs="Times New Roman"/>
          <w:sz w:val="18"/>
          <w:szCs w:val="18"/>
        </w:rPr>
        <w:t>同工同酬</w:t>
      </w:r>
      <w:r w:rsidRPr="005B5EC1">
        <w:rPr>
          <w:rFonts w:ascii="Times New Roman" w:hAnsi="Times New Roman" w:cs="Times New Roman"/>
          <w:sz w:val="18"/>
          <w:szCs w:val="18"/>
        </w:rPr>
        <w:t>”</w:t>
      </w:r>
      <w:r w:rsidRPr="005B5EC1">
        <w:rPr>
          <w:rFonts w:ascii="Times New Roman" w:hAnsi="Times New Roman" w:cs="Times New Roman"/>
          <w:sz w:val="18"/>
          <w:szCs w:val="18"/>
        </w:rPr>
        <w:t>原则，确保相同岗位或相似职责的员工薪酬公平合理。同时，薪酬分配与员工的能力、经验及绩效表现紧密挂钩。</w:t>
      </w:r>
    </w:p>
    <w:p w14:paraId="05DE5774" w14:textId="77777777" w:rsidR="00E32FE0" w:rsidRPr="005B5EC1" w:rsidRDefault="00000000">
      <w:pPr>
        <w:pStyle w:val="3"/>
        <w:spacing w:line="280" w:lineRule="exact"/>
        <w:jc w:val="left"/>
        <w:rPr>
          <w:rFonts w:ascii="Times New Roman" w:hAnsi="Times New Roman" w:cs="Times New Roman"/>
          <w:b/>
          <w:bCs/>
        </w:rPr>
      </w:pPr>
      <w:bookmarkStart w:id="77" w:name="_Toc988966"/>
      <w:r w:rsidRPr="005B5EC1">
        <w:rPr>
          <w:rFonts w:ascii="Times New Roman" w:hAnsi="Times New Roman" w:cs="Times New Roman"/>
          <w:b/>
          <w:bCs/>
        </w:rPr>
        <w:t>3</w:t>
      </w:r>
      <w:r w:rsidRPr="005B5EC1">
        <w:rPr>
          <w:rFonts w:ascii="Times New Roman" w:hAnsi="Times New Roman" w:cs="Times New Roman"/>
          <w:b/>
          <w:bCs/>
        </w:rPr>
        <w:t>、培训计划</w:t>
      </w:r>
      <w:bookmarkEnd w:id="77"/>
    </w:p>
    <w:p w14:paraId="3DCDBF27" w14:textId="77777777" w:rsidR="00AF139E" w:rsidRPr="005B5EC1" w:rsidRDefault="00000000" w:rsidP="00A820CB">
      <w:pPr>
        <w:pStyle w:val="a3"/>
        <w:spacing w:before="0" w:beforeAutospacing="0" w:after="0" w:afterAutospacing="0" w:line="276" w:lineRule="auto"/>
        <w:ind w:firstLineChars="200" w:firstLine="360"/>
        <w:divId w:val="2032874878"/>
        <w:rPr>
          <w:rFonts w:ascii="Times New Roman" w:hAnsi="Times New Roman" w:cs="Times New Roman"/>
          <w:sz w:val="18"/>
          <w:szCs w:val="18"/>
        </w:rPr>
      </w:pPr>
      <w:r w:rsidRPr="005B5EC1">
        <w:rPr>
          <w:rFonts w:ascii="Times New Roman" w:hAnsi="Times New Roman" w:cs="Times New Roman"/>
          <w:sz w:val="18"/>
          <w:szCs w:val="18"/>
        </w:rPr>
        <w:t>公司始终将人员培训与人才梯队建设视为发展的核心动力，全力搭建一个涵盖多个层次与领域的综合性人才发展架构。通过系统化的培训规划，我们致力于全方位提升员工的专业知识储备、实践技能水平以及综合素养，并确保培训方向与企业战略目标高度一致。在此过程中，公司持续完善培训课程体系，巧妙融合多种培训手段，同时构建起科学合理的培训激励与责任机制，旨在充分挖掘员工的内在潜力，高效利用人力资源，为企业的长远发展提供坚实的人才保障与不竭动力源泉。</w:t>
      </w:r>
    </w:p>
    <w:p w14:paraId="192B15FC" w14:textId="77777777" w:rsidR="00E32FE0" w:rsidRPr="005B5EC1" w:rsidRDefault="00000000">
      <w:pPr>
        <w:pStyle w:val="3"/>
        <w:spacing w:line="280" w:lineRule="exact"/>
        <w:jc w:val="left"/>
        <w:rPr>
          <w:rFonts w:ascii="Times New Roman" w:hAnsi="Times New Roman" w:cs="Times New Roman"/>
          <w:b/>
          <w:bCs/>
        </w:rPr>
      </w:pPr>
      <w:bookmarkStart w:id="78" w:name="_Toc988967"/>
      <w:r w:rsidRPr="005B5EC1">
        <w:rPr>
          <w:rFonts w:ascii="Times New Roman" w:hAnsi="Times New Roman" w:cs="Times New Roman"/>
          <w:b/>
          <w:bCs/>
        </w:rPr>
        <w:t>4</w:t>
      </w:r>
      <w:r w:rsidRPr="005B5EC1">
        <w:rPr>
          <w:rFonts w:ascii="Times New Roman" w:hAnsi="Times New Roman" w:cs="Times New Roman"/>
          <w:b/>
          <w:bCs/>
        </w:rPr>
        <w:t>、劳务外包情况</w:t>
      </w:r>
      <w:bookmarkEnd w:id="78"/>
    </w:p>
    <w:p w14:paraId="24F71DB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73BE606"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79" w:name="_Toc988968"/>
      <w:r w:rsidRPr="005B5EC1">
        <w:rPr>
          <w:rFonts w:ascii="Times New Roman" w:eastAsia="宋体" w:hAnsi="Times New Roman" w:cs="Times New Roman"/>
          <w:b/>
          <w:bCs/>
          <w:sz w:val="24"/>
          <w:szCs w:val="24"/>
        </w:rPr>
        <w:lastRenderedPageBreak/>
        <w:t>十、公司利润分配及资本公积金转增股本情况</w:t>
      </w:r>
      <w:bookmarkEnd w:id="79"/>
    </w:p>
    <w:p w14:paraId="0FF4474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报告期内利润分配政策，特别是现金分红政策的制定、执行或调整情况</w:t>
      </w:r>
    </w:p>
    <w:p w14:paraId="295F332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43945A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公司报告期内盈利且母公司可供股东分配利润为正但未提出现金红利分配预案</w:t>
      </w:r>
    </w:p>
    <w:p w14:paraId="6431777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8C04C9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本报告期利润分配及资本公积金转增股本情况</w:t>
      </w:r>
    </w:p>
    <w:p w14:paraId="6446560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96028D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公司计划年度不派发现金红利，不送红股，不以公积金转增股本。</w:t>
      </w:r>
    </w:p>
    <w:p w14:paraId="790B53BC"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80" w:name="_Toc988969"/>
      <w:r w:rsidRPr="005B5EC1">
        <w:rPr>
          <w:rFonts w:ascii="Times New Roman" w:eastAsia="宋体" w:hAnsi="Times New Roman" w:cs="Times New Roman"/>
          <w:b/>
          <w:bCs/>
          <w:sz w:val="24"/>
          <w:szCs w:val="24"/>
        </w:rPr>
        <w:t>十一、公司股权激励计划、员工持股计划或其他员工激励措施的实施情况</w:t>
      </w:r>
      <w:bookmarkEnd w:id="80"/>
    </w:p>
    <w:p w14:paraId="429843E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672422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公司报告期无股权激励计划、员工持股计划或其他员工激励措施及其实施情况。</w:t>
      </w:r>
    </w:p>
    <w:p w14:paraId="486072FD"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81" w:name="_Toc988970"/>
      <w:r w:rsidRPr="005B5EC1">
        <w:rPr>
          <w:rFonts w:ascii="Times New Roman" w:eastAsia="宋体" w:hAnsi="Times New Roman" w:cs="Times New Roman"/>
          <w:b/>
          <w:bCs/>
          <w:sz w:val="24"/>
          <w:szCs w:val="24"/>
        </w:rPr>
        <w:t>十二、报告期内的内部控制制度建设及实施情况</w:t>
      </w:r>
      <w:bookmarkEnd w:id="81"/>
    </w:p>
    <w:p w14:paraId="37281CD1" w14:textId="77777777" w:rsidR="00E32FE0" w:rsidRPr="005B5EC1" w:rsidRDefault="00000000">
      <w:pPr>
        <w:pStyle w:val="3"/>
        <w:spacing w:line="280" w:lineRule="exact"/>
        <w:jc w:val="left"/>
        <w:rPr>
          <w:rFonts w:ascii="Times New Roman" w:hAnsi="Times New Roman" w:cs="Times New Roman"/>
          <w:b/>
          <w:bCs/>
        </w:rPr>
      </w:pPr>
      <w:bookmarkStart w:id="82" w:name="_Toc988971"/>
      <w:r w:rsidRPr="005B5EC1">
        <w:rPr>
          <w:rFonts w:ascii="Times New Roman" w:hAnsi="Times New Roman" w:cs="Times New Roman"/>
          <w:b/>
          <w:bCs/>
        </w:rPr>
        <w:t>1</w:t>
      </w:r>
      <w:r w:rsidRPr="005B5EC1">
        <w:rPr>
          <w:rFonts w:ascii="Times New Roman" w:hAnsi="Times New Roman" w:cs="Times New Roman"/>
          <w:b/>
          <w:bCs/>
        </w:rPr>
        <w:t>、内部控制建设及实施情况</w:t>
      </w:r>
      <w:bookmarkEnd w:id="82"/>
    </w:p>
    <w:p w14:paraId="18E64DA7" w14:textId="77777777" w:rsidR="00AF139E" w:rsidRPr="005B5EC1" w:rsidRDefault="00000000" w:rsidP="00A820CB">
      <w:pPr>
        <w:pStyle w:val="a3"/>
        <w:spacing w:line="276" w:lineRule="auto"/>
        <w:ind w:firstLine="357"/>
        <w:divId w:val="762803753"/>
        <w:rPr>
          <w:rFonts w:ascii="Times New Roman" w:hAnsi="Times New Roman" w:cs="Times New Roman"/>
        </w:rPr>
      </w:pPr>
      <w:r w:rsidRPr="005B5EC1">
        <w:rPr>
          <w:rFonts w:ascii="Times New Roman" w:hAnsi="Times New Roman" w:cs="Times New Roman"/>
          <w:sz w:val="18"/>
          <w:szCs w:val="18"/>
        </w:rPr>
        <w:t>报告期内，公司按照《公司法》《证券法》《企业内部控制基本规范》《深圳证券交易所股票上市规则》《上市公司自律监管指引第</w:t>
      </w:r>
      <w:r w:rsidRPr="005B5EC1">
        <w:rPr>
          <w:rFonts w:ascii="Times New Roman" w:hAnsi="Times New Roman" w:cs="Times New Roman"/>
          <w:sz w:val="18"/>
          <w:szCs w:val="18"/>
        </w:rPr>
        <w:t>1</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主板上市公司规范运作》和其他相关法律法规的要求，对内部控制体系进行适时的更新和完善，建立了一套科学、合理的内部控制体系。公司各部门认真落实和执行各项内控管理制度，不存在重大遗漏。公司通过内部控制体系的运行、分析与评价，有效防范了经营管理中的风险，促进了内部控制目标的实现。</w:t>
      </w:r>
    </w:p>
    <w:p w14:paraId="563DBD55" w14:textId="77777777" w:rsidR="00E32FE0" w:rsidRPr="005B5EC1" w:rsidRDefault="00000000">
      <w:pPr>
        <w:pStyle w:val="3"/>
        <w:spacing w:line="280" w:lineRule="exact"/>
        <w:jc w:val="left"/>
        <w:rPr>
          <w:rFonts w:ascii="Times New Roman" w:hAnsi="Times New Roman" w:cs="Times New Roman"/>
          <w:b/>
          <w:bCs/>
        </w:rPr>
      </w:pPr>
      <w:bookmarkStart w:id="83" w:name="_Toc988972"/>
      <w:r w:rsidRPr="005B5EC1">
        <w:rPr>
          <w:rFonts w:ascii="Times New Roman" w:hAnsi="Times New Roman" w:cs="Times New Roman"/>
          <w:b/>
          <w:bCs/>
        </w:rPr>
        <w:t>2</w:t>
      </w:r>
      <w:r w:rsidRPr="005B5EC1">
        <w:rPr>
          <w:rFonts w:ascii="Times New Roman" w:hAnsi="Times New Roman" w:cs="Times New Roman"/>
          <w:b/>
          <w:bCs/>
        </w:rPr>
        <w:t>、报告期内发现的内部控制重大缺陷的具体情况</w:t>
      </w:r>
      <w:bookmarkEnd w:id="83"/>
    </w:p>
    <w:p w14:paraId="1995528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108BC70F"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84" w:name="_Toc988973"/>
      <w:r w:rsidRPr="005B5EC1">
        <w:rPr>
          <w:rFonts w:ascii="Times New Roman" w:eastAsia="宋体" w:hAnsi="Times New Roman" w:cs="Times New Roman"/>
          <w:b/>
          <w:bCs/>
          <w:sz w:val="24"/>
          <w:szCs w:val="24"/>
        </w:rPr>
        <w:t>十三、公司报告期内对子公司的管理控制情况</w:t>
      </w:r>
      <w:bookmarkEnd w:id="84"/>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713D2CFF"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D603EE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059DD1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整合计划</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283858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整合进展</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AA6ABD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整合中遇到的问题</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71C27F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已采取的解决措施</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E36BB3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解决进展</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4B8666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后续解决计划</w:t>
            </w:r>
          </w:p>
        </w:tc>
      </w:tr>
      <w:tr w:rsidR="00E32FE0" w:rsidRPr="005B5EC1" w14:paraId="11F13E02"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2F4199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79867F82"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37D68D4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3CF67166"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55692E05"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3F175919"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14:paraId="7DC1E168" w14:textId="77777777" w:rsidR="00E32FE0" w:rsidRPr="005B5EC1" w:rsidRDefault="00000000" w:rsidP="00A820CB">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bl>
    <w:p w14:paraId="6EE4838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85" w:name="_Toc988974"/>
      <w:r w:rsidRPr="005B5EC1">
        <w:rPr>
          <w:rFonts w:ascii="Times New Roman" w:eastAsia="宋体" w:hAnsi="Times New Roman" w:cs="Times New Roman"/>
          <w:b/>
          <w:bCs/>
          <w:sz w:val="24"/>
          <w:szCs w:val="24"/>
        </w:rPr>
        <w:t>十四、内部控制评价报告或内部控制审计报告</w:t>
      </w:r>
      <w:bookmarkEnd w:id="85"/>
    </w:p>
    <w:p w14:paraId="4F95CF38" w14:textId="77777777" w:rsidR="00E32FE0" w:rsidRPr="005B5EC1" w:rsidRDefault="00000000">
      <w:pPr>
        <w:pStyle w:val="3"/>
        <w:spacing w:line="280" w:lineRule="exact"/>
        <w:jc w:val="left"/>
        <w:rPr>
          <w:rFonts w:ascii="Times New Roman" w:hAnsi="Times New Roman" w:cs="Times New Roman"/>
          <w:b/>
          <w:bCs/>
        </w:rPr>
      </w:pPr>
      <w:bookmarkStart w:id="86" w:name="_Toc988975"/>
      <w:r w:rsidRPr="005B5EC1">
        <w:rPr>
          <w:rFonts w:ascii="Times New Roman" w:hAnsi="Times New Roman" w:cs="Times New Roman"/>
          <w:b/>
          <w:bCs/>
        </w:rPr>
        <w:t>1</w:t>
      </w:r>
      <w:r w:rsidRPr="005B5EC1">
        <w:rPr>
          <w:rFonts w:ascii="Times New Roman" w:hAnsi="Times New Roman" w:cs="Times New Roman"/>
          <w:b/>
          <w:bCs/>
        </w:rPr>
        <w:t>、内控评价报告</w:t>
      </w:r>
      <w:bookmarkEnd w:id="86"/>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495355A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3B6BC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内部控制评价报告全文披露日期</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1FA2F30F" w14:textId="4AAAB6FE"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w:t>
            </w:r>
            <w:r w:rsidR="004D74B9">
              <w:rPr>
                <w:rFonts w:ascii="Times New Roman" w:eastAsia="宋体" w:hAnsi="Times New Roman" w:cs="Times New Roman" w:hint="eastAsia"/>
                <w:sz w:val="18"/>
                <w:szCs w:val="18"/>
              </w:rPr>
              <w:t>6</w:t>
            </w:r>
            <w:r w:rsidRPr="005B5EC1">
              <w:rPr>
                <w:rFonts w:ascii="Times New Roman" w:eastAsia="宋体" w:hAnsi="Times New Roman" w:cs="Times New Roman"/>
                <w:sz w:val="18"/>
                <w:szCs w:val="18"/>
              </w:rPr>
              <w:t>日</w:t>
            </w:r>
          </w:p>
        </w:tc>
      </w:tr>
      <w:tr w:rsidR="00E32FE0" w:rsidRPr="005B5EC1" w14:paraId="68B170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099AE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内部控制评价报告全文披露索引</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14890C81" w14:textId="7ED84503"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具体内容详见公司</w:t>
            </w: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w:t>
            </w:r>
            <w:r w:rsidR="004D74B9">
              <w:rPr>
                <w:rFonts w:ascii="Times New Roman" w:eastAsia="宋体" w:hAnsi="Times New Roman" w:cs="Times New Roman" w:hint="eastAsia"/>
                <w:sz w:val="18"/>
                <w:szCs w:val="18"/>
              </w:rPr>
              <w:t>6</w:t>
            </w:r>
            <w:r w:rsidRPr="005B5EC1">
              <w:rPr>
                <w:rFonts w:ascii="Times New Roman" w:eastAsia="宋体" w:hAnsi="Times New Roman" w:cs="Times New Roman"/>
                <w:sz w:val="18"/>
                <w:szCs w:val="18"/>
              </w:rPr>
              <w:t>日在巨潮资讯网（</w:t>
            </w:r>
            <w:r w:rsidRPr="005B5EC1">
              <w:rPr>
                <w:rFonts w:ascii="Times New Roman" w:eastAsia="宋体" w:hAnsi="Times New Roman" w:cs="Times New Roman"/>
                <w:sz w:val="18"/>
                <w:szCs w:val="18"/>
              </w:rPr>
              <w:t>www.cninfo.com.cn</w:t>
            </w:r>
            <w:r w:rsidRPr="005B5EC1">
              <w:rPr>
                <w:rFonts w:ascii="Times New Roman" w:eastAsia="宋体" w:hAnsi="Times New Roman" w:cs="Times New Roman"/>
                <w:sz w:val="18"/>
                <w:szCs w:val="18"/>
              </w:rPr>
              <w:t>）披露的《山东龙大美食股份有限公司</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年度内部控制自我评价报告》</w:t>
            </w:r>
          </w:p>
        </w:tc>
      </w:tr>
      <w:tr w:rsidR="00E32FE0" w:rsidRPr="005B5EC1" w14:paraId="4C22F9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2C3AB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纳入评价范围单位资产总额占公司合并财务报表资产总额的比例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0DD554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r>
      <w:tr w:rsidR="00E32FE0" w:rsidRPr="005B5EC1" w14:paraId="6DC2DD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CBFE6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纳入评价范围单位营业收入占公司合并财务报表营业收入的比例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50EB4B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r>
      <w:tr w:rsidR="00E32FE0" w:rsidRPr="005B5EC1" w14:paraId="6D7C6AE2" w14:textId="77777777">
        <w:trPr>
          <w:trHeight w:val="240"/>
        </w:trPr>
        <w:tc>
          <w:tcPr>
            <w:tcW w:w="963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7B3882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缺陷认定标准</w:t>
            </w:r>
          </w:p>
        </w:tc>
      </w:tr>
      <w:tr w:rsidR="00E32FE0" w:rsidRPr="005B5EC1" w14:paraId="3FDE97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1D4AF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类别</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D1270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财务报告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D29D0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非财务报告</w:t>
            </w:r>
          </w:p>
        </w:tc>
      </w:tr>
      <w:tr w:rsidR="00E32FE0" w:rsidRPr="005B5EC1" w14:paraId="321EE3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582C9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定性标准</w:t>
            </w:r>
          </w:p>
        </w:tc>
        <w:tc>
          <w:tcPr>
            <w:tcW w:w="3213" w:type="dxa"/>
            <w:tcBorders>
              <w:top w:val="single" w:sz="2" w:space="0" w:color="auto"/>
              <w:left w:val="single" w:sz="2" w:space="0" w:color="auto"/>
              <w:bottom w:val="single" w:sz="2" w:space="0" w:color="auto"/>
              <w:right w:val="single" w:sz="2" w:space="0" w:color="auto"/>
            </w:tcBorders>
            <w:vAlign w:val="center"/>
          </w:tcPr>
          <w:p w14:paraId="26B4979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重大缺陷：董事、监事和高级管理人员舞弊；公司更正已经公布的财务报告；注册会计师发现财务报告存在重大错报，而内部控制在运行过程中未能发现该错报；公司审计委员会对内部控制的监督无效。</w:t>
            </w:r>
            <w:r w:rsidRPr="005B5EC1">
              <w:rPr>
                <w:rFonts w:ascii="Times New Roman" w:eastAsia="宋体" w:hAnsi="Times New Roman" w:cs="Times New Roman"/>
                <w:sz w:val="18"/>
                <w:szCs w:val="18"/>
              </w:rPr>
              <w:t xml:space="preserve"> </w:t>
            </w:r>
          </w:p>
          <w:p w14:paraId="792969A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重要缺陷：未依照公认会计准则选择和应用会计政策；未建立反舞弊程序和控制措施；对非常规或特殊交易的财务处理没有建立相应的控制机制或没有实施且没有相应的补偿性控制；对于期末财务报告过程的控制存在一项或多项缺陷且不能合理保证编制的财务报表达到真实、准确的目标。</w:t>
            </w:r>
            <w:r w:rsidRPr="005B5EC1">
              <w:rPr>
                <w:rFonts w:ascii="Times New Roman" w:eastAsia="宋体" w:hAnsi="Times New Roman" w:cs="Times New Roman"/>
                <w:sz w:val="18"/>
                <w:szCs w:val="18"/>
              </w:rPr>
              <w:t xml:space="preserve"> </w:t>
            </w:r>
          </w:p>
          <w:p w14:paraId="44C7230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一般缺陷：未构成重大、重要缺陷标准的其他内部控制缺陷。</w:t>
            </w:r>
          </w:p>
        </w:tc>
        <w:tc>
          <w:tcPr>
            <w:tcW w:w="3213" w:type="dxa"/>
            <w:tcBorders>
              <w:top w:val="single" w:sz="2" w:space="0" w:color="auto"/>
              <w:left w:val="single" w:sz="2" w:space="0" w:color="auto"/>
              <w:bottom w:val="single" w:sz="2" w:space="0" w:color="auto"/>
              <w:right w:val="single" w:sz="2" w:space="0" w:color="auto"/>
            </w:tcBorders>
            <w:vAlign w:val="center"/>
          </w:tcPr>
          <w:p w14:paraId="2697AB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重大缺陷：公司缺乏科学决策程序；严重违反国家法律、法规；重要管理人员或技术人员严重流失；媒体负面新闻频现；重要业务缺乏制度控制或制度系统性失效；内部控制评价的结果特别是重大缺陷未得到整改。</w:t>
            </w:r>
          </w:p>
          <w:p w14:paraId="2388B2B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重要缺陷：决策程序导致出现一般性失误；关键岗位业务人员流失严重；重要业务制度或系统存在缺陷；内部控制评价发现的重要缺陷未得到整改。</w:t>
            </w:r>
          </w:p>
          <w:p w14:paraId="4E3DC0E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一般缺陷：决策程序效率不高；一般业务制度或系统存在缺陷；一般岗位人员流失严重；内部控制评价发现的一般缺陷未得到整改。</w:t>
            </w:r>
          </w:p>
        </w:tc>
      </w:tr>
      <w:tr w:rsidR="00E32FE0" w:rsidRPr="005B5EC1" w14:paraId="607EA8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0756D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定量标准</w:t>
            </w:r>
          </w:p>
        </w:tc>
        <w:tc>
          <w:tcPr>
            <w:tcW w:w="3213" w:type="dxa"/>
            <w:tcBorders>
              <w:top w:val="single" w:sz="2" w:space="0" w:color="auto"/>
              <w:left w:val="single" w:sz="2" w:space="0" w:color="auto"/>
              <w:bottom w:val="single" w:sz="2" w:space="0" w:color="auto"/>
              <w:right w:val="single" w:sz="2" w:space="0" w:color="auto"/>
            </w:tcBorders>
            <w:vAlign w:val="center"/>
          </w:tcPr>
          <w:p w14:paraId="7467B84E" w14:textId="77777777" w:rsidR="00901425" w:rsidRPr="00901425" w:rsidRDefault="00901425" w:rsidP="00901425">
            <w:pPr>
              <w:spacing w:after="0" w:line="240" w:lineRule="exact"/>
              <w:rPr>
                <w:rFonts w:ascii="Times New Roman" w:eastAsia="宋体" w:hAnsi="Times New Roman" w:cs="Times New Roman"/>
                <w:sz w:val="18"/>
                <w:szCs w:val="18"/>
              </w:rPr>
            </w:pPr>
            <w:r w:rsidRPr="00901425">
              <w:rPr>
                <w:rFonts w:ascii="Times New Roman" w:eastAsia="宋体" w:hAnsi="Times New Roman" w:cs="Times New Roman" w:hint="eastAsia"/>
                <w:sz w:val="18"/>
                <w:szCs w:val="18"/>
              </w:rPr>
              <w:t>重大缺陷：营业收入潜在错报≥营业收入总额的</w:t>
            </w:r>
            <w:r w:rsidRPr="00901425">
              <w:rPr>
                <w:rFonts w:ascii="Times New Roman" w:eastAsia="宋体" w:hAnsi="Times New Roman" w:cs="Times New Roman" w:hint="eastAsia"/>
                <w:sz w:val="18"/>
                <w:szCs w:val="18"/>
              </w:rPr>
              <w:t>0.5%</w:t>
            </w:r>
            <w:r w:rsidRPr="00901425">
              <w:rPr>
                <w:rFonts w:ascii="Times New Roman" w:eastAsia="宋体" w:hAnsi="Times New Roman" w:cs="Times New Roman" w:hint="eastAsia"/>
                <w:sz w:val="18"/>
                <w:szCs w:val="18"/>
              </w:rPr>
              <w:t>；利润总额潜在错报≥利润总额的</w:t>
            </w:r>
            <w:r w:rsidRPr="00901425">
              <w:rPr>
                <w:rFonts w:ascii="Times New Roman" w:eastAsia="宋体" w:hAnsi="Times New Roman" w:cs="Times New Roman" w:hint="eastAsia"/>
                <w:sz w:val="18"/>
                <w:szCs w:val="18"/>
              </w:rPr>
              <w:t>5%</w:t>
            </w:r>
            <w:r w:rsidRPr="00901425">
              <w:rPr>
                <w:rFonts w:ascii="Times New Roman" w:eastAsia="宋体" w:hAnsi="Times New Roman" w:cs="Times New Roman" w:hint="eastAsia"/>
                <w:sz w:val="18"/>
                <w:szCs w:val="18"/>
              </w:rPr>
              <w:t>，且金额≥</w:t>
            </w:r>
            <w:r w:rsidRPr="00901425">
              <w:rPr>
                <w:rFonts w:ascii="Times New Roman" w:eastAsia="宋体" w:hAnsi="Times New Roman" w:cs="Times New Roman" w:hint="eastAsia"/>
                <w:sz w:val="18"/>
                <w:szCs w:val="18"/>
              </w:rPr>
              <w:t>1,000</w:t>
            </w:r>
            <w:r w:rsidRPr="00901425">
              <w:rPr>
                <w:rFonts w:ascii="Times New Roman" w:eastAsia="宋体" w:hAnsi="Times New Roman" w:cs="Times New Roman" w:hint="eastAsia"/>
                <w:sz w:val="18"/>
                <w:szCs w:val="18"/>
              </w:rPr>
              <w:t>万元；资产总额潜在错报≥资产总额的</w:t>
            </w:r>
            <w:r w:rsidRPr="00901425">
              <w:rPr>
                <w:rFonts w:ascii="Times New Roman" w:eastAsia="宋体" w:hAnsi="Times New Roman" w:cs="Times New Roman" w:hint="eastAsia"/>
                <w:sz w:val="18"/>
                <w:szCs w:val="18"/>
              </w:rPr>
              <w:t>0.5%</w:t>
            </w:r>
            <w:r w:rsidRPr="00901425">
              <w:rPr>
                <w:rFonts w:ascii="Times New Roman" w:eastAsia="宋体" w:hAnsi="Times New Roman" w:cs="Times New Roman" w:hint="eastAsia"/>
                <w:sz w:val="18"/>
                <w:szCs w:val="18"/>
              </w:rPr>
              <w:t>；所有者权益潜在错报≥所有者权益总额的</w:t>
            </w:r>
            <w:r w:rsidRPr="00901425">
              <w:rPr>
                <w:rFonts w:ascii="Times New Roman" w:eastAsia="宋体" w:hAnsi="Times New Roman" w:cs="Times New Roman" w:hint="eastAsia"/>
                <w:sz w:val="18"/>
                <w:szCs w:val="18"/>
              </w:rPr>
              <w:t>0.5%</w:t>
            </w:r>
            <w:r w:rsidRPr="00901425">
              <w:rPr>
                <w:rFonts w:ascii="Times New Roman" w:eastAsia="宋体" w:hAnsi="Times New Roman" w:cs="Times New Roman" w:hint="eastAsia"/>
                <w:sz w:val="18"/>
                <w:szCs w:val="18"/>
              </w:rPr>
              <w:t>。</w:t>
            </w:r>
          </w:p>
          <w:p w14:paraId="4A1674C2" w14:textId="77777777" w:rsidR="00901425" w:rsidRPr="00901425" w:rsidRDefault="00901425" w:rsidP="00901425">
            <w:pPr>
              <w:spacing w:after="0" w:line="240" w:lineRule="exact"/>
              <w:rPr>
                <w:rFonts w:ascii="Times New Roman" w:eastAsia="宋体" w:hAnsi="Times New Roman" w:cs="Times New Roman"/>
                <w:sz w:val="18"/>
                <w:szCs w:val="18"/>
              </w:rPr>
            </w:pPr>
            <w:r w:rsidRPr="00901425">
              <w:rPr>
                <w:rFonts w:ascii="Times New Roman" w:eastAsia="宋体" w:hAnsi="Times New Roman" w:cs="Times New Roman" w:hint="eastAsia"/>
                <w:sz w:val="18"/>
                <w:szCs w:val="18"/>
              </w:rPr>
              <w:t>重要缺陷：营业收入总额的</w:t>
            </w:r>
            <w:r w:rsidRPr="00901425">
              <w:rPr>
                <w:rFonts w:ascii="Times New Roman" w:eastAsia="宋体" w:hAnsi="Times New Roman" w:cs="Times New Roman" w:hint="eastAsia"/>
                <w:sz w:val="18"/>
                <w:szCs w:val="18"/>
              </w:rPr>
              <w:t>0.5%&gt;</w:t>
            </w:r>
            <w:r w:rsidRPr="00901425">
              <w:rPr>
                <w:rFonts w:ascii="Times New Roman" w:eastAsia="宋体" w:hAnsi="Times New Roman" w:cs="Times New Roman" w:hint="eastAsia"/>
                <w:sz w:val="18"/>
                <w:szCs w:val="18"/>
              </w:rPr>
              <w:t>营业收入潜在错报≥营业收入总额的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；利润总额的</w:t>
            </w:r>
            <w:r w:rsidRPr="00901425">
              <w:rPr>
                <w:rFonts w:ascii="Times New Roman" w:eastAsia="宋体" w:hAnsi="Times New Roman" w:cs="Times New Roman" w:hint="eastAsia"/>
                <w:sz w:val="18"/>
                <w:szCs w:val="18"/>
              </w:rPr>
              <w:t>5%&gt;</w:t>
            </w:r>
            <w:r w:rsidRPr="00901425">
              <w:rPr>
                <w:rFonts w:ascii="Times New Roman" w:eastAsia="宋体" w:hAnsi="Times New Roman" w:cs="Times New Roman" w:hint="eastAsia"/>
                <w:sz w:val="18"/>
                <w:szCs w:val="18"/>
              </w:rPr>
              <w:t>利润总额潜在错报≥利润总额的</w:t>
            </w:r>
            <w:r w:rsidRPr="00901425">
              <w:rPr>
                <w:rFonts w:ascii="Times New Roman" w:eastAsia="宋体" w:hAnsi="Times New Roman" w:cs="Times New Roman" w:hint="eastAsia"/>
                <w:sz w:val="18"/>
                <w:szCs w:val="18"/>
              </w:rPr>
              <w:t>2%</w:t>
            </w:r>
            <w:r w:rsidRPr="00901425">
              <w:rPr>
                <w:rFonts w:ascii="Times New Roman" w:eastAsia="宋体" w:hAnsi="Times New Roman" w:cs="Times New Roman" w:hint="eastAsia"/>
                <w:sz w:val="18"/>
                <w:szCs w:val="18"/>
              </w:rPr>
              <w:t>，且金额≥</w:t>
            </w:r>
            <w:r w:rsidRPr="00901425">
              <w:rPr>
                <w:rFonts w:ascii="Times New Roman" w:eastAsia="宋体" w:hAnsi="Times New Roman" w:cs="Times New Roman" w:hint="eastAsia"/>
                <w:sz w:val="18"/>
                <w:szCs w:val="18"/>
              </w:rPr>
              <w:t>500</w:t>
            </w:r>
            <w:r w:rsidRPr="00901425">
              <w:rPr>
                <w:rFonts w:ascii="Times New Roman" w:eastAsia="宋体" w:hAnsi="Times New Roman" w:cs="Times New Roman" w:hint="eastAsia"/>
                <w:sz w:val="18"/>
                <w:szCs w:val="18"/>
              </w:rPr>
              <w:t>万元；资产总额的</w:t>
            </w:r>
            <w:r w:rsidRPr="00901425">
              <w:rPr>
                <w:rFonts w:ascii="Times New Roman" w:eastAsia="宋体" w:hAnsi="Times New Roman" w:cs="Times New Roman" w:hint="eastAsia"/>
                <w:sz w:val="18"/>
                <w:szCs w:val="18"/>
              </w:rPr>
              <w:t>0.5%&gt;</w:t>
            </w:r>
            <w:r w:rsidRPr="00901425">
              <w:rPr>
                <w:rFonts w:ascii="Times New Roman" w:eastAsia="宋体" w:hAnsi="Times New Roman" w:cs="Times New Roman" w:hint="eastAsia"/>
                <w:sz w:val="18"/>
                <w:szCs w:val="18"/>
              </w:rPr>
              <w:t>资产总额潜在错报≥资产总额的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；所有者权益总额的</w:t>
            </w:r>
            <w:r w:rsidRPr="00901425">
              <w:rPr>
                <w:rFonts w:ascii="Times New Roman" w:eastAsia="宋体" w:hAnsi="Times New Roman" w:cs="Times New Roman" w:hint="eastAsia"/>
                <w:sz w:val="18"/>
                <w:szCs w:val="18"/>
              </w:rPr>
              <w:t>0.5%&gt;</w:t>
            </w:r>
            <w:r w:rsidRPr="00901425">
              <w:rPr>
                <w:rFonts w:ascii="Times New Roman" w:eastAsia="宋体" w:hAnsi="Times New Roman" w:cs="Times New Roman" w:hint="eastAsia"/>
                <w:sz w:val="18"/>
                <w:szCs w:val="18"/>
              </w:rPr>
              <w:t>所有者权益潜在错报≥所有者权益总额的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w:t>
            </w:r>
          </w:p>
          <w:p w14:paraId="0E164474" w14:textId="5A8A0A05" w:rsidR="00E32FE0" w:rsidRPr="005B5EC1" w:rsidRDefault="00901425" w:rsidP="00901425">
            <w:pPr>
              <w:spacing w:after="0" w:line="240" w:lineRule="exact"/>
              <w:rPr>
                <w:rFonts w:ascii="Times New Roman" w:eastAsia="宋体" w:hAnsi="Times New Roman" w:cs="Times New Roman"/>
                <w:sz w:val="18"/>
                <w:szCs w:val="18"/>
              </w:rPr>
            </w:pPr>
            <w:r w:rsidRPr="00901425">
              <w:rPr>
                <w:rFonts w:ascii="Times New Roman" w:eastAsia="宋体" w:hAnsi="Times New Roman" w:cs="Times New Roman" w:hint="eastAsia"/>
                <w:sz w:val="18"/>
                <w:szCs w:val="18"/>
              </w:rPr>
              <w:t>一般缺陷：营业收入潜在错报</w:t>
            </w:r>
            <w:r w:rsidRPr="00901425">
              <w:rPr>
                <w:rFonts w:ascii="Times New Roman" w:eastAsia="宋体" w:hAnsi="Times New Roman" w:cs="Times New Roman" w:hint="eastAsia"/>
                <w:sz w:val="18"/>
                <w:szCs w:val="18"/>
              </w:rPr>
              <w:t>&lt;</w:t>
            </w:r>
            <w:r w:rsidRPr="00901425">
              <w:rPr>
                <w:rFonts w:ascii="Times New Roman" w:eastAsia="宋体" w:hAnsi="Times New Roman" w:cs="Times New Roman" w:hint="eastAsia"/>
                <w:sz w:val="18"/>
                <w:szCs w:val="18"/>
              </w:rPr>
              <w:t>营业收入总额的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；利润总额潜在错报</w:t>
            </w:r>
            <w:r w:rsidRPr="00901425">
              <w:rPr>
                <w:rFonts w:ascii="Times New Roman" w:eastAsia="宋体" w:hAnsi="Times New Roman" w:cs="Times New Roman" w:hint="eastAsia"/>
                <w:sz w:val="18"/>
                <w:szCs w:val="18"/>
              </w:rPr>
              <w:t>&lt;</w:t>
            </w:r>
            <w:r w:rsidRPr="00901425">
              <w:rPr>
                <w:rFonts w:ascii="Times New Roman" w:eastAsia="宋体" w:hAnsi="Times New Roman" w:cs="Times New Roman" w:hint="eastAsia"/>
                <w:sz w:val="18"/>
                <w:szCs w:val="18"/>
              </w:rPr>
              <w:t>利润总额的</w:t>
            </w:r>
            <w:r w:rsidRPr="00901425">
              <w:rPr>
                <w:rFonts w:ascii="Times New Roman" w:eastAsia="宋体" w:hAnsi="Times New Roman" w:cs="Times New Roman" w:hint="eastAsia"/>
                <w:sz w:val="18"/>
                <w:szCs w:val="18"/>
              </w:rPr>
              <w:t>2%</w:t>
            </w:r>
            <w:r w:rsidRPr="00901425">
              <w:rPr>
                <w:rFonts w:ascii="Times New Roman" w:eastAsia="宋体" w:hAnsi="Times New Roman" w:cs="Times New Roman" w:hint="eastAsia"/>
                <w:sz w:val="18"/>
                <w:szCs w:val="18"/>
              </w:rPr>
              <w:t>，且金额≥</w:t>
            </w:r>
            <w:r w:rsidRPr="00901425">
              <w:rPr>
                <w:rFonts w:ascii="Times New Roman" w:eastAsia="宋体" w:hAnsi="Times New Roman" w:cs="Times New Roman" w:hint="eastAsia"/>
                <w:sz w:val="18"/>
                <w:szCs w:val="18"/>
              </w:rPr>
              <w:t>200</w:t>
            </w:r>
            <w:r w:rsidRPr="00901425">
              <w:rPr>
                <w:rFonts w:ascii="Times New Roman" w:eastAsia="宋体" w:hAnsi="Times New Roman" w:cs="Times New Roman" w:hint="eastAsia"/>
                <w:sz w:val="18"/>
                <w:szCs w:val="18"/>
              </w:rPr>
              <w:t>万元；资产总额潜在错报</w:t>
            </w:r>
            <w:r w:rsidRPr="00901425">
              <w:rPr>
                <w:rFonts w:ascii="Times New Roman" w:eastAsia="宋体" w:hAnsi="Times New Roman" w:cs="Times New Roman" w:hint="eastAsia"/>
                <w:sz w:val="18"/>
                <w:szCs w:val="18"/>
              </w:rPr>
              <w:t>&lt;</w:t>
            </w:r>
            <w:r w:rsidRPr="00901425">
              <w:rPr>
                <w:rFonts w:ascii="Times New Roman" w:eastAsia="宋体" w:hAnsi="Times New Roman" w:cs="Times New Roman" w:hint="eastAsia"/>
                <w:sz w:val="18"/>
                <w:szCs w:val="18"/>
              </w:rPr>
              <w:t>资产总额的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；所有者权益潜在错报</w:t>
            </w:r>
            <w:r w:rsidRPr="00901425">
              <w:rPr>
                <w:rFonts w:ascii="Times New Roman" w:eastAsia="宋体" w:hAnsi="Times New Roman" w:cs="Times New Roman" w:hint="eastAsia"/>
                <w:sz w:val="18"/>
                <w:szCs w:val="18"/>
              </w:rPr>
              <w:t>&lt;</w:t>
            </w:r>
            <w:r w:rsidRPr="00901425">
              <w:rPr>
                <w:rFonts w:ascii="Times New Roman" w:eastAsia="宋体" w:hAnsi="Times New Roman" w:cs="Times New Roman" w:hint="eastAsia"/>
                <w:sz w:val="18"/>
                <w:szCs w:val="18"/>
              </w:rPr>
              <w:t>所有者权益总额的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w:t>
            </w:r>
          </w:p>
        </w:tc>
        <w:tc>
          <w:tcPr>
            <w:tcW w:w="3213" w:type="dxa"/>
            <w:tcBorders>
              <w:top w:val="single" w:sz="2" w:space="0" w:color="auto"/>
              <w:left w:val="single" w:sz="2" w:space="0" w:color="auto"/>
              <w:bottom w:val="single" w:sz="2" w:space="0" w:color="auto"/>
              <w:right w:val="single" w:sz="2" w:space="0" w:color="auto"/>
            </w:tcBorders>
            <w:vAlign w:val="center"/>
          </w:tcPr>
          <w:p w14:paraId="4A17A362" w14:textId="77777777" w:rsidR="00901425" w:rsidRPr="00901425" w:rsidRDefault="00901425" w:rsidP="00901425">
            <w:pPr>
              <w:spacing w:after="0" w:line="240" w:lineRule="exact"/>
              <w:rPr>
                <w:rFonts w:ascii="Times New Roman" w:eastAsia="宋体" w:hAnsi="Times New Roman" w:cs="Times New Roman"/>
                <w:sz w:val="18"/>
                <w:szCs w:val="18"/>
              </w:rPr>
            </w:pPr>
            <w:r w:rsidRPr="00901425">
              <w:rPr>
                <w:rFonts w:ascii="Times New Roman" w:eastAsia="宋体" w:hAnsi="Times New Roman" w:cs="Times New Roman" w:hint="eastAsia"/>
                <w:sz w:val="18"/>
                <w:szCs w:val="18"/>
              </w:rPr>
              <w:t>重大缺陷：营业收入潜在错报≥营业收入总额的</w:t>
            </w:r>
            <w:r w:rsidRPr="00901425">
              <w:rPr>
                <w:rFonts w:ascii="Times New Roman" w:eastAsia="宋体" w:hAnsi="Times New Roman" w:cs="Times New Roman" w:hint="eastAsia"/>
                <w:sz w:val="18"/>
                <w:szCs w:val="18"/>
              </w:rPr>
              <w:t>0.5%</w:t>
            </w:r>
            <w:r w:rsidRPr="00901425">
              <w:rPr>
                <w:rFonts w:ascii="Times New Roman" w:eastAsia="宋体" w:hAnsi="Times New Roman" w:cs="Times New Roman" w:hint="eastAsia"/>
                <w:sz w:val="18"/>
                <w:szCs w:val="18"/>
              </w:rPr>
              <w:t>；利润总额潜在错报≥利润总额的</w:t>
            </w:r>
            <w:r w:rsidRPr="00901425">
              <w:rPr>
                <w:rFonts w:ascii="Times New Roman" w:eastAsia="宋体" w:hAnsi="Times New Roman" w:cs="Times New Roman" w:hint="eastAsia"/>
                <w:sz w:val="18"/>
                <w:szCs w:val="18"/>
              </w:rPr>
              <w:t>5%</w:t>
            </w:r>
            <w:r w:rsidRPr="00901425">
              <w:rPr>
                <w:rFonts w:ascii="Times New Roman" w:eastAsia="宋体" w:hAnsi="Times New Roman" w:cs="Times New Roman" w:hint="eastAsia"/>
                <w:sz w:val="18"/>
                <w:szCs w:val="18"/>
              </w:rPr>
              <w:t>，且金额≥</w:t>
            </w:r>
            <w:r w:rsidRPr="00901425">
              <w:rPr>
                <w:rFonts w:ascii="Times New Roman" w:eastAsia="宋体" w:hAnsi="Times New Roman" w:cs="Times New Roman" w:hint="eastAsia"/>
                <w:sz w:val="18"/>
                <w:szCs w:val="18"/>
              </w:rPr>
              <w:t>1,000</w:t>
            </w:r>
            <w:r w:rsidRPr="00901425">
              <w:rPr>
                <w:rFonts w:ascii="Times New Roman" w:eastAsia="宋体" w:hAnsi="Times New Roman" w:cs="Times New Roman" w:hint="eastAsia"/>
                <w:sz w:val="18"/>
                <w:szCs w:val="18"/>
              </w:rPr>
              <w:t>万元；资产总额潜在错报≥资产总额的</w:t>
            </w:r>
            <w:r w:rsidRPr="00901425">
              <w:rPr>
                <w:rFonts w:ascii="Times New Roman" w:eastAsia="宋体" w:hAnsi="Times New Roman" w:cs="Times New Roman" w:hint="eastAsia"/>
                <w:sz w:val="18"/>
                <w:szCs w:val="18"/>
              </w:rPr>
              <w:t>0.5%</w:t>
            </w:r>
            <w:r w:rsidRPr="00901425">
              <w:rPr>
                <w:rFonts w:ascii="Times New Roman" w:eastAsia="宋体" w:hAnsi="Times New Roman" w:cs="Times New Roman" w:hint="eastAsia"/>
                <w:sz w:val="18"/>
                <w:szCs w:val="18"/>
              </w:rPr>
              <w:t>；所有者权益潜在错报≥所有者权益总额的</w:t>
            </w:r>
            <w:r w:rsidRPr="00901425">
              <w:rPr>
                <w:rFonts w:ascii="Times New Roman" w:eastAsia="宋体" w:hAnsi="Times New Roman" w:cs="Times New Roman" w:hint="eastAsia"/>
                <w:sz w:val="18"/>
                <w:szCs w:val="18"/>
              </w:rPr>
              <w:t>0.5%</w:t>
            </w:r>
            <w:r w:rsidRPr="00901425">
              <w:rPr>
                <w:rFonts w:ascii="Times New Roman" w:eastAsia="宋体" w:hAnsi="Times New Roman" w:cs="Times New Roman" w:hint="eastAsia"/>
                <w:sz w:val="18"/>
                <w:szCs w:val="18"/>
              </w:rPr>
              <w:t>。</w:t>
            </w:r>
          </w:p>
          <w:p w14:paraId="07E3D38D" w14:textId="77777777" w:rsidR="00901425" w:rsidRPr="00901425" w:rsidRDefault="00901425" w:rsidP="00901425">
            <w:pPr>
              <w:spacing w:after="0" w:line="240" w:lineRule="exact"/>
              <w:rPr>
                <w:rFonts w:ascii="Times New Roman" w:eastAsia="宋体" w:hAnsi="Times New Roman" w:cs="Times New Roman"/>
                <w:sz w:val="18"/>
                <w:szCs w:val="18"/>
              </w:rPr>
            </w:pPr>
            <w:r w:rsidRPr="00901425">
              <w:rPr>
                <w:rFonts w:ascii="Times New Roman" w:eastAsia="宋体" w:hAnsi="Times New Roman" w:cs="Times New Roman" w:hint="eastAsia"/>
                <w:sz w:val="18"/>
                <w:szCs w:val="18"/>
              </w:rPr>
              <w:t>重要缺陷：营业收入总额的</w:t>
            </w:r>
            <w:r w:rsidRPr="00901425">
              <w:rPr>
                <w:rFonts w:ascii="Times New Roman" w:eastAsia="宋体" w:hAnsi="Times New Roman" w:cs="Times New Roman" w:hint="eastAsia"/>
                <w:sz w:val="18"/>
                <w:szCs w:val="18"/>
              </w:rPr>
              <w:t>0.5%&gt;</w:t>
            </w:r>
            <w:r w:rsidRPr="00901425">
              <w:rPr>
                <w:rFonts w:ascii="Times New Roman" w:eastAsia="宋体" w:hAnsi="Times New Roman" w:cs="Times New Roman" w:hint="eastAsia"/>
                <w:sz w:val="18"/>
                <w:szCs w:val="18"/>
              </w:rPr>
              <w:t>营业收入潜在错报≥营业收入总额的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；利润总额的</w:t>
            </w:r>
            <w:r w:rsidRPr="00901425">
              <w:rPr>
                <w:rFonts w:ascii="Times New Roman" w:eastAsia="宋体" w:hAnsi="Times New Roman" w:cs="Times New Roman" w:hint="eastAsia"/>
                <w:sz w:val="18"/>
                <w:szCs w:val="18"/>
              </w:rPr>
              <w:t>5%&gt;</w:t>
            </w:r>
            <w:r w:rsidRPr="00901425">
              <w:rPr>
                <w:rFonts w:ascii="Times New Roman" w:eastAsia="宋体" w:hAnsi="Times New Roman" w:cs="Times New Roman" w:hint="eastAsia"/>
                <w:sz w:val="18"/>
                <w:szCs w:val="18"/>
              </w:rPr>
              <w:t>利润总额潜在错报≥利润总额的</w:t>
            </w:r>
            <w:r w:rsidRPr="00901425">
              <w:rPr>
                <w:rFonts w:ascii="Times New Roman" w:eastAsia="宋体" w:hAnsi="Times New Roman" w:cs="Times New Roman" w:hint="eastAsia"/>
                <w:sz w:val="18"/>
                <w:szCs w:val="18"/>
              </w:rPr>
              <w:t>2%</w:t>
            </w:r>
            <w:r w:rsidRPr="00901425">
              <w:rPr>
                <w:rFonts w:ascii="Times New Roman" w:eastAsia="宋体" w:hAnsi="Times New Roman" w:cs="Times New Roman" w:hint="eastAsia"/>
                <w:sz w:val="18"/>
                <w:szCs w:val="18"/>
              </w:rPr>
              <w:t>，且金额≥</w:t>
            </w:r>
            <w:r w:rsidRPr="00901425">
              <w:rPr>
                <w:rFonts w:ascii="Times New Roman" w:eastAsia="宋体" w:hAnsi="Times New Roman" w:cs="Times New Roman" w:hint="eastAsia"/>
                <w:sz w:val="18"/>
                <w:szCs w:val="18"/>
              </w:rPr>
              <w:t>500</w:t>
            </w:r>
            <w:r w:rsidRPr="00901425">
              <w:rPr>
                <w:rFonts w:ascii="Times New Roman" w:eastAsia="宋体" w:hAnsi="Times New Roman" w:cs="Times New Roman" w:hint="eastAsia"/>
                <w:sz w:val="18"/>
                <w:szCs w:val="18"/>
              </w:rPr>
              <w:t>万元；资产总额的</w:t>
            </w:r>
            <w:r w:rsidRPr="00901425">
              <w:rPr>
                <w:rFonts w:ascii="Times New Roman" w:eastAsia="宋体" w:hAnsi="Times New Roman" w:cs="Times New Roman" w:hint="eastAsia"/>
                <w:sz w:val="18"/>
                <w:szCs w:val="18"/>
              </w:rPr>
              <w:t>0.5%&gt;</w:t>
            </w:r>
            <w:r w:rsidRPr="00901425">
              <w:rPr>
                <w:rFonts w:ascii="Times New Roman" w:eastAsia="宋体" w:hAnsi="Times New Roman" w:cs="Times New Roman" w:hint="eastAsia"/>
                <w:sz w:val="18"/>
                <w:szCs w:val="18"/>
              </w:rPr>
              <w:t>资产总额潜在错报≥资产总额的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；所有者权益总额的</w:t>
            </w:r>
            <w:r w:rsidRPr="00901425">
              <w:rPr>
                <w:rFonts w:ascii="Times New Roman" w:eastAsia="宋体" w:hAnsi="Times New Roman" w:cs="Times New Roman" w:hint="eastAsia"/>
                <w:sz w:val="18"/>
                <w:szCs w:val="18"/>
              </w:rPr>
              <w:t>0.5%&gt;</w:t>
            </w:r>
            <w:r w:rsidRPr="00901425">
              <w:rPr>
                <w:rFonts w:ascii="Times New Roman" w:eastAsia="宋体" w:hAnsi="Times New Roman" w:cs="Times New Roman" w:hint="eastAsia"/>
                <w:sz w:val="18"/>
                <w:szCs w:val="18"/>
              </w:rPr>
              <w:t>所有者权益潜在错报≥所有者权益总额的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w:t>
            </w:r>
          </w:p>
          <w:p w14:paraId="5674F8EE" w14:textId="4A377FBF" w:rsidR="00E32FE0" w:rsidRPr="005B5EC1" w:rsidRDefault="00901425" w:rsidP="00901425">
            <w:pPr>
              <w:spacing w:after="0" w:line="240" w:lineRule="exact"/>
              <w:rPr>
                <w:rFonts w:ascii="Times New Roman" w:eastAsia="宋体" w:hAnsi="Times New Roman" w:cs="Times New Roman"/>
                <w:sz w:val="18"/>
                <w:szCs w:val="18"/>
              </w:rPr>
            </w:pPr>
            <w:r w:rsidRPr="00901425">
              <w:rPr>
                <w:rFonts w:ascii="Times New Roman" w:eastAsia="宋体" w:hAnsi="Times New Roman" w:cs="Times New Roman" w:hint="eastAsia"/>
                <w:sz w:val="18"/>
                <w:szCs w:val="18"/>
              </w:rPr>
              <w:t>一般缺陷：营业收入潜在错报</w:t>
            </w:r>
            <w:r w:rsidRPr="00901425">
              <w:rPr>
                <w:rFonts w:ascii="Times New Roman" w:eastAsia="宋体" w:hAnsi="Times New Roman" w:cs="Times New Roman" w:hint="eastAsia"/>
                <w:sz w:val="18"/>
                <w:szCs w:val="18"/>
              </w:rPr>
              <w:t>&lt;</w:t>
            </w:r>
            <w:r w:rsidRPr="00901425">
              <w:rPr>
                <w:rFonts w:ascii="Times New Roman" w:eastAsia="宋体" w:hAnsi="Times New Roman" w:cs="Times New Roman" w:hint="eastAsia"/>
                <w:sz w:val="18"/>
                <w:szCs w:val="18"/>
              </w:rPr>
              <w:t>营业收入总额的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；利润总额潜在错报</w:t>
            </w:r>
            <w:r w:rsidRPr="00901425">
              <w:rPr>
                <w:rFonts w:ascii="Times New Roman" w:eastAsia="宋体" w:hAnsi="Times New Roman" w:cs="Times New Roman" w:hint="eastAsia"/>
                <w:sz w:val="18"/>
                <w:szCs w:val="18"/>
              </w:rPr>
              <w:t>&lt;</w:t>
            </w:r>
            <w:r w:rsidRPr="00901425">
              <w:rPr>
                <w:rFonts w:ascii="Times New Roman" w:eastAsia="宋体" w:hAnsi="Times New Roman" w:cs="Times New Roman" w:hint="eastAsia"/>
                <w:sz w:val="18"/>
                <w:szCs w:val="18"/>
              </w:rPr>
              <w:t>利润总额的</w:t>
            </w:r>
            <w:r w:rsidRPr="00901425">
              <w:rPr>
                <w:rFonts w:ascii="Times New Roman" w:eastAsia="宋体" w:hAnsi="Times New Roman" w:cs="Times New Roman" w:hint="eastAsia"/>
                <w:sz w:val="18"/>
                <w:szCs w:val="18"/>
              </w:rPr>
              <w:t>2%</w:t>
            </w:r>
            <w:r w:rsidRPr="00901425">
              <w:rPr>
                <w:rFonts w:ascii="Times New Roman" w:eastAsia="宋体" w:hAnsi="Times New Roman" w:cs="Times New Roman" w:hint="eastAsia"/>
                <w:sz w:val="18"/>
                <w:szCs w:val="18"/>
              </w:rPr>
              <w:t>，且金额≥</w:t>
            </w:r>
            <w:r w:rsidRPr="00901425">
              <w:rPr>
                <w:rFonts w:ascii="Times New Roman" w:eastAsia="宋体" w:hAnsi="Times New Roman" w:cs="Times New Roman" w:hint="eastAsia"/>
                <w:sz w:val="18"/>
                <w:szCs w:val="18"/>
              </w:rPr>
              <w:t>200</w:t>
            </w:r>
            <w:r w:rsidRPr="00901425">
              <w:rPr>
                <w:rFonts w:ascii="Times New Roman" w:eastAsia="宋体" w:hAnsi="Times New Roman" w:cs="Times New Roman" w:hint="eastAsia"/>
                <w:sz w:val="18"/>
                <w:szCs w:val="18"/>
              </w:rPr>
              <w:t>万元；资产总额潜在错报</w:t>
            </w:r>
            <w:r w:rsidRPr="00901425">
              <w:rPr>
                <w:rFonts w:ascii="Times New Roman" w:eastAsia="宋体" w:hAnsi="Times New Roman" w:cs="Times New Roman" w:hint="eastAsia"/>
                <w:sz w:val="18"/>
                <w:szCs w:val="18"/>
              </w:rPr>
              <w:t>&lt;</w:t>
            </w:r>
            <w:r w:rsidRPr="00901425">
              <w:rPr>
                <w:rFonts w:ascii="Times New Roman" w:eastAsia="宋体" w:hAnsi="Times New Roman" w:cs="Times New Roman" w:hint="eastAsia"/>
                <w:sz w:val="18"/>
                <w:szCs w:val="18"/>
              </w:rPr>
              <w:t>资产总额的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；所有者权益潜在错报</w:t>
            </w:r>
            <w:r w:rsidRPr="00901425">
              <w:rPr>
                <w:rFonts w:ascii="Times New Roman" w:eastAsia="宋体" w:hAnsi="Times New Roman" w:cs="Times New Roman" w:hint="eastAsia"/>
                <w:sz w:val="18"/>
                <w:szCs w:val="18"/>
              </w:rPr>
              <w:t>&lt;</w:t>
            </w:r>
            <w:r w:rsidRPr="00901425">
              <w:rPr>
                <w:rFonts w:ascii="Times New Roman" w:eastAsia="宋体" w:hAnsi="Times New Roman" w:cs="Times New Roman" w:hint="eastAsia"/>
                <w:sz w:val="18"/>
                <w:szCs w:val="18"/>
              </w:rPr>
              <w:t>所有者权益总额的</w:t>
            </w:r>
            <w:r w:rsidRPr="00901425">
              <w:rPr>
                <w:rFonts w:ascii="Times New Roman" w:eastAsia="宋体" w:hAnsi="Times New Roman" w:cs="Times New Roman" w:hint="eastAsia"/>
                <w:sz w:val="18"/>
                <w:szCs w:val="18"/>
              </w:rPr>
              <w:t>0.2%</w:t>
            </w:r>
            <w:r w:rsidRPr="00901425">
              <w:rPr>
                <w:rFonts w:ascii="Times New Roman" w:eastAsia="宋体" w:hAnsi="Times New Roman" w:cs="Times New Roman" w:hint="eastAsia"/>
                <w:sz w:val="18"/>
                <w:szCs w:val="18"/>
              </w:rPr>
              <w:t>。</w:t>
            </w:r>
          </w:p>
        </w:tc>
      </w:tr>
      <w:tr w:rsidR="00E32FE0" w:rsidRPr="005B5EC1" w14:paraId="326922B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19524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财务报告重大缺陷数量（个）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44775E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622855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65743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非财务报告重大缺陷数量（个）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7D2727A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21A1A9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6AE5C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财务报告重要缺陷数量（个）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5FFDAB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4FFF11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DE354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非财务报告重要缺陷数量（个）</w:t>
            </w: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54AEC66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bl>
    <w:p w14:paraId="073ED8B4" w14:textId="77777777" w:rsidR="00E32FE0" w:rsidRPr="005B5EC1" w:rsidRDefault="00000000">
      <w:pPr>
        <w:pStyle w:val="3"/>
        <w:spacing w:line="280" w:lineRule="exact"/>
        <w:jc w:val="left"/>
        <w:rPr>
          <w:rFonts w:ascii="Times New Roman" w:hAnsi="Times New Roman" w:cs="Times New Roman"/>
          <w:b/>
          <w:bCs/>
        </w:rPr>
      </w:pPr>
      <w:bookmarkStart w:id="87" w:name="_Toc988976"/>
      <w:r w:rsidRPr="005B5EC1">
        <w:rPr>
          <w:rFonts w:ascii="Times New Roman" w:hAnsi="Times New Roman" w:cs="Times New Roman"/>
          <w:b/>
          <w:bCs/>
        </w:rPr>
        <w:t>2</w:t>
      </w:r>
      <w:r w:rsidRPr="005B5EC1">
        <w:rPr>
          <w:rFonts w:ascii="Times New Roman" w:hAnsi="Times New Roman" w:cs="Times New Roman"/>
          <w:b/>
          <w:bCs/>
        </w:rPr>
        <w:t>、内部控制审计报告</w:t>
      </w:r>
      <w:bookmarkEnd w:id="87"/>
    </w:p>
    <w:p w14:paraId="110C19D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34C89741"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8489D5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内部控制审计报告中的审议意见段</w:t>
            </w:r>
          </w:p>
        </w:tc>
      </w:tr>
      <w:tr w:rsidR="00E32FE0" w:rsidRPr="005B5EC1" w14:paraId="7A780EB2" w14:textId="77777777">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14:paraId="0E5F562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我们认为，龙大美食于</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日按照《企业内部控制基本规范》和相关规定在所有重大方面保持了有效的财务报告内部控制。</w:t>
            </w:r>
          </w:p>
        </w:tc>
      </w:tr>
      <w:tr w:rsidR="00E32FE0" w:rsidRPr="005B5EC1" w14:paraId="625249D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AD8B34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内控审计报告披露情况</w:t>
            </w:r>
          </w:p>
        </w:tc>
        <w:tc>
          <w:tcPr>
            <w:tcW w:w="4820" w:type="dxa"/>
            <w:tcBorders>
              <w:top w:val="single" w:sz="2" w:space="0" w:color="auto"/>
              <w:left w:val="single" w:sz="2" w:space="0" w:color="auto"/>
              <w:bottom w:val="single" w:sz="2" w:space="0" w:color="auto"/>
              <w:right w:val="single" w:sz="2" w:space="0" w:color="auto"/>
            </w:tcBorders>
            <w:vAlign w:val="center"/>
          </w:tcPr>
          <w:p w14:paraId="1662AB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披露</w:t>
            </w:r>
          </w:p>
        </w:tc>
      </w:tr>
      <w:tr w:rsidR="00E32FE0" w:rsidRPr="005B5EC1" w14:paraId="7EDE2F8F"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9E8998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内部控制审计报告全文披露日期</w:t>
            </w:r>
          </w:p>
        </w:tc>
        <w:tc>
          <w:tcPr>
            <w:tcW w:w="4820" w:type="dxa"/>
            <w:tcBorders>
              <w:top w:val="single" w:sz="2" w:space="0" w:color="auto"/>
              <w:left w:val="single" w:sz="2" w:space="0" w:color="auto"/>
              <w:bottom w:val="single" w:sz="2" w:space="0" w:color="auto"/>
              <w:right w:val="single" w:sz="2" w:space="0" w:color="auto"/>
            </w:tcBorders>
            <w:vAlign w:val="center"/>
          </w:tcPr>
          <w:p w14:paraId="3B56754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r>
      <w:tr w:rsidR="00E32FE0" w:rsidRPr="005B5EC1" w14:paraId="20A3390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CD36A1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内部控制审计报告全文披露索引</w:t>
            </w:r>
          </w:p>
        </w:tc>
        <w:tc>
          <w:tcPr>
            <w:tcW w:w="4820" w:type="dxa"/>
            <w:tcBorders>
              <w:top w:val="single" w:sz="2" w:space="0" w:color="auto"/>
              <w:left w:val="single" w:sz="2" w:space="0" w:color="auto"/>
              <w:bottom w:val="single" w:sz="2" w:space="0" w:color="auto"/>
              <w:right w:val="single" w:sz="2" w:space="0" w:color="auto"/>
            </w:tcBorders>
            <w:vAlign w:val="center"/>
          </w:tcPr>
          <w:p w14:paraId="45992E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具体内容详见公司</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日在巨潮资讯网（</w:t>
            </w:r>
            <w:r w:rsidRPr="005B5EC1">
              <w:rPr>
                <w:rFonts w:ascii="Times New Roman" w:eastAsia="宋体" w:hAnsi="Times New Roman" w:cs="Times New Roman"/>
                <w:sz w:val="18"/>
                <w:szCs w:val="18"/>
              </w:rPr>
              <w:t>www.cninfo.com.cn</w:t>
            </w:r>
            <w:r w:rsidRPr="005B5EC1">
              <w:rPr>
                <w:rFonts w:ascii="Times New Roman" w:eastAsia="宋体" w:hAnsi="Times New Roman" w:cs="Times New Roman"/>
                <w:sz w:val="18"/>
                <w:szCs w:val="18"/>
              </w:rPr>
              <w:t>）披露的《</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年度内部控制审计报</w:t>
            </w:r>
            <w:r w:rsidRPr="005B5EC1">
              <w:rPr>
                <w:rFonts w:ascii="Times New Roman" w:eastAsia="宋体" w:hAnsi="Times New Roman" w:cs="Times New Roman"/>
                <w:sz w:val="18"/>
                <w:szCs w:val="18"/>
              </w:rPr>
              <w:lastRenderedPageBreak/>
              <w:t>告》</w:t>
            </w:r>
          </w:p>
        </w:tc>
      </w:tr>
      <w:tr w:rsidR="00E32FE0" w:rsidRPr="005B5EC1" w14:paraId="4B1D824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0D024C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内控审计报告意见类型</w:t>
            </w:r>
          </w:p>
        </w:tc>
        <w:tc>
          <w:tcPr>
            <w:tcW w:w="4820" w:type="dxa"/>
            <w:tcBorders>
              <w:top w:val="single" w:sz="2" w:space="0" w:color="auto"/>
              <w:left w:val="single" w:sz="2" w:space="0" w:color="auto"/>
              <w:bottom w:val="single" w:sz="2" w:space="0" w:color="auto"/>
              <w:right w:val="single" w:sz="2" w:space="0" w:color="auto"/>
            </w:tcBorders>
            <w:vAlign w:val="center"/>
          </w:tcPr>
          <w:p w14:paraId="3C20A31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标准无保留意见</w:t>
            </w:r>
          </w:p>
        </w:tc>
      </w:tr>
      <w:tr w:rsidR="00E32FE0" w:rsidRPr="005B5EC1" w14:paraId="2EE2192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61C686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非财务报告是否存在重大缺陷</w:t>
            </w:r>
          </w:p>
        </w:tc>
        <w:tc>
          <w:tcPr>
            <w:tcW w:w="4820" w:type="dxa"/>
            <w:tcBorders>
              <w:top w:val="single" w:sz="2" w:space="0" w:color="auto"/>
              <w:left w:val="single" w:sz="2" w:space="0" w:color="auto"/>
              <w:bottom w:val="single" w:sz="2" w:space="0" w:color="auto"/>
              <w:right w:val="single" w:sz="2" w:space="0" w:color="auto"/>
            </w:tcBorders>
            <w:vAlign w:val="center"/>
          </w:tcPr>
          <w:p w14:paraId="4ADD827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bl>
    <w:p w14:paraId="32EB701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会计师事务所是否出具非标准意见的内部控制审计报告</w:t>
      </w:r>
    </w:p>
    <w:p w14:paraId="0D37FF6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384E764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会计师事务所出具的内部控制审计报告与董事会的自我评价报告意见是否一致</w:t>
      </w:r>
    </w:p>
    <w:p w14:paraId="351C436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否</w:t>
      </w:r>
    </w:p>
    <w:p w14:paraId="1853B14C"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88" w:name="_Toc988977"/>
      <w:r w:rsidRPr="005B5EC1">
        <w:rPr>
          <w:rFonts w:ascii="Times New Roman" w:eastAsia="宋体" w:hAnsi="Times New Roman" w:cs="Times New Roman"/>
          <w:b/>
          <w:bCs/>
          <w:sz w:val="24"/>
          <w:szCs w:val="24"/>
        </w:rPr>
        <w:t>十五、上市公司治理专项行动自查问题整改情况</w:t>
      </w:r>
      <w:bookmarkEnd w:id="88"/>
    </w:p>
    <w:p w14:paraId="5DC57E62" w14:textId="77777777" w:rsidR="00AF139E" w:rsidRPr="005B5EC1" w:rsidRDefault="00000000">
      <w:pPr>
        <w:pStyle w:val="a3"/>
        <w:divId w:val="542332955"/>
        <w:rPr>
          <w:rFonts w:ascii="Times New Roman" w:hAnsi="Times New Roman" w:cs="Times New Roman"/>
          <w:sz w:val="18"/>
          <w:szCs w:val="18"/>
        </w:rPr>
      </w:pPr>
      <w:r w:rsidRPr="005B5EC1">
        <w:rPr>
          <w:rFonts w:ascii="Times New Roman" w:hAnsi="Times New Roman" w:cs="Times New Roman"/>
          <w:sz w:val="18"/>
          <w:szCs w:val="18"/>
        </w:rPr>
        <w:t>不适用</w:t>
      </w:r>
    </w:p>
    <w:p w14:paraId="7C8E6444"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7DA98FC4"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89" w:name="_Toc988978"/>
      <w:r w:rsidRPr="005B5EC1">
        <w:rPr>
          <w:rFonts w:ascii="Times New Roman" w:eastAsia="宋体" w:hAnsi="Times New Roman" w:cs="Times New Roman"/>
          <w:b/>
          <w:bCs/>
          <w:sz w:val="32"/>
          <w:szCs w:val="32"/>
        </w:rPr>
        <w:lastRenderedPageBreak/>
        <w:t>第五节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环境和社会责任</w:t>
      </w:r>
      <w:bookmarkEnd w:id="89"/>
    </w:p>
    <w:p w14:paraId="6CFD5733"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90" w:name="_Toc988979"/>
      <w:r w:rsidRPr="005B5EC1">
        <w:rPr>
          <w:rFonts w:ascii="Times New Roman" w:eastAsia="宋体" w:hAnsi="Times New Roman" w:cs="Times New Roman"/>
          <w:b/>
          <w:bCs/>
          <w:sz w:val="24"/>
          <w:szCs w:val="24"/>
        </w:rPr>
        <w:t>一、重大环保问题</w:t>
      </w:r>
      <w:bookmarkEnd w:id="90"/>
    </w:p>
    <w:p w14:paraId="4E07294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上市公司及其子公司是否属于环境保护部门公布的重点排污单位</w:t>
      </w:r>
    </w:p>
    <w:p w14:paraId="03C6617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否</w:t>
      </w:r>
    </w:p>
    <w:p w14:paraId="4E8EBF12" w14:textId="77777777" w:rsidR="00A820CB" w:rsidRPr="005B5EC1" w:rsidRDefault="00000000" w:rsidP="00A820CB">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环境保护相关政策和行业标准</w:t>
      </w:r>
    </w:p>
    <w:p w14:paraId="6214FF50" w14:textId="213021D5" w:rsidR="00AF139E" w:rsidRPr="005B5EC1" w:rsidRDefault="00000000" w:rsidP="00A820CB">
      <w:pPr>
        <w:spacing w:after="0" w:line="276" w:lineRule="auto"/>
        <w:ind w:firstLineChars="200" w:firstLine="360"/>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公司在日常生产经营中严格遵守《中华人民共和国环境保护法》《中华人民共和国水污染防治法》《中华人民共和国大气污染物防治法》《肉类加工工业污染物排放标准</w:t>
      </w:r>
      <w:r w:rsidRPr="005B5EC1">
        <w:rPr>
          <w:rFonts w:ascii="Times New Roman" w:eastAsia="宋体" w:hAnsi="Times New Roman" w:cs="Times New Roman"/>
          <w:sz w:val="18"/>
          <w:szCs w:val="18"/>
        </w:rPr>
        <w:t>GB13457-92</w:t>
      </w:r>
      <w:r w:rsidRPr="005B5EC1">
        <w:rPr>
          <w:rFonts w:ascii="Times New Roman" w:eastAsia="宋体" w:hAnsi="Times New Roman" w:cs="Times New Roman"/>
          <w:sz w:val="18"/>
          <w:szCs w:val="18"/>
        </w:rPr>
        <w:t>》《污水综合排放标准</w:t>
      </w:r>
      <w:r w:rsidRPr="005B5EC1">
        <w:rPr>
          <w:rFonts w:ascii="Times New Roman" w:eastAsia="宋体" w:hAnsi="Times New Roman" w:cs="Times New Roman"/>
          <w:sz w:val="18"/>
          <w:szCs w:val="18"/>
        </w:rPr>
        <w:t>GB8978-1996</w:t>
      </w:r>
      <w:r w:rsidRPr="005B5EC1">
        <w:rPr>
          <w:rFonts w:ascii="Times New Roman" w:eastAsia="宋体" w:hAnsi="Times New Roman" w:cs="Times New Roman"/>
          <w:sz w:val="18"/>
          <w:szCs w:val="18"/>
        </w:rPr>
        <w:t>》《污水排入城镇下水道水质标准</w:t>
      </w:r>
      <w:r w:rsidRPr="005B5EC1">
        <w:rPr>
          <w:rFonts w:ascii="Times New Roman" w:eastAsia="宋体" w:hAnsi="Times New Roman" w:cs="Times New Roman"/>
          <w:sz w:val="18"/>
          <w:szCs w:val="18"/>
        </w:rPr>
        <w:t>GB/T 31962-2015</w:t>
      </w:r>
      <w:r w:rsidRPr="005B5EC1">
        <w:rPr>
          <w:rFonts w:ascii="Times New Roman" w:eastAsia="宋体" w:hAnsi="Times New Roman" w:cs="Times New Roman"/>
          <w:sz w:val="18"/>
          <w:szCs w:val="18"/>
        </w:rPr>
        <w:t>》《流域水污染物综合排放标准第</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部分半岛流域</w:t>
      </w:r>
      <w:r w:rsidRPr="005B5EC1">
        <w:rPr>
          <w:rFonts w:ascii="Times New Roman" w:eastAsia="宋体" w:hAnsi="Times New Roman" w:cs="Times New Roman"/>
          <w:sz w:val="18"/>
          <w:szCs w:val="18"/>
        </w:rPr>
        <w:t>DB37/3416.5-2018</w:t>
      </w:r>
      <w:r w:rsidRPr="005B5EC1">
        <w:rPr>
          <w:rFonts w:ascii="Times New Roman" w:eastAsia="宋体" w:hAnsi="Times New Roman" w:cs="Times New Roman"/>
          <w:sz w:val="18"/>
          <w:szCs w:val="18"/>
        </w:rPr>
        <w:t>》《恶臭污染物排放标准</w:t>
      </w:r>
      <w:r w:rsidRPr="005B5EC1">
        <w:rPr>
          <w:rFonts w:ascii="Times New Roman" w:eastAsia="宋体" w:hAnsi="Times New Roman" w:cs="Times New Roman"/>
          <w:sz w:val="18"/>
          <w:szCs w:val="18"/>
        </w:rPr>
        <w:t>GB14554-93</w:t>
      </w:r>
      <w:r w:rsidRPr="005B5EC1">
        <w:rPr>
          <w:rFonts w:ascii="Times New Roman" w:eastAsia="宋体" w:hAnsi="Times New Roman" w:cs="Times New Roman"/>
          <w:sz w:val="18"/>
          <w:szCs w:val="18"/>
        </w:rPr>
        <w:t>》《饮食业油烟排放标准</w:t>
      </w:r>
      <w:r w:rsidRPr="005B5EC1">
        <w:rPr>
          <w:rFonts w:ascii="Times New Roman" w:eastAsia="宋体" w:hAnsi="Times New Roman" w:cs="Times New Roman"/>
          <w:sz w:val="18"/>
          <w:szCs w:val="18"/>
        </w:rPr>
        <w:t>DB37/597-2006</w:t>
      </w:r>
      <w:r w:rsidRPr="005B5EC1">
        <w:rPr>
          <w:rFonts w:ascii="Times New Roman" w:eastAsia="宋体" w:hAnsi="Times New Roman" w:cs="Times New Roman"/>
          <w:sz w:val="18"/>
          <w:szCs w:val="18"/>
        </w:rPr>
        <w:t>》《区域性大气污染物综合排放标准</w:t>
      </w:r>
      <w:r w:rsidRPr="005B5EC1">
        <w:rPr>
          <w:rFonts w:ascii="Times New Roman" w:eastAsia="宋体" w:hAnsi="Times New Roman" w:cs="Times New Roman"/>
          <w:sz w:val="18"/>
          <w:szCs w:val="18"/>
        </w:rPr>
        <w:t>DB37/2376-2019</w:t>
      </w:r>
      <w:r w:rsidRPr="005B5EC1">
        <w:rPr>
          <w:rFonts w:ascii="Times New Roman" w:eastAsia="宋体" w:hAnsi="Times New Roman" w:cs="Times New Roman"/>
          <w:sz w:val="18"/>
          <w:szCs w:val="18"/>
        </w:rPr>
        <w:t>》《山东省锅炉大气污染物排放标准</w:t>
      </w:r>
      <w:r w:rsidRPr="005B5EC1">
        <w:rPr>
          <w:rFonts w:ascii="Times New Roman" w:eastAsia="宋体" w:hAnsi="Times New Roman" w:cs="Times New Roman"/>
          <w:sz w:val="18"/>
          <w:szCs w:val="18"/>
        </w:rPr>
        <w:t>DB37/2374-2018</w:t>
      </w:r>
      <w:r w:rsidRPr="005B5EC1">
        <w:rPr>
          <w:rFonts w:ascii="Times New Roman" w:eastAsia="宋体" w:hAnsi="Times New Roman" w:cs="Times New Roman"/>
          <w:sz w:val="18"/>
          <w:szCs w:val="18"/>
        </w:rPr>
        <w:t>》《挥发性有机物排放标准第</w:t>
      </w:r>
      <w:r w:rsidRPr="005B5EC1">
        <w:rPr>
          <w:rFonts w:ascii="Times New Roman" w:eastAsia="宋体" w:hAnsi="Times New Roman" w:cs="Times New Roman"/>
          <w:sz w:val="18"/>
          <w:szCs w:val="18"/>
        </w:rPr>
        <w:t>7</w:t>
      </w:r>
      <w:r w:rsidRPr="005B5EC1">
        <w:rPr>
          <w:rFonts w:ascii="Times New Roman" w:eastAsia="宋体" w:hAnsi="Times New Roman" w:cs="Times New Roman"/>
          <w:sz w:val="18"/>
          <w:szCs w:val="18"/>
        </w:rPr>
        <w:t>部分其他行业</w:t>
      </w:r>
      <w:r w:rsidRPr="005B5EC1">
        <w:rPr>
          <w:rFonts w:ascii="Times New Roman" w:eastAsia="宋体" w:hAnsi="Times New Roman" w:cs="Times New Roman"/>
          <w:sz w:val="18"/>
          <w:szCs w:val="18"/>
        </w:rPr>
        <w:t>DB37/2801.7-2019</w:t>
      </w:r>
      <w:r w:rsidRPr="005B5EC1">
        <w:rPr>
          <w:rFonts w:ascii="Times New Roman" w:eastAsia="宋体" w:hAnsi="Times New Roman" w:cs="Times New Roman"/>
          <w:sz w:val="18"/>
          <w:szCs w:val="18"/>
        </w:rPr>
        <w:t>》《河南省地方标准</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锅炉大气污染物排放标准</w:t>
      </w:r>
      <w:r w:rsidRPr="005B5EC1">
        <w:rPr>
          <w:rFonts w:ascii="Times New Roman" w:eastAsia="宋体" w:hAnsi="Times New Roman" w:cs="Times New Roman"/>
          <w:sz w:val="18"/>
          <w:szCs w:val="18"/>
        </w:rPr>
        <w:t>DB41/2089-2021</w:t>
      </w:r>
      <w:r w:rsidRPr="005B5EC1">
        <w:rPr>
          <w:rFonts w:ascii="Times New Roman" w:eastAsia="宋体" w:hAnsi="Times New Roman" w:cs="Times New Roman"/>
          <w:sz w:val="18"/>
          <w:szCs w:val="18"/>
        </w:rPr>
        <w:t>》《锅炉大气污染物排放标准</w:t>
      </w:r>
      <w:r w:rsidRPr="005B5EC1">
        <w:rPr>
          <w:rFonts w:ascii="Times New Roman" w:eastAsia="宋体" w:hAnsi="Times New Roman" w:cs="Times New Roman"/>
          <w:sz w:val="18"/>
          <w:szCs w:val="18"/>
        </w:rPr>
        <w:t>GB13271-2014</w:t>
      </w:r>
      <w:r w:rsidRPr="005B5EC1">
        <w:rPr>
          <w:rFonts w:ascii="Times New Roman" w:eastAsia="宋体" w:hAnsi="Times New Roman" w:cs="Times New Roman"/>
          <w:sz w:val="18"/>
          <w:szCs w:val="18"/>
        </w:rPr>
        <w:t>》《大气污染物综合排放标准</w:t>
      </w:r>
      <w:r w:rsidRPr="005B5EC1">
        <w:rPr>
          <w:rFonts w:ascii="Times New Roman" w:eastAsia="宋体" w:hAnsi="Times New Roman" w:cs="Times New Roman"/>
          <w:sz w:val="18"/>
          <w:szCs w:val="18"/>
        </w:rPr>
        <w:t>DB32/4041-2021</w:t>
      </w:r>
      <w:r w:rsidRPr="005B5EC1">
        <w:rPr>
          <w:rFonts w:ascii="Times New Roman" w:eastAsia="宋体" w:hAnsi="Times New Roman" w:cs="Times New Roman"/>
          <w:sz w:val="18"/>
          <w:szCs w:val="18"/>
        </w:rPr>
        <w:t>》等行业标准。</w:t>
      </w:r>
    </w:p>
    <w:p w14:paraId="5A9380F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环境保护行政许可情况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9"/>
        <w:gridCol w:w="2464"/>
        <w:gridCol w:w="2729"/>
        <w:gridCol w:w="1815"/>
      </w:tblGrid>
      <w:tr w:rsidR="00A820CB" w:rsidRPr="005B5EC1" w14:paraId="1CF80511" w14:textId="77777777" w:rsidTr="00A820CB">
        <w:trPr>
          <w:divId w:val="1503081401"/>
          <w:trHeight w:val="20"/>
        </w:trPr>
        <w:tc>
          <w:tcPr>
            <w:tcW w:w="2649" w:type="dxa"/>
            <w:shd w:val="clear" w:color="auto" w:fill="D9D9D9"/>
            <w:tcMar>
              <w:top w:w="10" w:type="dxa"/>
              <w:left w:w="10" w:type="dxa"/>
              <w:bottom w:w="10" w:type="dxa"/>
              <w:right w:w="10" w:type="dxa"/>
            </w:tcMar>
            <w:vAlign w:val="center"/>
            <w:hideMark/>
          </w:tcPr>
          <w:p w14:paraId="67C6986E"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color w:val="000000"/>
                <w:sz w:val="18"/>
                <w:szCs w:val="18"/>
              </w:rPr>
              <w:t>项目名称</w:t>
            </w:r>
          </w:p>
        </w:tc>
        <w:tc>
          <w:tcPr>
            <w:tcW w:w="2464" w:type="dxa"/>
            <w:shd w:val="clear" w:color="auto" w:fill="D9D9D9"/>
            <w:tcMar>
              <w:top w:w="10" w:type="dxa"/>
              <w:left w:w="10" w:type="dxa"/>
              <w:bottom w:w="10" w:type="dxa"/>
              <w:right w:w="10" w:type="dxa"/>
            </w:tcMar>
            <w:vAlign w:val="center"/>
            <w:hideMark/>
          </w:tcPr>
          <w:p w14:paraId="48D2AFF8"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color w:val="000000"/>
                <w:sz w:val="18"/>
                <w:szCs w:val="18"/>
              </w:rPr>
              <w:t>排污许可证证书编号</w:t>
            </w:r>
          </w:p>
        </w:tc>
        <w:tc>
          <w:tcPr>
            <w:tcW w:w="2729" w:type="dxa"/>
            <w:shd w:val="clear" w:color="auto" w:fill="D9D9D9"/>
            <w:tcMar>
              <w:top w:w="10" w:type="dxa"/>
              <w:left w:w="10" w:type="dxa"/>
              <w:bottom w:w="10" w:type="dxa"/>
              <w:right w:w="10" w:type="dxa"/>
            </w:tcMar>
            <w:vAlign w:val="center"/>
            <w:hideMark/>
          </w:tcPr>
          <w:p w14:paraId="55B5882C"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color w:val="000000"/>
                <w:sz w:val="18"/>
                <w:szCs w:val="18"/>
              </w:rPr>
              <w:t>发证日期</w:t>
            </w:r>
          </w:p>
        </w:tc>
        <w:tc>
          <w:tcPr>
            <w:tcW w:w="1815" w:type="dxa"/>
            <w:shd w:val="clear" w:color="auto" w:fill="D9D9D9"/>
            <w:tcMar>
              <w:top w:w="10" w:type="dxa"/>
              <w:left w:w="10" w:type="dxa"/>
              <w:bottom w:w="10" w:type="dxa"/>
              <w:right w:w="10" w:type="dxa"/>
            </w:tcMar>
            <w:vAlign w:val="center"/>
            <w:hideMark/>
          </w:tcPr>
          <w:p w14:paraId="3035D9F9"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color w:val="000000"/>
                <w:sz w:val="18"/>
                <w:szCs w:val="18"/>
              </w:rPr>
              <w:t>有效期</w:t>
            </w:r>
          </w:p>
        </w:tc>
      </w:tr>
      <w:tr w:rsidR="00AF139E" w:rsidRPr="005B5EC1" w14:paraId="436611F1" w14:textId="77777777" w:rsidTr="00A820CB">
        <w:trPr>
          <w:divId w:val="1503081401"/>
          <w:trHeight w:val="20"/>
        </w:trPr>
        <w:tc>
          <w:tcPr>
            <w:tcW w:w="2649" w:type="dxa"/>
            <w:tcMar>
              <w:top w:w="10" w:type="dxa"/>
              <w:left w:w="10" w:type="dxa"/>
              <w:bottom w:w="10" w:type="dxa"/>
              <w:right w:w="10" w:type="dxa"/>
            </w:tcMar>
            <w:vAlign w:val="center"/>
            <w:hideMark/>
          </w:tcPr>
          <w:p w14:paraId="71E72E52"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山东龙大美食股份有限公司生猪屠宰、加工项目</w:t>
            </w:r>
          </w:p>
        </w:tc>
        <w:tc>
          <w:tcPr>
            <w:tcW w:w="2464" w:type="dxa"/>
            <w:tcMar>
              <w:top w:w="10" w:type="dxa"/>
              <w:left w:w="10" w:type="dxa"/>
              <w:bottom w:w="10" w:type="dxa"/>
              <w:right w:w="10" w:type="dxa"/>
            </w:tcMar>
            <w:vAlign w:val="center"/>
            <w:hideMark/>
          </w:tcPr>
          <w:p w14:paraId="4CE8F520"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913700007591559056001Z</w:t>
            </w:r>
          </w:p>
        </w:tc>
        <w:tc>
          <w:tcPr>
            <w:tcW w:w="2729" w:type="dxa"/>
            <w:tcMar>
              <w:top w:w="10" w:type="dxa"/>
              <w:left w:w="10" w:type="dxa"/>
              <w:bottom w:w="10" w:type="dxa"/>
              <w:right w:w="10" w:type="dxa"/>
            </w:tcMar>
            <w:vAlign w:val="center"/>
            <w:hideMark/>
          </w:tcPr>
          <w:p w14:paraId="2010B7DA"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2023</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11</w:t>
            </w:r>
            <w:r w:rsidRPr="005B5EC1">
              <w:rPr>
                <w:rFonts w:ascii="Times New Roman" w:hAnsi="Times New Roman" w:cs="Times New Roman"/>
                <w:sz w:val="18"/>
                <w:szCs w:val="18"/>
              </w:rPr>
              <w:t>日</w:t>
            </w:r>
          </w:p>
        </w:tc>
        <w:tc>
          <w:tcPr>
            <w:tcW w:w="1815" w:type="dxa"/>
            <w:tcMar>
              <w:top w:w="10" w:type="dxa"/>
              <w:left w:w="10" w:type="dxa"/>
              <w:bottom w:w="10" w:type="dxa"/>
              <w:right w:w="10" w:type="dxa"/>
            </w:tcMar>
            <w:vAlign w:val="center"/>
            <w:hideMark/>
          </w:tcPr>
          <w:p w14:paraId="3C69D6E6"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2023</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11</w:t>
            </w:r>
            <w:r w:rsidRPr="005B5EC1">
              <w:rPr>
                <w:rFonts w:ascii="Times New Roman" w:hAnsi="Times New Roman" w:cs="Times New Roman"/>
                <w:sz w:val="18"/>
                <w:szCs w:val="18"/>
              </w:rPr>
              <w:t>日至</w:t>
            </w:r>
            <w:r w:rsidRPr="005B5EC1">
              <w:rPr>
                <w:rFonts w:ascii="Times New Roman" w:hAnsi="Times New Roman" w:cs="Times New Roman"/>
                <w:sz w:val="18"/>
                <w:szCs w:val="18"/>
              </w:rPr>
              <w:t>2028</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10</w:t>
            </w:r>
            <w:r w:rsidRPr="005B5EC1">
              <w:rPr>
                <w:rFonts w:ascii="Times New Roman" w:hAnsi="Times New Roman" w:cs="Times New Roman"/>
                <w:sz w:val="18"/>
                <w:szCs w:val="18"/>
              </w:rPr>
              <w:t>日</w:t>
            </w:r>
          </w:p>
        </w:tc>
      </w:tr>
      <w:tr w:rsidR="00AF139E" w:rsidRPr="005B5EC1" w14:paraId="6F614453" w14:textId="77777777" w:rsidTr="00A820CB">
        <w:trPr>
          <w:divId w:val="1503081401"/>
          <w:trHeight w:val="20"/>
        </w:trPr>
        <w:tc>
          <w:tcPr>
            <w:tcW w:w="2649" w:type="dxa"/>
            <w:tcMar>
              <w:top w:w="10" w:type="dxa"/>
              <w:left w:w="10" w:type="dxa"/>
              <w:bottom w:w="10" w:type="dxa"/>
              <w:right w:w="10" w:type="dxa"/>
            </w:tcMar>
            <w:vAlign w:val="center"/>
            <w:hideMark/>
          </w:tcPr>
          <w:p w14:paraId="3DCB22F7"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潍坊振祥食品有限公司</w:t>
            </w:r>
            <w:r w:rsidRPr="005B5EC1">
              <w:rPr>
                <w:rFonts w:ascii="Times New Roman" w:hAnsi="Times New Roman" w:cs="Times New Roman"/>
                <w:sz w:val="18"/>
                <w:szCs w:val="18"/>
              </w:rPr>
              <w:t>300</w:t>
            </w:r>
            <w:r w:rsidRPr="005B5EC1">
              <w:rPr>
                <w:rFonts w:ascii="Times New Roman" w:hAnsi="Times New Roman" w:cs="Times New Roman"/>
                <w:sz w:val="18"/>
                <w:szCs w:val="18"/>
              </w:rPr>
              <w:t>万头</w:t>
            </w:r>
            <w:r w:rsidRPr="005B5EC1">
              <w:rPr>
                <w:rFonts w:ascii="Times New Roman" w:hAnsi="Times New Roman" w:cs="Times New Roman"/>
                <w:sz w:val="18"/>
                <w:szCs w:val="18"/>
              </w:rPr>
              <w:t>/</w:t>
            </w:r>
            <w:r w:rsidRPr="005B5EC1">
              <w:rPr>
                <w:rFonts w:ascii="Times New Roman" w:hAnsi="Times New Roman" w:cs="Times New Roman"/>
                <w:sz w:val="18"/>
                <w:szCs w:val="18"/>
              </w:rPr>
              <w:t>年生猪屠宰及肉制品深加工项目</w:t>
            </w:r>
          </w:p>
        </w:tc>
        <w:tc>
          <w:tcPr>
            <w:tcW w:w="2464" w:type="dxa"/>
            <w:tcMar>
              <w:top w:w="10" w:type="dxa"/>
              <w:left w:w="10" w:type="dxa"/>
              <w:bottom w:w="10" w:type="dxa"/>
              <w:right w:w="10" w:type="dxa"/>
            </w:tcMar>
            <w:vAlign w:val="center"/>
            <w:hideMark/>
          </w:tcPr>
          <w:p w14:paraId="35094475"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91370784706376157W001Z</w:t>
            </w:r>
          </w:p>
        </w:tc>
        <w:tc>
          <w:tcPr>
            <w:tcW w:w="2729" w:type="dxa"/>
            <w:tcMar>
              <w:top w:w="10" w:type="dxa"/>
              <w:left w:w="10" w:type="dxa"/>
              <w:bottom w:w="10" w:type="dxa"/>
              <w:right w:w="10" w:type="dxa"/>
            </w:tcMar>
            <w:vAlign w:val="center"/>
            <w:hideMark/>
          </w:tcPr>
          <w:p w14:paraId="3F941778"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23</w:t>
            </w:r>
            <w:r w:rsidRPr="005B5EC1">
              <w:rPr>
                <w:rFonts w:ascii="Times New Roman" w:hAnsi="Times New Roman" w:cs="Times New Roman"/>
                <w:sz w:val="18"/>
                <w:szCs w:val="18"/>
              </w:rPr>
              <w:t>日</w:t>
            </w:r>
          </w:p>
        </w:tc>
        <w:tc>
          <w:tcPr>
            <w:tcW w:w="1815" w:type="dxa"/>
            <w:tcMar>
              <w:top w:w="10" w:type="dxa"/>
              <w:left w:w="10" w:type="dxa"/>
              <w:bottom w:w="10" w:type="dxa"/>
              <w:right w:w="10" w:type="dxa"/>
            </w:tcMar>
            <w:vAlign w:val="center"/>
            <w:hideMark/>
          </w:tcPr>
          <w:p w14:paraId="2F551DB4"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01</w:t>
            </w:r>
            <w:r w:rsidRPr="005B5EC1">
              <w:rPr>
                <w:rFonts w:ascii="Times New Roman" w:hAnsi="Times New Roman" w:cs="Times New Roman"/>
                <w:sz w:val="18"/>
                <w:szCs w:val="18"/>
              </w:rPr>
              <w:t>月</w:t>
            </w:r>
            <w:r w:rsidRPr="005B5EC1">
              <w:rPr>
                <w:rFonts w:ascii="Times New Roman" w:hAnsi="Times New Roman" w:cs="Times New Roman"/>
                <w:sz w:val="18"/>
                <w:szCs w:val="18"/>
              </w:rPr>
              <w:t>01</w:t>
            </w:r>
            <w:r w:rsidRPr="005B5EC1">
              <w:rPr>
                <w:rFonts w:ascii="Times New Roman" w:hAnsi="Times New Roman" w:cs="Times New Roman"/>
                <w:sz w:val="18"/>
                <w:szCs w:val="18"/>
              </w:rPr>
              <w:t>日至</w:t>
            </w:r>
            <w:r w:rsidRPr="005B5EC1">
              <w:rPr>
                <w:rFonts w:ascii="Times New Roman" w:hAnsi="Times New Roman" w:cs="Times New Roman"/>
                <w:sz w:val="18"/>
                <w:szCs w:val="18"/>
              </w:rPr>
              <w:t>2026</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31</w:t>
            </w:r>
            <w:r w:rsidRPr="005B5EC1">
              <w:rPr>
                <w:rFonts w:ascii="Times New Roman" w:hAnsi="Times New Roman" w:cs="Times New Roman"/>
                <w:sz w:val="18"/>
                <w:szCs w:val="18"/>
              </w:rPr>
              <w:t>日</w:t>
            </w:r>
          </w:p>
        </w:tc>
      </w:tr>
      <w:tr w:rsidR="00AF139E" w:rsidRPr="005B5EC1" w14:paraId="72EA68E2" w14:textId="77777777" w:rsidTr="00A820CB">
        <w:trPr>
          <w:divId w:val="1503081401"/>
          <w:trHeight w:val="20"/>
        </w:trPr>
        <w:tc>
          <w:tcPr>
            <w:tcW w:w="2649" w:type="dxa"/>
            <w:tcMar>
              <w:top w:w="10" w:type="dxa"/>
              <w:left w:w="10" w:type="dxa"/>
              <w:bottom w:w="10" w:type="dxa"/>
              <w:right w:w="10" w:type="dxa"/>
            </w:tcMar>
            <w:vAlign w:val="center"/>
            <w:hideMark/>
          </w:tcPr>
          <w:p w14:paraId="01871E5D"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河南龙大牧原肉食品有限公司年屠宰</w:t>
            </w:r>
            <w:r w:rsidRPr="005B5EC1">
              <w:rPr>
                <w:rFonts w:ascii="Times New Roman" w:hAnsi="Times New Roman" w:cs="Times New Roman"/>
                <w:sz w:val="18"/>
                <w:szCs w:val="18"/>
              </w:rPr>
              <w:t>80</w:t>
            </w:r>
            <w:r w:rsidRPr="005B5EC1">
              <w:rPr>
                <w:rFonts w:ascii="Times New Roman" w:hAnsi="Times New Roman" w:cs="Times New Roman"/>
                <w:sz w:val="18"/>
                <w:szCs w:val="18"/>
              </w:rPr>
              <w:t>万头肉食品加工项目</w:t>
            </w:r>
          </w:p>
        </w:tc>
        <w:tc>
          <w:tcPr>
            <w:tcW w:w="2464" w:type="dxa"/>
            <w:tcMar>
              <w:top w:w="10" w:type="dxa"/>
              <w:left w:w="10" w:type="dxa"/>
              <w:bottom w:w="10" w:type="dxa"/>
              <w:right w:w="10" w:type="dxa"/>
            </w:tcMar>
            <w:vAlign w:val="center"/>
            <w:hideMark/>
          </w:tcPr>
          <w:p w14:paraId="37A49327"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91411325675379661H001P</w:t>
            </w:r>
          </w:p>
        </w:tc>
        <w:tc>
          <w:tcPr>
            <w:tcW w:w="2729" w:type="dxa"/>
            <w:tcMar>
              <w:top w:w="10" w:type="dxa"/>
              <w:left w:w="10" w:type="dxa"/>
              <w:bottom w:w="10" w:type="dxa"/>
              <w:right w:w="10" w:type="dxa"/>
            </w:tcMar>
            <w:vAlign w:val="center"/>
            <w:hideMark/>
          </w:tcPr>
          <w:p w14:paraId="3FAE0FF1"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7</w:t>
            </w:r>
            <w:r w:rsidRPr="005B5EC1">
              <w:rPr>
                <w:rFonts w:ascii="Times New Roman" w:hAnsi="Times New Roman" w:cs="Times New Roman"/>
                <w:sz w:val="18"/>
                <w:szCs w:val="18"/>
              </w:rPr>
              <w:t>月</w:t>
            </w:r>
            <w:r w:rsidRPr="005B5EC1">
              <w:rPr>
                <w:rFonts w:ascii="Times New Roman" w:hAnsi="Times New Roman" w:cs="Times New Roman"/>
                <w:sz w:val="18"/>
                <w:szCs w:val="18"/>
              </w:rPr>
              <w:t>20</w:t>
            </w:r>
            <w:r w:rsidRPr="005B5EC1">
              <w:rPr>
                <w:rFonts w:ascii="Times New Roman" w:hAnsi="Times New Roman" w:cs="Times New Roman"/>
                <w:sz w:val="18"/>
                <w:szCs w:val="18"/>
              </w:rPr>
              <w:t>日</w:t>
            </w:r>
          </w:p>
        </w:tc>
        <w:tc>
          <w:tcPr>
            <w:tcW w:w="1815" w:type="dxa"/>
            <w:tcMar>
              <w:top w:w="10" w:type="dxa"/>
              <w:left w:w="10" w:type="dxa"/>
              <w:bottom w:w="10" w:type="dxa"/>
              <w:right w:w="10" w:type="dxa"/>
            </w:tcMar>
            <w:vAlign w:val="center"/>
            <w:hideMark/>
          </w:tcPr>
          <w:p w14:paraId="13A66E84"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9</w:t>
            </w:r>
            <w:r w:rsidRPr="005B5EC1">
              <w:rPr>
                <w:rFonts w:ascii="Times New Roman" w:hAnsi="Times New Roman" w:cs="Times New Roman"/>
                <w:sz w:val="18"/>
                <w:szCs w:val="18"/>
              </w:rPr>
              <w:t>月</w:t>
            </w:r>
            <w:r w:rsidRPr="005B5EC1">
              <w:rPr>
                <w:rFonts w:ascii="Times New Roman" w:hAnsi="Times New Roman" w:cs="Times New Roman"/>
                <w:sz w:val="18"/>
                <w:szCs w:val="18"/>
              </w:rPr>
              <w:t>29</w:t>
            </w:r>
            <w:r w:rsidRPr="005B5EC1">
              <w:rPr>
                <w:rFonts w:ascii="Times New Roman" w:hAnsi="Times New Roman" w:cs="Times New Roman"/>
                <w:sz w:val="18"/>
                <w:szCs w:val="18"/>
              </w:rPr>
              <w:t>日至</w:t>
            </w:r>
            <w:r w:rsidRPr="005B5EC1">
              <w:rPr>
                <w:rFonts w:ascii="Times New Roman" w:hAnsi="Times New Roman" w:cs="Times New Roman"/>
                <w:sz w:val="18"/>
                <w:szCs w:val="18"/>
              </w:rPr>
              <w:t>2026</w:t>
            </w:r>
            <w:r w:rsidRPr="005B5EC1">
              <w:rPr>
                <w:rFonts w:ascii="Times New Roman" w:hAnsi="Times New Roman" w:cs="Times New Roman"/>
                <w:sz w:val="18"/>
                <w:szCs w:val="18"/>
              </w:rPr>
              <w:t>年</w:t>
            </w:r>
            <w:r w:rsidRPr="005B5EC1">
              <w:rPr>
                <w:rFonts w:ascii="Times New Roman" w:hAnsi="Times New Roman" w:cs="Times New Roman"/>
                <w:sz w:val="18"/>
                <w:szCs w:val="18"/>
              </w:rPr>
              <w:t>9</w:t>
            </w:r>
            <w:r w:rsidRPr="005B5EC1">
              <w:rPr>
                <w:rFonts w:ascii="Times New Roman" w:hAnsi="Times New Roman" w:cs="Times New Roman"/>
                <w:sz w:val="18"/>
                <w:szCs w:val="18"/>
              </w:rPr>
              <w:t>月</w:t>
            </w:r>
            <w:r w:rsidRPr="005B5EC1">
              <w:rPr>
                <w:rFonts w:ascii="Times New Roman" w:hAnsi="Times New Roman" w:cs="Times New Roman"/>
                <w:sz w:val="18"/>
                <w:szCs w:val="18"/>
              </w:rPr>
              <w:t>28</w:t>
            </w:r>
            <w:r w:rsidRPr="005B5EC1">
              <w:rPr>
                <w:rFonts w:ascii="Times New Roman" w:hAnsi="Times New Roman" w:cs="Times New Roman"/>
                <w:sz w:val="18"/>
                <w:szCs w:val="18"/>
              </w:rPr>
              <w:t>日</w:t>
            </w:r>
          </w:p>
        </w:tc>
      </w:tr>
      <w:tr w:rsidR="00AF139E" w:rsidRPr="005B5EC1" w14:paraId="34EDF495" w14:textId="77777777" w:rsidTr="00A820CB">
        <w:trPr>
          <w:divId w:val="1503081401"/>
          <w:trHeight w:val="20"/>
        </w:trPr>
        <w:tc>
          <w:tcPr>
            <w:tcW w:w="2649" w:type="dxa"/>
            <w:tcMar>
              <w:top w:w="10" w:type="dxa"/>
              <w:left w:w="10" w:type="dxa"/>
              <w:bottom w:w="10" w:type="dxa"/>
              <w:right w:w="10" w:type="dxa"/>
            </w:tcMar>
            <w:vAlign w:val="center"/>
            <w:hideMark/>
          </w:tcPr>
          <w:p w14:paraId="25C6A961"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聊城龙大肉食品有限公司</w:t>
            </w:r>
            <w:r w:rsidRPr="005B5EC1">
              <w:rPr>
                <w:rFonts w:ascii="Times New Roman" w:hAnsi="Times New Roman" w:cs="Times New Roman"/>
                <w:sz w:val="18"/>
                <w:szCs w:val="18"/>
              </w:rPr>
              <w:t>30</w:t>
            </w:r>
            <w:r w:rsidRPr="005B5EC1">
              <w:rPr>
                <w:rFonts w:ascii="Times New Roman" w:hAnsi="Times New Roman" w:cs="Times New Roman"/>
                <w:sz w:val="18"/>
                <w:szCs w:val="18"/>
              </w:rPr>
              <w:t>万头</w:t>
            </w:r>
            <w:r w:rsidRPr="005B5EC1">
              <w:rPr>
                <w:rFonts w:ascii="Times New Roman" w:hAnsi="Times New Roman" w:cs="Times New Roman"/>
                <w:sz w:val="18"/>
                <w:szCs w:val="18"/>
              </w:rPr>
              <w:t>/</w:t>
            </w:r>
            <w:r w:rsidRPr="005B5EC1">
              <w:rPr>
                <w:rFonts w:ascii="Times New Roman" w:hAnsi="Times New Roman" w:cs="Times New Roman"/>
                <w:sz w:val="18"/>
                <w:szCs w:val="18"/>
              </w:rPr>
              <w:t>年生猪屠宰深加工项目</w:t>
            </w:r>
          </w:p>
        </w:tc>
        <w:tc>
          <w:tcPr>
            <w:tcW w:w="2464" w:type="dxa"/>
            <w:tcMar>
              <w:top w:w="10" w:type="dxa"/>
              <w:left w:w="10" w:type="dxa"/>
              <w:bottom w:w="10" w:type="dxa"/>
              <w:right w:w="10" w:type="dxa"/>
            </w:tcMar>
            <w:vAlign w:val="center"/>
            <w:hideMark/>
          </w:tcPr>
          <w:p w14:paraId="515CAAB4"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91371500685918964W001Z</w:t>
            </w:r>
          </w:p>
        </w:tc>
        <w:tc>
          <w:tcPr>
            <w:tcW w:w="2729" w:type="dxa"/>
            <w:tcMar>
              <w:top w:w="10" w:type="dxa"/>
              <w:left w:w="10" w:type="dxa"/>
              <w:bottom w:w="10" w:type="dxa"/>
              <w:right w:w="10" w:type="dxa"/>
            </w:tcMar>
            <w:vAlign w:val="center"/>
            <w:hideMark/>
          </w:tcPr>
          <w:p w14:paraId="6B0DABA2"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01</w:t>
            </w:r>
            <w:r w:rsidRPr="005B5EC1">
              <w:rPr>
                <w:rFonts w:ascii="Times New Roman" w:hAnsi="Times New Roman" w:cs="Times New Roman"/>
                <w:sz w:val="18"/>
                <w:szCs w:val="18"/>
              </w:rPr>
              <w:t>月</w:t>
            </w:r>
            <w:r w:rsidRPr="005B5EC1">
              <w:rPr>
                <w:rFonts w:ascii="Times New Roman" w:hAnsi="Times New Roman" w:cs="Times New Roman"/>
                <w:sz w:val="18"/>
                <w:szCs w:val="18"/>
              </w:rPr>
              <w:t>30</w:t>
            </w:r>
            <w:r w:rsidRPr="005B5EC1">
              <w:rPr>
                <w:rFonts w:ascii="Times New Roman" w:hAnsi="Times New Roman" w:cs="Times New Roman"/>
                <w:sz w:val="18"/>
                <w:szCs w:val="18"/>
              </w:rPr>
              <w:t>日</w:t>
            </w:r>
          </w:p>
        </w:tc>
        <w:tc>
          <w:tcPr>
            <w:tcW w:w="1815" w:type="dxa"/>
            <w:tcMar>
              <w:top w:w="10" w:type="dxa"/>
              <w:left w:w="10" w:type="dxa"/>
              <w:bottom w:w="10" w:type="dxa"/>
              <w:right w:w="10" w:type="dxa"/>
            </w:tcMar>
            <w:vAlign w:val="center"/>
            <w:hideMark/>
          </w:tcPr>
          <w:p w14:paraId="067E4371"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01</w:t>
            </w:r>
            <w:r w:rsidRPr="005B5EC1">
              <w:rPr>
                <w:rFonts w:ascii="Times New Roman" w:hAnsi="Times New Roman" w:cs="Times New Roman"/>
                <w:sz w:val="18"/>
                <w:szCs w:val="18"/>
              </w:rPr>
              <w:t>月</w:t>
            </w:r>
            <w:r w:rsidRPr="005B5EC1">
              <w:rPr>
                <w:rFonts w:ascii="Times New Roman" w:hAnsi="Times New Roman" w:cs="Times New Roman"/>
                <w:sz w:val="18"/>
                <w:szCs w:val="18"/>
              </w:rPr>
              <w:t>30</w:t>
            </w:r>
            <w:r w:rsidRPr="005B5EC1">
              <w:rPr>
                <w:rFonts w:ascii="Times New Roman" w:hAnsi="Times New Roman" w:cs="Times New Roman"/>
                <w:sz w:val="18"/>
                <w:szCs w:val="18"/>
              </w:rPr>
              <w:t>日至</w:t>
            </w:r>
            <w:r w:rsidRPr="005B5EC1">
              <w:rPr>
                <w:rFonts w:ascii="Times New Roman" w:hAnsi="Times New Roman" w:cs="Times New Roman"/>
                <w:sz w:val="18"/>
                <w:szCs w:val="18"/>
              </w:rPr>
              <w:t>2029</w:t>
            </w:r>
            <w:r w:rsidRPr="005B5EC1">
              <w:rPr>
                <w:rFonts w:ascii="Times New Roman" w:hAnsi="Times New Roman" w:cs="Times New Roman"/>
                <w:sz w:val="18"/>
                <w:szCs w:val="18"/>
              </w:rPr>
              <w:t>年</w:t>
            </w:r>
            <w:r w:rsidRPr="005B5EC1">
              <w:rPr>
                <w:rFonts w:ascii="Times New Roman" w:hAnsi="Times New Roman" w:cs="Times New Roman"/>
                <w:sz w:val="18"/>
                <w:szCs w:val="18"/>
              </w:rPr>
              <w:t>01</w:t>
            </w:r>
            <w:r w:rsidRPr="005B5EC1">
              <w:rPr>
                <w:rFonts w:ascii="Times New Roman" w:hAnsi="Times New Roman" w:cs="Times New Roman"/>
                <w:sz w:val="18"/>
                <w:szCs w:val="18"/>
              </w:rPr>
              <w:t>月</w:t>
            </w:r>
            <w:r w:rsidRPr="005B5EC1">
              <w:rPr>
                <w:rFonts w:ascii="Times New Roman" w:hAnsi="Times New Roman" w:cs="Times New Roman"/>
                <w:sz w:val="18"/>
                <w:szCs w:val="18"/>
              </w:rPr>
              <w:t>29</w:t>
            </w:r>
            <w:r w:rsidRPr="005B5EC1">
              <w:rPr>
                <w:rFonts w:ascii="Times New Roman" w:hAnsi="Times New Roman" w:cs="Times New Roman"/>
                <w:sz w:val="18"/>
                <w:szCs w:val="18"/>
              </w:rPr>
              <w:t>日</w:t>
            </w:r>
          </w:p>
        </w:tc>
      </w:tr>
      <w:tr w:rsidR="00AF139E" w:rsidRPr="005B5EC1" w14:paraId="0A273FF7" w14:textId="77777777" w:rsidTr="00A820CB">
        <w:trPr>
          <w:divId w:val="1503081401"/>
          <w:trHeight w:val="20"/>
        </w:trPr>
        <w:tc>
          <w:tcPr>
            <w:tcW w:w="2649" w:type="dxa"/>
            <w:tcMar>
              <w:top w:w="10" w:type="dxa"/>
              <w:left w:w="10" w:type="dxa"/>
              <w:bottom w:w="10" w:type="dxa"/>
              <w:right w:w="10" w:type="dxa"/>
            </w:tcMar>
            <w:vAlign w:val="center"/>
            <w:hideMark/>
          </w:tcPr>
          <w:p w14:paraId="27CCCA41"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蓬莱富龙肉食品有限公司</w:t>
            </w:r>
          </w:p>
          <w:p w14:paraId="7677D615"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16</w:t>
            </w:r>
            <w:r w:rsidRPr="005B5EC1">
              <w:rPr>
                <w:rFonts w:ascii="Times New Roman" w:hAnsi="Times New Roman" w:cs="Times New Roman"/>
                <w:sz w:val="18"/>
                <w:szCs w:val="18"/>
              </w:rPr>
              <w:t>万头</w:t>
            </w:r>
            <w:r w:rsidRPr="005B5EC1">
              <w:rPr>
                <w:rFonts w:ascii="Times New Roman" w:hAnsi="Times New Roman" w:cs="Times New Roman"/>
                <w:sz w:val="18"/>
                <w:szCs w:val="18"/>
              </w:rPr>
              <w:t>/</w:t>
            </w:r>
            <w:r w:rsidRPr="005B5EC1">
              <w:rPr>
                <w:rFonts w:ascii="Times New Roman" w:hAnsi="Times New Roman" w:cs="Times New Roman"/>
                <w:sz w:val="18"/>
                <w:szCs w:val="18"/>
              </w:rPr>
              <w:t>年生猪屠宰项目</w:t>
            </w:r>
          </w:p>
        </w:tc>
        <w:tc>
          <w:tcPr>
            <w:tcW w:w="2464" w:type="dxa"/>
            <w:tcMar>
              <w:top w:w="10" w:type="dxa"/>
              <w:left w:w="10" w:type="dxa"/>
              <w:bottom w:w="10" w:type="dxa"/>
              <w:right w:w="10" w:type="dxa"/>
            </w:tcMar>
            <w:vAlign w:val="center"/>
            <w:hideMark/>
          </w:tcPr>
          <w:p w14:paraId="6E5CE5DA" w14:textId="229E91B9"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913706843445858902001Y</w:t>
            </w:r>
          </w:p>
        </w:tc>
        <w:tc>
          <w:tcPr>
            <w:tcW w:w="2729" w:type="dxa"/>
            <w:tcMar>
              <w:top w:w="10" w:type="dxa"/>
              <w:left w:w="10" w:type="dxa"/>
              <w:bottom w:w="10" w:type="dxa"/>
              <w:right w:w="10" w:type="dxa"/>
            </w:tcMar>
            <w:vAlign w:val="center"/>
            <w:hideMark/>
          </w:tcPr>
          <w:p w14:paraId="7CEAD0B5"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31</w:t>
            </w:r>
            <w:r w:rsidRPr="005B5EC1">
              <w:rPr>
                <w:rFonts w:ascii="Times New Roman" w:hAnsi="Times New Roman" w:cs="Times New Roman"/>
                <w:sz w:val="18"/>
                <w:szCs w:val="18"/>
              </w:rPr>
              <w:t>日</w:t>
            </w:r>
          </w:p>
        </w:tc>
        <w:tc>
          <w:tcPr>
            <w:tcW w:w="1815" w:type="dxa"/>
            <w:tcMar>
              <w:top w:w="10" w:type="dxa"/>
              <w:left w:w="10" w:type="dxa"/>
              <w:bottom w:w="10" w:type="dxa"/>
              <w:right w:w="10" w:type="dxa"/>
            </w:tcMar>
            <w:vAlign w:val="center"/>
            <w:hideMark/>
          </w:tcPr>
          <w:p w14:paraId="57559AFA"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01</w:t>
            </w:r>
            <w:r w:rsidRPr="005B5EC1">
              <w:rPr>
                <w:rFonts w:ascii="Times New Roman" w:hAnsi="Times New Roman" w:cs="Times New Roman"/>
                <w:sz w:val="18"/>
                <w:szCs w:val="18"/>
              </w:rPr>
              <w:t>月</w:t>
            </w:r>
            <w:r w:rsidRPr="005B5EC1">
              <w:rPr>
                <w:rFonts w:ascii="Times New Roman" w:hAnsi="Times New Roman" w:cs="Times New Roman"/>
                <w:sz w:val="18"/>
                <w:szCs w:val="18"/>
              </w:rPr>
              <w:t>01</w:t>
            </w:r>
            <w:r w:rsidRPr="005B5EC1">
              <w:rPr>
                <w:rFonts w:ascii="Times New Roman" w:hAnsi="Times New Roman" w:cs="Times New Roman"/>
                <w:sz w:val="18"/>
                <w:szCs w:val="18"/>
              </w:rPr>
              <w:t>日</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至</w:t>
            </w:r>
            <w:r w:rsidRPr="005B5EC1">
              <w:rPr>
                <w:rFonts w:ascii="Times New Roman" w:hAnsi="Times New Roman" w:cs="Times New Roman"/>
                <w:sz w:val="18"/>
                <w:szCs w:val="18"/>
              </w:rPr>
              <w:t>2026</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31</w:t>
            </w:r>
            <w:r w:rsidRPr="005B5EC1">
              <w:rPr>
                <w:rFonts w:ascii="Times New Roman" w:hAnsi="Times New Roman" w:cs="Times New Roman"/>
                <w:sz w:val="18"/>
                <w:szCs w:val="18"/>
              </w:rPr>
              <w:t>日</w:t>
            </w:r>
          </w:p>
        </w:tc>
      </w:tr>
      <w:tr w:rsidR="00AF139E" w:rsidRPr="005B5EC1" w14:paraId="22255ED5" w14:textId="77777777" w:rsidTr="00A820CB">
        <w:trPr>
          <w:divId w:val="1503081401"/>
          <w:trHeight w:val="20"/>
        </w:trPr>
        <w:tc>
          <w:tcPr>
            <w:tcW w:w="2649" w:type="dxa"/>
            <w:tcMar>
              <w:top w:w="10" w:type="dxa"/>
              <w:left w:w="10" w:type="dxa"/>
              <w:bottom w:w="10" w:type="dxa"/>
              <w:right w:w="10" w:type="dxa"/>
            </w:tcMar>
            <w:vAlign w:val="center"/>
            <w:hideMark/>
          </w:tcPr>
          <w:p w14:paraId="1ECDA3B9"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黑龙江龙大肉食品有限公司</w:t>
            </w:r>
          </w:p>
        </w:tc>
        <w:tc>
          <w:tcPr>
            <w:tcW w:w="2464" w:type="dxa"/>
            <w:tcMar>
              <w:top w:w="10" w:type="dxa"/>
              <w:left w:w="10" w:type="dxa"/>
              <w:bottom w:w="10" w:type="dxa"/>
              <w:right w:w="10" w:type="dxa"/>
            </w:tcMar>
            <w:vAlign w:val="center"/>
            <w:hideMark/>
          </w:tcPr>
          <w:p w14:paraId="520EC480" w14:textId="3849364E"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91231281MA1CD7KR8C001R</w:t>
            </w:r>
          </w:p>
        </w:tc>
        <w:tc>
          <w:tcPr>
            <w:tcW w:w="2729" w:type="dxa"/>
            <w:tcMar>
              <w:top w:w="10" w:type="dxa"/>
              <w:left w:w="10" w:type="dxa"/>
              <w:bottom w:w="10" w:type="dxa"/>
              <w:right w:w="10" w:type="dxa"/>
            </w:tcMar>
            <w:vAlign w:val="center"/>
            <w:hideMark/>
          </w:tcPr>
          <w:p w14:paraId="1B95499B"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4</w:t>
            </w:r>
            <w:r w:rsidRPr="005B5EC1">
              <w:rPr>
                <w:rFonts w:ascii="Times New Roman" w:hAnsi="Times New Roman" w:cs="Times New Roman"/>
                <w:sz w:val="18"/>
                <w:szCs w:val="18"/>
              </w:rPr>
              <w:t>月</w:t>
            </w:r>
            <w:r w:rsidRPr="005B5EC1">
              <w:rPr>
                <w:rFonts w:ascii="Times New Roman" w:hAnsi="Times New Roman" w:cs="Times New Roman"/>
                <w:sz w:val="18"/>
                <w:szCs w:val="18"/>
              </w:rPr>
              <w:t>2</w:t>
            </w:r>
            <w:r w:rsidRPr="005B5EC1">
              <w:rPr>
                <w:rFonts w:ascii="Times New Roman" w:hAnsi="Times New Roman" w:cs="Times New Roman"/>
                <w:sz w:val="18"/>
                <w:szCs w:val="18"/>
              </w:rPr>
              <w:t>日</w:t>
            </w:r>
          </w:p>
        </w:tc>
        <w:tc>
          <w:tcPr>
            <w:tcW w:w="1815" w:type="dxa"/>
            <w:tcMar>
              <w:top w:w="10" w:type="dxa"/>
              <w:left w:w="10" w:type="dxa"/>
              <w:bottom w:w="10" w:type="dxa"/>
              <w:right w:w="10" w:type="dxa"/>
            </w:tcMar>
            <w:vAlign w:val="center"/>
            <w:hideMark/>
          </w:tcPr>
          <w:p w14:paraId="49357063"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04</w:t>
            </w:r>
            <w:r w:rsidRPr="005B5EC1">
              <w:rPr>
                <w:rFonts w:ascii="Times New Roman" w:hAnsi="Times New Roman" w:cs="Times New Roman"/>
                <w:sz w:val="18"/>
                <w:szCs w:val="18"/>
              </w:rPr>
              <w:t>月</w:t>
            </w:r>
            <w:r w:rsidRPr="005B5EC1">
              <w:rPr>
                <w:rFonts w:ascii="Times New Roman" w:hAnsi="Times New Roman" w:cs="Times New Roman"/>
                <w:sz w:val="18"/>
                <w:szCs w:val="18"/>
              </w:rPr>
              <w:t>02</w:t>
            </w:r>
            <w:r w:rsidRPr="005B5EC1">
              <w:rPr>
                <w:rFonts w:ascii="Times New Roman" w:hAnsi="Times New Roman" w:cs="Times New Roman"/>
                <w:sz w:val="18"/>
                <w:szCs w:val="18"/>
              </w:rPr>
              <w:t>日至</w:t>
            </w:r>
            <w:r w:rsidRPr="005B5EC1">
              <w:rPr>
                <w:rFonts w:ascii="Times New Roman" w:hAnsi="Times New Roman" w:cs="Times New Roman"/>
                <w:sz w:val="18"/>
                <w:szCs w:val="18"/>
              </w:rPr>
              <w:t>2027</w:t>
            </w:r>
            <w:r w:rsidRPr="005B5EC1">
              <w:rPr>
                <w:rFonts w:ascii="Times New Roman" w:hAnsi="Times New Roman" w:cs="Times New Roman"/>
                <w:sz w:val="18"/>
                <w:szCs w:val="18"/>
              </w:rPr>
              <w:t>年</w:t>
            </w:r>
            <w:r w:rsidRPr="005B5EC1">
              <w:rPr>
                <w:rFonts w:ascii="Times New Roman" w:hAnsi="Times New Roman" w:cs="Times New Roman"/>
                <w:sz w:val="18"/>
                <w:szCs w:val="18"/>
              </w:rPr>
              <w:t>4</w:t>
            </w:r>
            <w:r w:rsidRPr="005B5EC1">
              <w:rPr>
                <w:rFonts w:ascii="Times New Roman" w:hAnsi="Times New Roman" w:cs="Times New Roman"/>
                <w:sz w:val="18"/>
                <w:szCs w:val="18"/>
              </w:rPr>
              <w:t>月</w:t>
            </w:r>
            <w:r w:rsidRPr="005B5EC1">
              <w:rPr>
                <w:rFonts w:ascii="Times New Roman" w:hAnsi="Times New Roman" w:cs="Times New Roman"/>
                <w:sz w:val="18"/>
                <w:szCs w:val="18"/>
              </w:rPr>
              <w:t>1</w:t>
            </w:r>
            <w:r w:rsidRPr="005B5EC1">
              <w:rPr>
                <w:rFonts w:ascii="Times New Roman" w:hAnsi="Times New Roman" w:cs="Times New Roman"/>
                <w:sz w:val="18"/>
                <w:szCs w:val="18"/>
              </w:rPr>
              <w:t>日</w:t>
            </w:r>
          </w:p>
        </w:tc>
      </w:tr>
      <w:tr w:rsidR="00AF139E" w:rsidRPr="005B5EC1" w14:paraId="2B2388EF" w14:textId="77777777" w:rsidTr="00A820CB">
        <w:trPr>
          <w:divId w:val="1503081401"/>
          <w:trHeight w:val="20"/>
        </w:trPr>
        <w:tc>
          <w:tcPr>
            <w:tcW w:w="2649" w:type="dxa"/>
            <w:tcMar>
              <w:top w:w="10" w:type="dxa"/>
              <w:left w:w="10" w:type="dxa"/>
              <w:bottom w:w="10" w:type="dxa"/>
              <w:right w:w="10" w:type="dxa"/>
            </w:tcMar>
            <w:vAlign w:val="center"/>
            <w:hideMark/>
          </w:tcPr>
          <w:p w14:paraId="0EB3D531"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巴中龙大肉食品有限公司</w:t>
            </w:r>
          </w:p>
        </w:tc>
        <w:tc>
          <w:tcPr>
            <w:tcW w:w="2464" w:type="dxa"/>
            <w:tcMar>
              <w:top w:w="10" w:type="dxa"/>
              <w:left w:w="10" w:type="dxa"/>
              <w:bottom w:w="10" w:type="dxa"/>
              <w:right w:w="10" w:type="dxa"/>
            </w:tcMar>
            <w:vAlign w:val="center"/>
            <w:hideMark/>
          </w:tcPr>
          <w:p w14:paraId="24067B0A"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91511903MA7FCEQ45J001V</w:t>
            </w:r>
          </w:p>
        </w:tc>
        <w:tc>
          <w:tcPr>
            <w:tcW w:w="2729" w:type="dxa"/>
            <w:tcMar>
              <w:top w:w="10" w:type="dxa"/>
              <w:left w:w="10" w:type="dxa"/>
              <w:bottom w:w="10" w:type="dxa"/>
              <w:right w:w="10" w:type="dxa"/>
            </w:tcMar>
            <w:vAlign w:val="center"/>
            <w:hideMark/>
          </w:tcPr>
          <w:p w14:paraId="27AAF7FD"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2023</w:t>
            </w:r>
            <w:r w:rsidRPr="005B5EC1">
              <w:rPr>
                <w:rFonts w:ascii="Times New Roman" w:hAnsi="Times New Roman" w:cs="Times New Roman"/>
                <w:sz w:val="18"/>
                <w:szCs w:val="18"/>
              </w:rPr>
              <w:t>年</w:t>
            </w:r>
            <w:r w:rsidRPr="005B5EC1">
              <w:rPr>
                <w:rFonts w:ascii="Times New Roman" w:hAnsi="Times New Roman" w:cs="Times New Roman"/>
                <w:sz w:val="18"/>
                <w:szCs w:val="18"/>
              </w:rPr>
              <w:t>10</w:t>
            </w:r>
            <w:r w:rsidRPr="005B5EC1">
              <w:rPr>
                <w:rFonts w:ascii="Times New Roman" w:hAnsi="Times New Roman" w:cs="Times New Roman"/>
                <w:sz w:val="18"/>
                <w:szCs w:val="18"/>
              </w:rPr>
              <w:t>月</w:t>
            </w:r>
            <w:r w:rsidRPr="005B5EC1">
              <w:rPr>
                <w:rFonts w:ascii="Times New Roman" w:hAnsi="Times New Roman" w:cs="Times New Roman"/>
                <w:sz w:val="18"/>
                <w:szCs w:val="18"/>
              </w:rPr>
              <w:t>17</w:t>
            </w:r>
            <w:r w:rsidRPr="005B5EC1">
              <w:rPr>
                <w:rFonts w:ascii="Times New Roman" w:hAnsi="Times New Roman" w:cs="Times New Roman"/>
                <w:sz w:val="18"/>
                <w:szCs w:val="18"/>
              </w:rPr>
              <w:t>日</w:t>
            </w:r>
          </w:p>
        </w:tc>
        <w:tc>
          <w:tcPr>
            <w:tcW w:w="1815" w:type="dxa"/>
            <w:tcMar>
              <w:top w:w="10" w:type="dxa"/>
              <w:left w:w="10" w:type="dxa"/>
              <w:bottom w:w="10" w:type="dxa"/>
              <w:right w:w="10" w:type="dxa"/>
            </w:tcMar>
            <w:vAlign w:val="center"/>
            <w:hideMark/>
          </w:tcPr>
          <w:p w14:paraId="64F87814"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2023</w:t>
            </w:r>
            <w:r w:rsidRPr="005B5EC1">
              <w:rPr>
                <w:rFonts w:ascii="Times New Roman" w:hAnsi="Times New Roman" w:cs="Times New Roman"/>
                <w:sz w:val="18"/>
                <w:szCs w:val="18"/>
              </w:rPr>
              <w:t>年</w:t>
            </w:r>
            <w:r w:rsidRPr="005B5EC1">
              <w:rPr>
                <w:rFonts w:ascii="Times New Roman" w:hAnsi="Times New Roman" w:cs="Times New Roman"/>
                <w:sz w:val="18"/>
                <w:szCs w:val="18"/>
              </w:rPr>
              <w:t>10</w:t>
            </w:r>
            <w:r w:rsidRPr="005B5EC1">
              <w:rPr>
                <w:rFonts w:ascii="Times New Roman" w:hAnsi="Times New Roman" w:cs="Times New Roman"/>
                <w:sz w:val="18"/>
                <w:szCs w:val="18"/>
              </w:rPr>
              <w:t>月</w:t>
            </w:r>
            <w:r w:rsidRPr="005B5EC1">
              <w:rPr>
                <w:rFonts w:ascii="Times New Roman" w:hAnsi="Times New Roman" w:cs="Times New Roman"/>
                <w:sz w:val="18"/>
                <w:szCs w:val="18"/>
              </w:rPr>
              <w:t>17</w:t>
            </w:r>
            <w:r w:rsidRPr="005B5EC1">
              <w:rPr>
                <w:rFonts w:ascii="Times New Roman" w:hAnsi="Times New Roman" w:cs="Times New Roman"/>
                <w:sz w:val="18"/>
                <w:szCs w:val="18"/>
              </w:rPr>
              <w:t>日至</w:t>
            </w:r>
            <w:r w:rsidRPr="005B5EC1">
              <w:rPr>
                <w:rFonts w:ascii="Times New Roman" w:hAnsi="Times New Roman" w:cs="Times New Roman"/>
                <w:sz w:val="18"/>
                <w:szCs w:val="18"/>
              </w:rPr>
              <w:t>2028</w:t>
            </w:r>
            <w:r w:rsidRPr="005B5EC1">
              <w:rPr>
                <w:rFonts w:ascii="Times New Roman" w:hAnsi="Times New Roman" w:cs="Times New Roman"/>
                <w:sz w:val="18"/>
                <w:szCs w:val="18"/>
              </w:rPr>
              <w:t>年</w:t>
            </w:r>
            <w:r w:rsidRPr="005B5EC1">
              <w:rPr>
                <w:rFonts w:ascii="Times New Roman" w:hAnsi="Times New Roman" w:cs="Times New Roman"/>
                <w:sz w:val="18"/>
                <w:szCs w:val="18"/>
              </w:rPr>
              <w:t>10</w:t>
            </w:r>
            <w:r w:rsidRPr="005B5EC1">
              <w:rPr>
                <w:rFonts w:ascii="Times New Roman" w:hAnsi="Times New Roman" w:cs="Times New Roman"/>
                <w:sz w:val="18"/>
                <w:szCs w:val="18"/>
              </w:rPr>
              <w:t>月</w:t>
            </w:r>
            <w:r w:rsidRPr="005B5EC1">
              <w:rPr>
                <w:rFonts w:ascii="Times New Roman" w:hAnsi="Times New Roman" w:cs="Times New Roman"/>
                <w:sz w:val="18"/>
                <w:szCs w:val="18"/>
              </w:rPr>
              <w:t>16</w:t>
            </w:r>
            <w:r w:rsidRPr="005B5EC1">
              <w:rPr>
                <w:rFonts w:ascii="Times New Roman" w:hAnsi="Times New Roman" w:cs="Times New Roman"/>
                <w:sz w:val="18"/>
                <w:szCs w:val="18"/>
              </w:rPr>
              <w:t>日</w:t>
            </w:r>
          </w:p>
        </w:tc>
      </w:tr>
      <w:tr w:rsidR="00AF139E" w:rsidRPr="005B5EC1" w14:paraId="7E9C9B52" w14:textId="77777777" w:rsidTr="00A820CB">
        <w:trPr>
          <w:divId w:val="1503081401"/>
          <w:trHeight w:val="20"/>
        </w:trPr>
        <w:tc>
          <w:tcPr>
            <w:tcW w:w="2649" w:type="dxa"/>
            <w:tcMar>
              <w:top w:w="10" w:type="dxa"/>
              <w:left w:w="10" w:type="dxa"/>
              <w:bottom w:w="10" w:type="dxa"/>
              <w:right w:w="10" w:type="dxa"/>
            </w:tcMar>
            <w:vAlign w:val="center"/>
            <w:hideMark/>
          </w:tcPr>
          <w:p w14:paraId="0D49015C"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江苏龙大沁侬食品有限公司</w:t>
            </w:r>
          </w:p>
        </w:tc>
        <w:tc>
          <w:tcPr>
            <w:tcW w:w="2464" w:type="dxa"/>
            <w:tcMar>
              <w:top w:w="10" w:type="dxa"/>
              <w:left w:w="10" w:type="dxa"/>
              <w:bottom w:w="10" w:type="dxa"/>
              <w:right w:w="10" w:type="dxa"/>
            </w:tcMar>
            <w:vAlign w:val="center"/>
            <w:hideMark/>
          </w:tcPr>
          <w:p w14:paraId="44C5D34E" w14:textId="77777777" w:rsidR="00AF139E" w:rsidRPr="005B5EC1" w:rsidRDefault="00000000" w:rsidP="00A820CB">
            <w:pPr>
              <w:pStyle w:val="a3"/>
              <w:spacing w:before="40" w:beforeAutospacing="0" w:after="40" w:afterAutospacing="0"/>
              <w:jc w:val="both"/>
              <w:rPr>
                <w:rFonts w:ascii="Times New Roman" w:hAnsi="Times New Roman" w:cs="Times New Roman"/>
              </w:rPr>
            </w:pPr>
            <w:r w:rsidRPr="005B5EC1">
              <w:rPr>
                <w:rFonts w:ascii="Times New Roman" w:hAnsi="Times New Roman" w:cs="Times New Roman"/>
                <w:sz w:val="18"/>
                <w:szCs w:val="18"/>
              </w:rPr>
              <w:t>91320723MA22J92702001V</w:t>
            </w:r>
          </w:p>
        </w:tc>
        <w:tc>
          <w:tcPr>
            <w:tcW w:w="2729" w:type="dxa"/>
            <w:tcMar>
              <w:top w:w="10" w:type="dxa"/>
              <w:left w:w="10" w:type="dxa"/>
              <w:bottom w:w="10" w:type="dxa"/>
              <w:right w:w="10" w:type="dxa"/>
            </w:tcMar>
            <w:vAlign w:val="center"/>
            <w:hideMark/>
          </w:tcPr>
          <w:p w14:paraId="7448299B"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09</w:t>
            </w:r>
            <w:r w:rsidRPr="005B5EC1">
              <w:rPr>
                <w:rFonts w:ascii="Times New Roman" w:hAnsi="Times New Roman" w:cs="Times New Roman"/>
                <w:sz w:val="18"/>
                <w:szCs w:val="18"/>
              </w:rPr>
              <w:t>月</w:t>
            </w:r>
            <w:r w:rsidRPr="005B5EC1">
              <w:rPr>
                <w:rFonts w:ascii="Times New Roman" w:hAnsi="Times New Roman" w:cs="Times New Roman"/>
                <w:sz w:val="18"/>
                <w:szCs w:val="18"/>
              </w:rPr>
              <w:t>26</w:t>
            </w:r>
            <w:r w:rsidRPr="005B5EC1">
              <w:rPr>
                <w:rFonts w:ascii="Times New Roman" w:hAnsi="Times New Roman" w:cs="Times New Roman"/>
                <w:sz w:val="18"/>
                <w:szCs w:val="18"/>
              </w:rPr>
              <w:t>日</w:t>
            </w:r>
          </w:p>
        </w:tc>
        <w:tc>
          <w:tcPr>
            <w:tcW w:w="1815" w:type="dxa"/>
            <w:tcMar>
              <w:top w:w="10" w:type="dxa"/>
              <w:left w:w="10" w:type="dxa"/>
              <w:bottom w:w="10" w:type="dxa"/>
              <w:right w:w="10" w:type="dxa"/>
            </w:tcMar>
            <w:vAlign w:val="center"/>
            <w:hideMark/>
          </w:tcPr>
          <w:p w14:paraId="0F710A16" w14:textId="77777777" w:rsidR="00AF139E" w:rsidRPr="005B5EC1" w:rsidRDefault="00000000" w:rsidP="00A820CB">
            <w:pPr>
              <w:pStyle w:val="a3"/>
              <w:spacing w:before="40" w:beforeAutospacing="0" w:after="40" w:afterAutospacing="0"/>
              <w:jc w:val="center"/>
              <w:rPr>
                <w:rFonts w:ascii="Times New Roman" w:hAnsi="Times New Roman" w:cs="Times New Roman"/>
              </w:rPr>
            </w:pP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9</w:t>
            </w:r>
            <w:r w:rsidRPr="005B5EC1">
              <w:rPr>
                <w:rFonts w:ascii="Times New Roman" w:hAnsi="Times New Roman" w:cs="Times New Roman"/>
                <w:sz w:val="18"/>
                <w:szCs w:val="18"/>
              </w:rPr>
              <w:t>月</w:t>
            </w:r>
            <w:r w:rsidRPr="005B5EC1">
              <w:rPr>
                <w:rFonts w:ascii="Times New Roman" w:hAnsi="Times New Roman" w:cs="Times New Roman"/>
                <w:sz w:val="18"/>
                <w:szCs w:val="18"/>
              </w:rPr>
              <w:t>26</w:t>
            </w:r>
            <w:r w:rsidRPr="005B5EC1">
              <w:rPr>
                <w:rFonts w:ascii="Times New Roman" w:hAnsi="Times New Roman" w:cs="Times New Roman"/>
                <w:sz w:val="18"/>
                <w:szCs w:val="18"/>
              </w:rPr>
              <w:t>日至</w:t>
            </w:r>
            <w:r w:rsidRPr="005B5EC1">
              <w:rPr>
                <w:rFonts w:ascii="Times New Roman" w:hAnsi="Times New Roman" w:cs="Times New Roman"/>
                <w:sz w:val="18"/>
                <w:szCs w:val="18"/>
              </w:rPr>
              <w:t>2029</w:t>
            </w:r>
            <w:r w:rsidRPr="005B5EC1">
              <w:rPr>
                <w:rFonts w:ascii="Times New Roman" w:hAnsi="Times New Roman" w:cs="Times New Roman"/>
                <w:sz w:val="18"/>
                <w:szCs w:val="18"/>
              </w:rPr>
              <w:t>年</w:t>
            </w:r>
            <w:r w:rsidRPr="005B5EC1">
              <w:rPr>
                <w:rFonts w:ascii="Times New Roman" w:hAnsi="Times New Roman" w:cs="Times New Roman"/>
                <w:sz w:val="18"/>
                <w:szCs w:val="18"/>
              </w:rPr>
              <w:t>9</w:t>
            </w:r>
            <w:r w:rsidRPr="005B5EC1">
              <w:rPr>
                <w:rFonts w:ascii="Times New Roman" w:hAnsi="Times New Roman" w:cs="Times New Roman"/>
                <w:sz w:val="18"/>
                <w:szCs w:val="18"/>
              </w:rPr>
              <w:t>月</w:t>
            </w:r>
            <w:r w:rsidRPr="005B5EC1">
              <w:rPr>
                <w:rFonts w:ascii="Times New Roman" w:hAnsi="Times New Roman" w:cs="Times New Roman"/>
                <w:sz w:val="18"/>
                <w:szCs w:val="18"/>
              </w:rPr>
              <w:t>25</w:t>
            </w:r>
            <w:r w:rsidRPr="005B5EC1">
              <w:rPr>
                <w:rFonts w:ascii="Times New Roman" w:hAnsi="Times New Roman" w:cs="Times New Roman"/>
                <w:sz w:val="18"/>
                <w:szCs w:val="18"/>
              </w:rPr>
              <w:t>日</w:t>
            </w:r>
          </w:p>
        </w:tc>
      </w:tr>
    </w:tbl>
    <w:p w14:paraId="58FF94DE" w14:textId="77777777" w:rsidR="00AF139E" w:rsidRPr="005B5EC1" w:rsidRDefault="00AF139E">
      <w:pPr>
        <w:divId w:val="1503081401"/>
        <w:rPr>
          <w:rFonts w:ascii="Times New Roman" w:hAnsi="Times New Roman" w:cs="Times New Roman"/>
        </w:rPr>
      </w:pPr>
    </w:p>
    <w:p w14:paraId="5FFF010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行业排放标准及生产经营活动中涉及的污染物排放的具体情况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877"/>
        <w:gridCol w:w="877"/>
        <w:gridCol w:w="877"/>
        <w:gridCol w:w="876"/>
        <w:gridCol w:w="641"/>
        <w:gridCol w:w="850"/>
        <w:gridCol w:w="1137"/>
        <w:gridCol w:w="1131"/>
        <w:gridCol w:w="851"/>
        <w:gridCol w:w="992"/>
        <w:gridCol w:w="530"/>
      </w:tblGrid>
      <w:tr w:rsidR="00E32FE0" w:rsidRPr="005B5EC1" w14:paraId="1621F737" w14:textId="77777777" w:rsidTr="00897D40">
        <w:trPr>
          <w:trHeight w:val="240"/>
        </w:trPr>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4D87251"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公司或子公司名称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EA66D6A"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主要污染物及特征污染物的种类</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21C022C6"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主要污染物及特征污染物的名称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302C04C"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排放方式</w:t>
            </w:r>
          </w:p>
        </w:tc>
        <w:tc>
          <w:tcPr>
            <w:tcW w:w="641" w:type="dxa"/>
            <w:tcBorders>
              <w:top w:val="single" w:sz="2" w:space="0" w:color="auto"/>
              <w:left w:val="single" w:sz="2" w:space="0" w:color="auto"/>
              <w:bottom w:val="single" w:sz="2" w:space="0" w:color="auto"/>
              <w:right w:val="single" w:sz="2" w:space="0" w:color="auto"/>
            </w:tcBorders>
            <w:shd w:val="clear" w:color="auto" w:fill="D3D3D3"/>
            <w:vAlign w:val="center"/>
          </w:tcPr>
          <w:p w14:paraId="7B98108D"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排放口数量</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3BFF579"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排放口分布情况</w:t>
            </w:r>
          </w:p>
        </w:tc>
        <w:tc>
          <w:tcPr>
            <w:tcW w:w="1137" w:type="dxa"/>
            <w:tcBorders>
              <w:top w:val="single" w:sz="2" w:space="0" w:color="auto"/>
              <w:left w:val="single" w:sz="2" w:space="0" w:color="auto"/>
              <w:bottom w:val="single" w:sz="2" w:space="0" w:color="auto"/>
              <w:right w:val="single" w:sz="2" w:space="0" w:color="auto"/>
            </w:tcBorders>
            <w:shd w:val="clear" w:color="auto" w:fill="D3D3D3"/>
            <w:vAlign w:val="center"/>
          </w:tcPr>
          <w:p w14:paraId="4638ED5C"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排放浓度</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强度</w:t>
            </w:r>
          </w:p>
        </w:tc>
        <w:tc>
          <w:tcPr>
            <w:tcW w:w="1131" w:type="dxa"/>
            <w:tcBorders>
              <w:top w:val="single" w:sz="2" w:space="0" w:color="auto"/>
              <w:left w:val="single" w:sz="2" w:space="0" w:color="auto"/>
              <w:bottom w:val="single" w:sz="2" w:space="0" w:color="auto"/>
              <w:right w:val="single" w:sz="2" w:space="0" w:color="auto"/>
            </w:tcBorders>
            <w:shd w:val="clear" w:color="auto" w:fill="D3D3D3"/>
            <w:vAlign w:val="center"/>
          </w:tcPr>
          <w:p w14:paraId="10F6CA6D"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执行的污染物排放标准</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66C06F91"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排放总量</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F8501D0"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核定的排放总量</w:t>
            </w:r>
          </w:p>
        </w:tc>
        <w:tc>
          <w:tcPr>
            <w:tcW w:w="530" w:type="dxa"/>
            <w:tcBorders>
              <w:top w:val="single" w:sz="2" w:space="0" w:color="auto"/>
              <w:left w:val="single" w:sz="2" w:space="0" w:color="auto"/>
              <w:bottom w:val="single" w:sz="2" w:space="0" w:color="auto"/>
              <w:right w:val="single" w:sz="2" w:space="0" w:color="auto"/>
            </w:tcBorders>
            <w:shd w:val="clear" w:color="auto" w:fill="D3D3D3"/>
            <w:vAlign w:val="center"/>
          </w:tcPr>
          <w:p w14:paraId="2CA3773C" w14:textId="77777777" w:rsidR="00E32FE0" w:rsidRPr="005B5EC1" w:rsidRDefault="00000000" w:rsidP="00897D4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超标排放情况</w:t>
            </w:r>
          </w:p>
        </w:tc>
      </w:tr>
      <w:tr w:rsidR="00E32FE0" w:rsidRPr="005B5EC1" w14:paraId="36E75A62" w14:textId="77777777" w:rsidTr="00897D40">
        <w:trPr>
          <w:trHeight w:val="240"/>
        </w:trPr>
        <w:tc>
          <w:tcPr>
            <w:tcW w:w="877" w:type="dxa"/>
            <w:tcBorders>
              <w:top w:val="single" w:sz="2" w:space="0" w:color="auto"/>
              <w:left w:val="single" w:sz="2" w:space="0" w:color="auto"/>
              <w:bottom w:val="single" w:sz="2" w:space="0" w:color="auto"/>
              <w:right w:val="single" w:sz="2" w:space="0" w:color="auto"/>
            </w:tcBorders>
            <w:vAlign w:val="center"/>
          </w:tcPr>
          <w:p w14:paraId="3015B839"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山东龙大美食股份有限公司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4C4921DF" w14:textId="77777777" w:rsidR="00E32FE0" w:rsidRPr="005B5EC1" w:rsidRDefault="00000000" w:rsidP="00897D40">
            <w:pPr>
              <w:spacing w:after="0" w:line="240" w:lineRule="exact"/>
              <w:jc w:val="center"/>
              <w:rPr>
                <w:rFonts w:ascii="Times New Roman" w:eastAsia="宋体" w:hAnsi="Times New Roman" w:cs="Times New Roman"/>
                <w:sz w:val="18"/>
                <w:szCs w:val="18"/>
              </w:rPr>
            </w:pPr>
            <w:proofErr w:type="spellStart"/>
            <w:r w:rsidRPr="005B5EC1">
              <w:rPr>
                <w:rFonts w:ascii="Times New Roman" w:eastAsia="宋体" w:hAnsi="Times New Roman" w:cs="Times New Roman"/>
                <w:sz w:val="18"/>
                <w:szCs w:val="18"/>
              </w:rPr>
              <w:t>CODcr</w:t>
            </w:r>
            <w:proofErr w:type="spellEnd"/>
          </w:p>
          <w:p w14:paraId="2CA54693"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NH3-N</w:t>
            </w:r>
          </w:p>
        </w:tc>
        <w:tc>
          <w:tcPr>
            <w:tcW w:w="877" w:type="dxa"/>
            <w:tcBorders>
              <w:top w:val="single" w:sz="2" w:space="0" w:color="auto"/>
              <w:left w:val="single" w:sz="2" w:space="0" w:color="auto"/>
              <w:bottom w:val="single" w:sz="2" w:space="0" w:color="auto"/>
              <w:right w:val="single" w:sz="2" w:space="0" w:color="auto"/>
            </w:tcBorders>
            <w:vAlign w:val="center"/>
          </w:tcPr>
          <w:p w14:paraId="5B9131B8"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化学需氧量、氨氮</w:t>
            </w:r>
          </w:p>
        </w:tc>
        <w:tc>
          <w:tcPr>
            <w:tcW w:w="876" w:type="dxa"/>
            <w:tcBorders>
              <w:top w:val="single" w:sz="2" w:space="0" w:color="auto"/>
              <w:left w:val="single" w:sz="2" w:space="0" w:color="auto"/>
              <w:bottom w:val="single" w:sz="2" w:space="0" w:color="auto"/>
              <w:right w:val="single" w:sz="2" w:space="0" w:color="auto"/>
            </w:tcBorders>
            <w:vAlign w:val="center"/>
          </w:tcPr>
          <w:p w14:paraId="6C2D4226"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间接排放</w:t>
            </w:r>
          </w:p>
        </w:tc>
        <w:tc>
          <w:tcPr>
            <w:tcW w:w="641" w:type="dxa"/>
            <w:tcBorders>
              <w:top w:val="single" w:sz="2" w:space="0" w:color="auto"/>
              <w:left w:val="single" w:sz="2" w:space="0" w:color="auto"/>
              <w:bottom w:val="single" w:sz="2" w:space="0" w:color="auto"/>
              <w:right w:val="single" w:sz="2" w:space="0" w:color="auto"/>
            </w:tcBorders>
            <w:vAlign w:val="center"/>
          </w:tcPr>
          <w:p w14:paraId="1F4F91A2"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850" w:type="dxa"/>
            <w:tcBorders>
              <w:top w:val="single" w:sz="2" w:space="0" w:color="auto"/>
              <w:left w:val="single" w:sz="2" w:space="0" w:color="auto"/>
              <w:bottom w:val="single" w:sz="2" w:space="0" w:color="auto"/>
              <w:right w:val="single" w:sz="2" w:space="0" w:color="auto"/>
            </w:tcBorders>
            <w:vAlign w:val="center"/>
          </w:tcPr>
          <w:p w14:paraId="4A92C7FF"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总排口位于厂区西南角</w:t>
            </w:r>
          </w:p>
        </w:tc>
        <w:tc>
          <w:tcPr>
            <w:tcW w:w="1137" w:type="dxa"/>
            <w:tcBorders>
              <w:top w:val="single" w:sz="2" w:space="0" w:color="auto"/>
              <w:left w:val="single" w:sz="2" w:space="0" w:color="auto"/>
              <w:bottom w:val="single" w:sz="2" w:space="0" w:color="auto"/>
              <w:right w:val="single" w:sz="2" w:space="0" w:color="auto"/>
            </w:tcBorders>
            <w:vAlign w:val="center"/>
          </w:tcPr>
          <w:p w14:paraId="7C0F5ACC"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29.1mg/L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NH3-N</w:t>
            </w:r>
          </w:p>
          <w:p w14:paraId="741B4A27"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5.69mg/L</w:t>
            </w:r>
          </w:p>
        </w:tc>
        <w:tc>
          <w:tcPr>
            <w:tcW w:w="1131" w:type="dxa"/>
            <w:tcBorders>
              <w:top w:val="single" w:sz="2" w:space="0" w:color="auto"/>
              <w:left w:val="single" w:sz="2" w:space="0" w:color="auto"/>
              <w:bottom w:val="single" w:sz="2" w:space="0" w:color="auto"/>
              <w:right w:val="single" w:sz="2" w:space="0" w:color="auto"/>
            </w:tcBorders>
            <w:vAlign w:val="center"/>
          </w:tcPr>
          <w:p w14:paraId="55F8B8B9"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肉类加工工业水污染物排放标准</w:t>
            </w:r>
            <w:r w:rsidRPr="005B5EC1">
              <w:rPr>
                <w:rFonts w:ascii="Times New Roman" w:eastAsia="宋体" w:hAnsi="Times New Roman" w:cs="Times New Roman"/>
                <w:sz w:val="18"/>
                <w:szCs w:val="18"/>
              </w:rPr>
              <w:t>GB 13457-92</w:t>
            </w:r>
            <w:r w:rsidRPr="005B5EC1">
              <w:rPr>
                <w:rFonts w:ascii="Times New Roman" w:eastAsia="宋体" w:hAnsi="Times New Roman" w:cs="Times New Roman"/>
                <w:sz w:val="18"/>
                <w:szCs w:val="18"/>
              </w:rPr>
              <w:t>，污水排入城镇下</w:t>
            </w:r>
            <w:r w:rsidRPr="005B5EC1">
              <w:rPr>
                <w:rFonts w:ascii="Times New Roman" w:eastAsia="宋体" w:hAnsi="Times New Roman" w:cs="Times New Roman"/>
                <w:sz w:val="18"/>
                <w:szCs w:val="18"/>
              </w:rPr>
              <w:lastRenderedPageBreak/>
              <w:t>水道水质标准</w:t>
            </w:r>
            <w:r w:rsidRPr="005B5EC1">
              <w:rPr>
                <w:rFonts w:ascii="Times New Roman" w:eastAsia="宋体" w:hAnsi="Times New Roman" w:cs="Times New Roman"/>
                <w:sz w:val="18"/>
                <w:szCs w:val="18"/>
              </w:rPr>
              <w:t>GB/T 31962-2015</w:t>
            </w:r>
            <w:r w:rsidRPr="005B5EC1">
              <w:rPr>
                <w:rFonts w:ascii="Times New Roman" w:eastAsia="宋体" w:hAnsi="Times New Roman" w:cs="Times New Roman"/>
                <w:sz w:val="18"/>
                <w:szCs w:val="18"/>
              </w:rPr>
              <w:t>中</w:t>
            </w:r>
            <w:r w:rsidRPr="005B5EC1">
              <w:rPr>
                <w:rFonts w:ascii="Times New Roman" w:eastAsia="宋体" w:hAnsi="Times New Roman" w:cs="Times New Roman"/>
                <w:sz w:val="18"/>
                <w:szCs w:val="18"/>
              </w:rPr>
              <w:t>B</w:t>
            </w:r>
            <w:r w:rsidRPr="005B5EC1">
              <w:rPr>
                <w:rFonts w:ascii="Times New Roman" w:eastAsia="宋体" w:hAnsi="Times New Roman" w:cs="Times New Roman"/>
                <w:sz w:val="18"/>
                <w:szCs w:val="18"/>
              </w:rPr>
              <w:t>级标准</w:t>
            </w:r>
          </w:p>
        </w:tc>
        <w:tc>
          <w:tcPr>
            <w:tcW w:w="851" w:type="dxa"/>
            <w:tcBorders>
              <w:top w:val="single" w:sz="2" w:space="0" w:color="auto"/>
              <w:left w:val="single" w:sz="2" w:space="0" w:color="auto"/>
              <w:bottom w:val="single" w:sz="2" w:space="0" w:color="auto"/>
              <w:right w:val="single" w:sz="2" w:space="0" w:color="auto"/>
            </w:tcBorders>
            <w:vAlign w:val="center"/>
          </w:tcPr>
          <w:p w14:paraId="41D3631B"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27.4</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 xml:space="preserve">NH3-N </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5.32</w:t>
            </w:r>
            <w:r w:rsidRPr="005B5EC1">
              <w:rPr>
                <w:rFonts w:ascii="Times New Roman" w:eastAsia="宋体" w:hAnsi="Times New Roman" w:cs="Times New Roman"/>
                <w:sz w:val="18"/>
                <w:szCs w:val="18"/>
              </w:rPr>
              <w:t>吨</w:t>
            </w:r>
          </w:p>
        </w:tc>
        <w:tc>
          <w:tcPr>
            <w:tcW w:w="992" w:type="dxa"/>
            <w:tcBorders>
              <w:top w:val="single" w:sz="2" w:space="0" w:color="auto"/>
              <w:left w:val="single" w:sz="2" w:space="0" w:color="auto"/>
              <w:bottom w:val="single" w:sz="2" w:space="0" w:color="auto"/>
              <w:right w:val="single" w:sz="2" w:space="0" w:color="auto"/>
            </w:tcBorders>
            <w:vAlign w:val="center"/>
          </w:tcPr>
          <w:p w14:paraId="658DCABD"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133.12</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NH3-N</w:t>
            </w:r>
          </w:p>
          <w:p w14:paraId="0BA79CE4"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6.58</w:t>
            </w:r>
            <w:r w:rsidRPr="005B5EC1">
              <w:rPr>
                <w:rFonts w:ascii="Times New Roman" w:eastAsia="宋体" w:hAnsi="Times New Roman" w:cs="Times New Roman"/>
                <w:sz w:val="18"/>
                <w:szCs w:val="18"/>
              </w:rPr>
              <w:t>吨、总氮：</w:t>
            </w:r>
            <w:r w:rsidRPr="005B5EC1">
              <w:rPr>
                <w:rFonts w:ascii="Times New Roman" w:eastAsia="宋体" w:hAnsi="Times New Roman" w:cs="Times New Roman"/>
                <w:sz w:val="18"/>
                <w:szCs w:val="18"/>
              </w:rPr>
              <w:lastRenderedPageBreak/>
              <w:t>70.917</w:t>
            </w:r>
            <w:r w:rsidRPr="005B5EC1">
              <w:rPr>
                <w:rFonts w:ascii="Times New Roman" w:eastAsia="宋体" w:hAnsi="Times New Roman" w:cs="Times New Roman"/>
                <w:sz w:val="18"/>
                <w:szCs w:val="18"/>
              </w:rPr>
              <w:t>吨</w:t>
            </w:r>
          </w:p>
        </w:tc>
        <w:tc>
          <w:tcPr>
            <w:tcW w:w="530" w:type="dxa"/>
            <w:tcBorders>
              <w:top w:val="single" w:sz="2" w:space="0" w:color="auto"/>
              <w:left w:val="single" w:sz="2" w:space="0" w:color="auto"/>
              <w:bottom w:val="single" w:sz="2" w:space="0" w:color="auto"/>
              <w:right w:val="single" w:sz="2" w:space="0" w:color="auto"/>
            </w:tcBorders>
            <w:vAlign w:val="center"/>
          </w:tcPr>
          <w:p w14:paraId="383A7D58"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无</w:t>
            </w:r>
          </w:p>
        </w:tc>
      </w:tr>
      <w:tr w:rsidR="00E32FE0" w:rsidRPr="005B5EC1" w14:paraId="07FC177E" w14:textId="77777777" w:rsidTr="00897D40">
        <w:trPr>
          <w:trHeight w:val="240"/>
        </w:trPr>
        <w:tc>
          <w:tcPr>
            <w:tcW w:w="877" w:type="dxa"/>
            <w:tcBorders>
              <w:top w:val="single" w:sz="2" w:space="0" w:color="auto"/>
              <w:left w:val="single" w:sz="2" w:space="0" w:color="auto"/>
              <w:bottom w:val="single" w:sz="2" w:space="0" w:color="auto"/>
              <w:right w:val="single" w:sz="2" w:space="0" w:color="auto"/>
            </w:tcBorders>
            <w:vAlign w:val="center"/>
          </w:tcPr>
          <w:p w14:paraId="64832B08"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1716AC0C" w14:textId="77777777" w:rsidR="00E32FE0" w:rsidRPr="005B5EC1" w:rsidRDefault="00000000" w:rsidP="00897D40">
            <w:pPr>
              <w:spacing w:after="0" w:line="240" w:lineRule="exact"/>
              <w:jc w:val="center"/>
              <w:rPr>
                <w:rFonts w:ascii="Times New Roman" w:eastAsia="宋体" w:hAnsi="Times New Roman" w:cs="Times New Roman"/>
                <w:sz w:val="18"/>
                <w:szCs w:val="18"/>
              </w:rPr>
            </w:pPr>
            <w:proofErr w:type="spellStart"/>
            <w:r w:rsidRPr="005B5EC1">
              <w:rPr>
                <w:rFonts w:ascii="Times New Roman" w:eastAsia="宋体" w:hAnsi="Times New Roman" w:cs="Times New Roman"/>
                <w:sz w:val="18"/>
                <w:szCs w:val="18"/>
              </w:rPr>
              <w:t>CODcr</w:t>
            </w:r>
            <w:proofErr w:type="spellEnd"/>
          </w:p>
          <w:p w14:paraId="5BD30F8A"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NH3-N</w:t>
            </w:r>
          </w:p>
          <w:p w14:paraId="4B081067"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TN</w:t>
            </w:r>
            <w:r w:rsidRPr="005B5EC1">
              <w:rPr>
                <w:rFonts w:ascii="Times New Roman" w:eastAsia="宋体" w:hAnsi="Times New Roman" w:cs="Times New Roman"/>
                <w:sz w:val="18"/>
                <w:szCs w:val="18"/>
              </w:rPr>
              <w:t>、</w:t>
            </w:r>
          </w:p>
          <w:p w14:paraId="0F6A0F25"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TP</w:t>
            </w:r>
          </w:p>
        </w:tc>
        <w:tc>
          <w:tcPr>
            <w:tcW w:w="877" w:type="dxa"/>
            <w:tcBorders>
              <w:top w:val="single" w:sz="2" w:space="0" w:color="auto"/>
              <w:left w:val="single" w:sz="2" w:space="0" w:color="auto"/>
              <w:bottom w:val="single" w:sz="2" w:space="0" w:color="auto"/>
              <w:right w:val="single" w:sz="2" w:space="0" w:color="auto"/>
            </w:tcBorders>
            <w:vAlign w:val="center"/>
          </w:tcPr>
          <w:p w14:paraId="72D3BC1B"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化学需氧量、氨氮、总氮、总磷</w:t>
            </w:r>
          </w:p>
        </w:tc>
        <w:tc>
          <w:tcPr>
            <w:tcW w:w="876" w:type="dxa"/>
            <w:tcBorders>
              <w:top w:val="single" w:sz="2" w:space="0" w:color="auto"/>
              <w:left w:val="single" w:sz="2" w:space="0" w:color="auto"/>
              <w:bottom w:val="single" w:sz="2" w:space="0" w:color="auto"/>
              <w:right w:val="single" w:sz="2" w:space="0" w:color="auto"/>
            </w:tcBorders>
            <w:vAlign w:val="center"/>
          </w:tcPr>
          <w:p w14:paraId="3FE44474"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间接排放</w:t>
            </w:r>
          </w:p>
        </w:tc>
        <w:tc>
          <w:tcPr>
            <w:tcW w:w="641" w:type="dxa"/>
            <w:tcBorders>
              <w:top w:val="single" w:sz="2" w:space="0" w:color="auto"/>
              <w:left w:val="single" w:sz="2" w:space="0" w:color="auto"/>
              <w:bottom w:val="single" w:sz="2" w:space="0" w:color="auto"/>
              <w:right w:val="single" w:sz="2" w:space="0" w:color="auto"/>
            </w:tcBorders>
            <w:vAlign w:val="center"/>
          </w:tcPr>
          <w:p w14:paraId="3322FEAB"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850" w:type="dxa"/>
            <w:tcBorders>
              <w:top w:val="single" w:sz="2" w:space="0" w:color="auto"/>
              <w:left w:val="single" w:sz="2" w:space="0" w:color="auto"/>
              <w:bottom w:val="single" w:sz="2" w:space="0" w:color="auto"/>
              <w:right w:val="single" w:sz="2" w:space="0" w:color="auto"/>
            </w:tcBorders>
            <w:vAlign w:val="center"/>
          </w:tcPr>
          <w:p w14:paraId="6090A882"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总排口位于厂区东南角</w:t>
            </w:r>
          </w:p>
        </w:tc>
        <w:tc>
          <w:tcPr>
            <w:tcW w:w="1137" w:type="dxa"/>
            <w:tcBorders>
              <w:top w:val="single" w:sz="2" w:space="0" w:color="auto"/>
              <w:left w:val="single" w:sz="2" w:space="0" w:color="auto"/>
              <w:bottom w:val="single" w:sz="2" w:space="0" w:color="auto"/>
              <w:right w:val="single" w:sz="2" w:space="0" w:color="auto"/>
            </w:tcBorders>
            <w:vAlign w:val="center"/>
          </w:tcPr>
          <w:p w14:paraId="289D5A85"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19.4mg/L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 xml:space="preserve">NH3-N </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0.746mg/L</w:t>
            </w:r>
            <w:r w:rsidRPr="005B5EC1">
              <w:rPr>
                <w:rFonts w:ascii="Times New Roman" w:eastAsia="宋体" w:hAnsi="Times New Roman" w:cs="Times New Roman"/>
                <w:sz w:val="18"/>
                <w:szCs w:val="18"/>
              </w:rPr>
              <w:t>、总氮：</w:t>
            </w:r>
            <w:r w:rsidRPr="005B5EC1">
              <w:rPr>
                <w:rFonts w:ascii="Times New Roman" w:eastAsia="宋体" w:hAnsi="Times New Roman" w:cs="Times New Roman"/>
                <w:sz w:val="18"/>
                <w:szCs w:val="18"/>
              </w:rPr>
              <w:t>24.8mg/L</w:t>
            </w:r>
          </w:p>
          <w:p w14:paraId="37A66B3F"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总磷：</w:t>
            </w:r>
            <w:r w:rsidRPr="005B5EC1">
              <w:rPr>
                <w:rFonts w:ascii="Times New Roman" w:eastAsia="宋体" w:hAnsi="Times New Roman" w:cs="Times New Roman"/>
                <w:sz w:val="18"/>
                <w:szCs w:val="18"/>
              </w:rPr>
              <w:t>0.205mg/L</w:t>
            </w:r>
          </w:p>
        </w:tc>
        <w:tc>
          <w:tcPr>
            <w:tcW w:w="1131" w:type="dxa"/>
            <w:tcBorders>
              <w:top w:val="single" w:sz="2" w:space="0" w:color="auto"/>
              <w:left w:val="single" w:sz="2" w:space="0" w:color="auto"/>
              <w:bottom w:val="single" w:sz="2" w:space="0" w:color="auto"/>
              <w:right w:val="single" w:sz="2" w:space="0" w:color="auto"/>
            </w:tcBorders>
            <w:vAlign w:val="center"/>
          </w:tcPr>
          <w:p w14:paraId="066D1BF1"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肉类加工工业水污染物排放标准</w:t>
            </w:r>
            <w:r w:rsidRPr="005B5EC1">
              <w:rPr>
                <w:rFonts w:ascii="Times New Roman" w:eastAsia="宋体" w:hAnsi="Times New Roman" w:cs="Times New Roman"/>
                <w:sz w:val="18"/>
                <w:szCs w:val="18"/>
              </w:rPr>
              <w:t>GB 13457-92</w:t>
            </w:r>
            <w:r w:rsidRPr="005B5EC1">
              <w:rPr>
                <w:rFonts w:ascii="Times New Roman" w:eastAsia="宋体" w:hAnsi="Times New Roman" w:cs="Times New Roman"/>
                <w:sz w:val="18"/>
                <w:szCs w:val="18"/>
              </w:rPr>
              <w:t>，污水排入城镇下水道水质标准</w:t>
            </w:r>
            <w:r w:rsidRPr="005B5EC1">
              <w:rPr>
                <w:rFonts w:ascii="Times New Roman" w:eastAsia="宋体" w:hAnsi="Times New Roman" w:cs="Times New Roman"/>
                <w:sz w:val="18"/>
                <w:szCs w:val="18"/>
              </w:rPr>
              <w:t>GB/T 31962-2015</w:t>
            </w:r>
            <w:r w:rsidRPr="005B5EC1">
              <w:rPr>
                <w:rFonts w:ascii="Times New Roman" w:eastAsia="宋体" w:hAnsi="Times New Roman" w:cs="Times New Roman"/>
                <w:sz w:val="18"/>
                <w:szCs w:val="18"/>
              </w:rPr>
              <w:t>中</w:t>
            </w:r>
            <w:r w:rsidRPr="005B5EC1">
              <w:rPr>
                <w:rFonts w:ascii="Times New Roman" w:eastAsia="宋体" w:hAnsi="Times New Roman" w:cs="Times New Roman"/>
                <w:sz w:val="18"/>
                <w:szCs w:val="18"/>
              </w:rPr>
              <w:t>B</w:t>
            </w:r>
            <w:r w:rsidRPr="005B5EC1">
              <w:rPr>
                <w:rFonts w:ascii="Times New Roman" w:eastAsia="宋体" w:hAnsi="Times New Roman" w:cs="Times New Roman"/>
                <w:sz w:val="18"/>
                <w:szCs w:val="18"/>
              </w:rPr>
              <w:t>级标准</w:t>
            </w:r>
          </w:p>
        </w:tc>
        <w:tc>
          <w:tcPr>
            <w:tcW w:w="851" w:type="dxa"/>
            <w:tcBorders>
              <w:top w:val="single" w:sz="2" w:space="0" w:color="auto"/>
              <w:left w:val="single" w:sz="2" w:space="0" w:color="auto"/>
              <w:bottom w:val="single" w:sz="2" w:space="0" w:color="auto"/>
              <w:right w:val="single" w:sz="2" w:space="0" w:color="auto"/>
            </w:tcBorders>
            <w:vAlign w:val="center"/>
          </w:tcPr>
          <w:p w14:paraId="4992E63D" w14:textId="77777777" w:rsidR="00975D82"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6.67</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 xml:space="preserve">NH3-N </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0.247</w:t>
            </w:r>
            <w:r w:rsidRPr="005B5EC1">
              <w:rPr>
                <w:rFonts w:ascii="Times New Roman" w:eastAsia="宋体" w:hAnsi="Times New Roman" w:cs="Times New Roman"/>
                <w:sz w:val="18"/>
                <w:szCs w:val="18"/>
              </w:rPr>
              <w:t>吨、总氮：</w:t>
            </w:r>
            <w:r w:rsidRPr="005B5EC1">
              <w:rPr>
                <w:rFonts w:ascii="Times New Roman" w:eastAsia="宋体" w:hAnsi="Times New Roman" w:cs="Times New Roman"/>
                <w:sz w:val="18"/>
                <w:szCs w:val="18"/>
              </w:rPr>
              <w:t>11.6</w:t>
            </w:r>
            <w:r w:rsidRPr="005B5EC1">
              <w:rPr>
                <w:rFonts w:ascii="Times New Roman" w:eastAsia="宋体" w:hAnsi="Times New Roman" w:cs="Times New Roman"/>
                <w:sz w:val="18"/>
                <w:szCs w:val="18"/>
              </w:rPr>
              <w:t>吨</w:t>
            </w:r>
          </w:p>
          <w:p w14:paraId="22D5AE0A" w14:textId="23978ACD"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总磷</w:t>
            </w:r>
            <w:r w:rsidR="00975D82">
              <w:rPr>
                <w:rFonts w:ascii="Times New Roman" w:eastAsia="宋体" w:hAnsi="Times New Roman" w:cs="Times New Roman" w:hint="eastAsia"/>
                <w:sz w:val="18"/>
                <w:szCs w:val="18"/>
              </w:rPr>
              <w:t>：</w:t>
            </w:r>
            <w:r w:rsidRPr="005B5EC1">
              <w:rPr>
                <w:rFonts w:ascii="Times New Roman" w:eastAsia="宋体" w:hAnsi="Times New Roman" w:cs="Times New Roman"/>
                <w:sz w:val="18"/>
                <w:szCs w:val="18"/>
              </w:rPr>
              <w:t>0.0664</w:t>
            </w:r>
            <w:r w:rsidRPr="005B5EC1">
              <w:rPr>
                <w:rFonts w:ascii="Times New Roman" w:eastAsia="宋体" w:hAnsi="Times New Roman" w:cs="Times New Roman"/>
                <w:sz w:val="18"/>
                <w:szCs w:val="18"/>
              </w:rPr>
              <w:t>吨</w:t>
            </w:r>
          </w:p>
        </w:tc>
        <w:tc>
          <w:tcPr>
            <w:tcW w:w="992" w:type="dxa"/>
            <w:tcBorders>
              <w:top w:val="single" w:sz="2" w:space="0" w:color="auto"/>
              <w:left w:val="single" w:sz="2" w:space="0" w:color="auto"/>
              <w:bottom w:val="single" w:sz="2" w:space="0" w:color="auto"/>
              <w:right w:val="single" w:sz="2" w:space="0" w:color="auto"/>
            </w:tcBorders>
            <w:vAlign w:val="center"/>
          </w:tcPr>
          <w:p w14:paraId="7A828607"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148.5</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NH3-N</w:t>
            </w:r>
          </w:p>
          <w:p w14:paraId="7C5CB6EC"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13.365</w:t>
            </w:r>
            <w:r w:rsidRPr="005B5EC1">
              <w:rPr>
                <w:rFonts w:ascii="Times New Roman" w:eastAsia="宋体" w:hAnsi="Times New Roman" w:cs="Times New Roman"/>
                <w:sz w:val="18"/>
                <w:szCs w:val="18"/>
              </w:rPr>
              <w:t>吨、总氮：</w:t>
            </w:r>
            <w:r w:rsidRPr="005B5EC1">
              <w:rPr>
                <w:rFonts w:ascii="Times New Roman" w:eastAsia="宋体" w:hAnsi="Times New Roman" w:cs="Times New Roman"/>
                <w:sz w:val="18"/>
                <w:szCs w:val="18"/>
              </w:rPr>
              <w:t>20.79</w:t>
            </w:r>
            <w:r w:rsidRPr="005B5EC1">
              <w:rPr>
                <w:rFonts w:ascii="Times New Roman" w:eastAsia="宋体" w:hAnsi="Times New Roman" w:cs="Times New Roman"/>
                <w:sz w:val="18"/>
                <w:szCs w:val="18"/>
              </w:rPr>
              <w:t>吨</w:t>
            </w:r>
          </w:p>
        </w:tc>
        <w:tc>
          <w:tcPr>
            <w:tcW w:w="530" w:type="dxa"/>
            <w:tcBorders>
              <w:top w:val="single" w:sz="2" w:space="0" w:color="auto"/>
              <w:left w:val="single" w:sz="2" w:space="0" w:color="auto"/>
              <w:bottom w:val="single" w:sz="2" w:space="0" w:color="auto"/>
              <w:right w:val="single" w:sz="2" w:space="0" w:color="auto"/>
            </w:tcBorders>
            <w:vAlign w:val="center"/>
          </w:tcPr>
          <w:p w14:paraId="0BE269A8"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4AD88589" w14:textId="77777777" w:rsidTr="00897D40">
        <w:trPr>
          <w:trHeight w:val="240"/>
        </w:trPr>
        <w:tc>
          <w:tcPr>
            <w:tcW w:w="877" w:type="dxa"/>
            <w:tcBorders>
              <w:top w:val="single" w:sz="2" w:space="0" w:color="auto"/>
              <w:left w:val="single" w:sz="2" w:space="0" w:color="auto"/>
              <w:bottom w:val="single" w:sz="2" w:space="0" w:color="auto"/>
              <w:right w:val="single" w:sz="2" w:space="0" w:color="auto"/>
            </w:tcBorders>
            <w:vAlign w:val="center"/>
          </w:tcPr>
          <w:p w14:paraId="6D1DFEDC"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32C71FB4" w14:textId="77777777" w:rsidR="00E32FE0" w:rsidRPr="005B5EC1" w:rsidRDefault="00000000" w:rsidP="00897D40">
            <w:pPr>
              <w:spacing w:after="0" w:line="240" w:lineRule="exact"/>
              <w:jc w:val="center"/>
              <w:rPr>
                <w:rFonts w:ascii="Times New Roman" w:eastAsia="宋体" w:hAnsi="Times New Roman" w:cs="Times New Roman"/>
                <w:sz w:val="18"/>
                <w:szCs w:val="18"/>
              </w:rPr>
            </w:pPr>
            <w:proofErr w:type="spellStart"/>
            <w:r w:rsidRPr="005B5EC1">
              <w:rPr>
                <w:rFonts w:ascii="Times New Roman" w:eastAsia="宋体" w:hAnsi="Times New Roman" w:cs="Times New Roman"/>
                <w:sz w:val="18"/>
                <w:szCs w:val="18"/>
              </w:rPr>
              <w:t>CODcr</w:t>
            </w:r>
            <w:proofErr w:type="spellEnd"/>
          </w:p>
          <w:p w14:paraId="1C1817E1"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NH3-N</w:t>
            </w:r>
          </w:p>
          <w:p w14:paraId="6358E442"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TP</w:t>
            </w:r>
          </w:p>
        </w:tc>
        <w:tc>
          <w:tcPr>
            <w:tcW w:w="877" w:type="dxa"/>
            <w:tcBorders>
              <w:top w:val="single" w:sz="2" w:space="0" w:color="auto"/>
              <w:left w:val="single" w:sz="2" w:space="0" w:color="auto"/>
              <w:bottom w:val="single" w:sz="2" w:space="0" w:color="auto"/>
              <w:right w:val="single" w:sz="2" w:space="0" w:color="auto"/>
            </w:tcBorders>
            <w:vAlign w:val="center"/>
          </w:tcPr>
          <w:p w14:paraId="6439A9CA"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化学需氧量、氨氮</w:t>
            </w:r>
          </w:p>
        </w:tc>
        <w:tc>
          <w:tcPr>
            <w:tcW w:w="876" w:type="dxa"/>
            <w:tcBorders>
              <w:top w:val="single" w:sz="2" w:space="0" w:color="auto"/>
              <w:left w:val="single" w:sz="2" w:space="0" w:color="auto"/>
              <w:bottom w:val="single" w:sz="2" w:space="0" w:color="auto"/>
              <w:right w:val="single" w:sz="2" w:space="0" w:color="auto"/>
            </w:tcBorders>
            <w:vAlign w:val="center"/>
          </w:tcPr>
          <w:p w14:paraId="1333A737"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直接排放</w:t>
            </w:r>
          </w:p>
        </w:tc>
        <w:tc>
          <w:tcPr>
            <w:tcW w:w="641" w:type="dxa"/>
            <w:tcBorders>
              <w:top w:val="single" w:sz="2" w:space="0" w:color="auto"/>
              <w:left w:val="single" w:sz="2" w:space="0" w:color="auto"/>
              <w:bottom w:val="single" w:sz="2" w:space="0" w:color="auto"/>
              <w:right w:val="single" w:sz="2" w:space="0" w:color="auto"/>
            </w:tcBorders>
            <w:vAlign w:val="center"/>
          </w:tcPr>
          <w:p w14:paraId="3FA2B3FC"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850" w:type="dxa"/>
            <w:tcBorders>
              <w:top w:val="single" w:sz="2" w:space="0" w:color="auto"/>
              <w:left w:val="single" w:sz="2" w:space="0" w:color="auto"/>
              <w:bottom w:val="single" w:sz="2" w:space="0" w:color="auto"/>
              <w:right w:val="single" w:sz="2" w:space="0" w:color="auto"/>
            </w:tcBorders>
            <w:vAlign w:val="center"/>
          </w:tcPr>
          <w:p w14:paraId="5FDF9D91"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总排口位于厂区西南角</w:t>
            </w:r>
          </w:p>
        </w:tc>
        <w:tc>
          <w:tcPr>
            <w:tcW w:w="1137" w:type="dxa"/>
            <w:tcBorders>
              <w:top w:val="single" w:sz="2" w:space="0" w:color="auto"/>
              <w:left w:val="single" w:sz="2" w:space="0" w:color="auto"/>
              <w:bottom w:val="single" w:sz="2" w:space="0" w:color="auto"/>
              <w:right w:val="single" w:sz="2" w:space="0" w:color="auto"/>
            </w:tcBorders>
            <w:vAlign w:val="center"/>
          </w:tcPr>
          <w:p w14:paraId="20ACA768"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17.458mg/L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NH3-N</w:t>
            </w:r>
          </w:p>
          <w:p w14:paraId="1A9F118E"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0.875mg/L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TP</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0.563 mg/L</w:t>
            </w:r>
          </w:p>
        </w:tc>
        <w:tc>
          <w:tcPr>
            <w:tcW w:w="1131" w:type="dxa"/>
            <w:tcBorders>
              <w:top w:val="single" w:sz="2" w:space="0" w:color="auto"/>
              <w:left w:val="single" w:sz="2" w:space="0" w:color="auto"/>
              <w:bottom w:val="single" w:sz="2" w:space="0" w:color="auto"/>
              <w:right w:val="single" w:sz="2" w:space="0" w:color="auto"/>
            </w:tcBorders>
            <w:vAlign w:val="center"/>
          </w:tcPr>
          <w:p w14:paraId="63714715"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肉类加工工业水污染物排放标准</w:t>
            </w:r>
            <w:r w:rsidRPr="005B5EC1">
              <w:rPr>
                <w:rFonts w:ascii="Times New Roman" w:eastAsia="宋体" w:hAnsi="Times New Roman" w:cs="Times New Roman"/>
                <w:sz w:val="18"/>
                <w:szCs w:val="18"/>
              </w:rPr>
              <w:t>GB 13457-92</w:t>
            </w:r>
          </w:p>
        </w:tc>
        <w:tc>
          <w:tcPr>
            <w:tcW w:w="851" w:type="dxa"/>
            <w:tcBorders>
              <w:top w:val="single" w:sz="2" w:space="0" w:color="auto"/>
              <w:left w:val="single" w:sz="2" w:space="0" w:color="auto"/>
              <w:bottom w:val="single" w:sz="2" w:space="0" w:color="auto"/>
              <w:right w:val="single" w:sz="2" w:space="0" w:color="auto"/>
            </w:tcBorders>
            <w:vAlign w:val="center"/>
          </w:tcPr>
          <w:p w14:paraId="0BC0C9F2"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4.805</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NH3-N</w:t>
            </w:r>
          </w:p>
          <w:p w14:paraId="7E10102B"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0.245</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TP</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0.152</w:t>
            </w:r>
            <w:r w:rsidRPr="005B5EC1">
              <w:rPr>
                <w:rFonts w:ascii="Times New Roman" w:eastAsia="宋体" w:hAnsi="Times New Roman" w:cs="Times New Roman"/>
                <w:sz w:val="18"/>
                <w:szCs w:val="18"/>
              </w:rPr>
              <w:t>吨</w:t>
            </w:r>
          </w:p>
        </w:tc>
        <w:tc>
          <w:tcPr>
            <w:tcW w:w="992" w:type="dxa"/>
            <w:tcBorders>
              <w:top w:val="single" w:sz="2" w:space="0" w:color="auto"/>
              <w:left w:val="single" w:sz="2" w:space="0" w:color="auto"/>
              <w:bottom w:val="single" w:sz="2" w:space="0" w:color="auto"/>
              <w:right w:val="single" w:sz="2" w:space="0" w:color="auto"/>
            </w:tcBorders>
            <w:vAlign w:val="center"/>
          </w:tcPr>
          <w:p w14:paraId="494937DC"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16.89</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NH3-N</w:t>
            </w:r>
          </w:p>
          <w:p w14:paraId="18F0BEAD"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3.9</w:t>
            </w:r>
            <w:r w:rsidRPr="005B5EC1">
              <w:rPr>
                <w:rFonts w:ascii="Times New Roman" w:eastAsia="宋体" w:hAnsi="Times New Roman" w:cs="Times New Roman"/>
                <w:sz w:val="18"/>
                <w:szCs w:val="18"/>
              </w:rPr>
              <w:t>吨</w:t>
            </w:r>
          </w:p>
        </w:tc>
        <w:tc>
          <w:tcPr>
            <w:tcW w:w="530" w:type="dxa"/>
            <w:tcBorders>
              <w:top w:val="single" w:sz="2" w:space="0" w:color="auto"/>
              <w:left w:val="single" w:sz="2" w:space="0" w:color="auto"/>
              <w:bottom w:val="single" w:sz="2" w:space="0" w:color="auto"/>
              <w:right w:val="single" w:sz="2" w:space="0" w:color="auto"/>
            </w:tcBorders>
            <w:vAlign w:val="center"/>
          </w:tcPr>
          <w:p w14:paraId="66CFBED3"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30C34264" w14:textId="77777777" w:rsidTr="00897D40">
        <w:trPr>
          <w:trHeight w:val="240"/>
        </w:trPr>
        <w:tc>
          <w:tcPr>
            <w:tcW w:w="877" w:type="dxa"/>
            <w:tcBorders>
              <w:top w:val="single" w:sz="2" w:space="0" w:color="auto"/>
              <w:left w:val="single" w:sz="2" w:space="0" w:color="auto"/>
              <w:bottom w:val="single" w:sz="2" w:space="0" w:color="auto"/>
              <w:right w:val="single" w:sz="2" w:space="0" w:color="auto"/>
            </w:tcBorders>
            <w:vAlign w:val="center"/>
          </w:tcPr>
          <w:p w14:paraId="6F87AD49"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430FC587" w14:textId="77777777" w:rsidR="00E32FE0" w:rsidRPr="005B5EC1" w:rsidRDefault="00000000" w:rsidP="00897D40">
            <w:pPr>
              <w:spacing w:after="0" w:line="240" w:lineRule="exact"/>
              <w:jc w:val="center"/>
              <w:rPr>
                <w:rFonts w:ascii="Times New Roman" w:eastAsia="宋体" w:hAnsi="Times New Roman" w:cs="Times New Roman"/>
                <w:sz w:val="18"/>
                <w:szCs w:val="18"/>
              </w:rPr>
            </w:pPr>
            <w:proofErr w:type="spellStart"/>
            <w:r w:rsidRPr="005B5EC1">
              <w:rPr>
                <w:rFonts w:ascii="Times New Roman" w:eastAsia="宋体" w:hAnsi="Times New Roman" w:cs="Times New Roman"/>
                <w:sz w:val="18"/>
                <w:szCs w:val="18"/>
              </w:rPr>
              <w:t>CODcr</w:t>
            </w:r>
            <w:proofErr w:type="spellEnd"/>
          </w:p>
          <w:p w14:paraId="4F199732"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NH3-N</w:t>
            </w:r>
          </w:p>
          <w:p w14:paraId="23CA3A20"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TN</w:t>
            </w:r>
            <w:r w:rsidRPr="005B5EC1">
              <w:rPr>
                <w:rFonts w:ascii="Times New Roman" w:eastAsia="宋体" w:hAnsi="Times New Roman" w:cs="Times New Roman"/>
                <w:sz w:val="18"/>
                <w:szCs w:val="18"/>
              </w:rPr>
              <w:t>、</w:t>
            </w:r>
          </w:p>
          <w:p w14:paraId="202492C0"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TP</w:t>
            </w:r>
          </w:p>
        </w:tc>
        <w:tc>
          <w:tcPr>
            <w:tcW w:w="877" w:type="dxa"/>
            <w:tcBorders>
              <w:top w:val="single" w:sz="2" w:space="0" w:color="auto"/>
              <w:left w:val="single" w:sz="2" w:space="0" w:color="auto"/>
              <w:bottom w:val="single" w:sz="2" w:space="0" w:color="auto"/>
              <w:right w:val="single" w:sz="2" w:space="0" w:color="auto"/>
            </w:tcBorders>
            <w:vAlign w:val="center"/>
          </w:tcPr>
          <w:p w14:paraId="361EA146"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化学需氧量、氨氮、总氮、总磷</w:t>
            </w:r>
          </w:p>
        </w:tc>
        <w:tc>
          <w:tcPr>
            <w:tcW w:w="876" w:type="dxa"/>
            <w:tcBorders>
              <w:top w:val="single" w:sz="2" w:space="0" w:color="auto"/>
              <w:left w:val="single" w:sz="2" w:space="0" w:color="auto"/>
              <w:bottom w:val="single" w:sz="2" w:space="0" w:color="auto"/>
              <w:right w:val="single" w:sz="2" w:space="0" w:color="auto"/>
            </w:tcBorders>
            <w:vAlign w:val="center"/>
          </w:tcPr>
          <w:p w14:paraId="501DC5E2"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间接排放</w:t>
            </w:r>
          </w:p>
        </w:tc>
        <w:tc>
          <w:tcPr>
            <w:tcW w:w="641" w:type="dxa"/>
            <w:tcBorders>
              <w:top w:val="single" w:sz="2" w:space="0" w:color="auto"/>
              <w:left w:val="single" w:sz="2" w:space="0" w:color="auto"/>
              <w:bottom w:val="single" w:sz="2" w:space="0" w:color="auto"/>
              <w:right w:val="single" w:sz="2" w:space="0" w:color="auto"/>
            </w:tcBorders>
            <w:vAlign w:val="center"/>
          </w:tcPr>
          <w:p w14:paraId="213D4592"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850" w:type="dxa"/>
            <w:tcBorders>
              <w:top w:val="single" w:sz="2" w:space="0" w:color="auto"/>
              <w:left w:val="single" w:sz="2" w:space="0" w:color="auto"/>
              <w:bottom w:val="single" w:sz="2" w:space="0" w:color="auto"/>
              <w:right w:val="single" w:sz="2" w:space="0" w:color="auto"/>
            </w:tcBorders>
            <w:vAlign w:val="center"/>
          </w:tcPr>
          <w:p w14:paraId="46A2BD0B"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总排口位于厂区南面</w:t>
            </w:r>
          </w:p>
        </w:tc>
        <w:tc>
          <w:tcPr>
            <w:tcW w:w="1137" w:type="dxa"/>
            <w:tcBorders>
              <w:top w:val="single" w:sz="2" w:space="0" w:color="auto"/>
              <w:left w:val="single" w:sz="2" w:space="0" w:color="auto"/>
              <w:bottom w:val="single" w:sz="2" w:space="0" w:color="auto"/>
              <w:right w:val="single" w:sz="2" w:space="0" w:color="auto"/>
            </w:tcBorders>
            <w:vAlign w:val="center"/>
          </w:tcPr>
          <w:p w14:paraId="6C3B2204"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19.3mg/L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 xml:space="preserve">NH3-N </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1.52mg/L</w:t>
            </w:r>
            <w:r w:rsidRPr="005B5EC1">
              <w:rPr>
                <w:rFonts w:ascii="Times New Roman" w:eastAsia="宋体" w:hAnsi="Times New Roman" w:cs="Times New Roman"/>
                <w:sz w:val="18"/>
                <w:szCs w:val="18"/>
              </w:rPr>
              <w:t>、总氮：</w:t>
            </w:r>
            <w:r w:rsidRPr="005B5EC1">
              <w:rPr>
                <w:rFonts w:ascii="Times New Roman" w:eastAsia="宋体" w:hAnsi="Times New Roman" w:cs="Times New Roman"/>
                <w:sz w:val="18"/>
                <w:szCs w:val="18"/>
              </w:rPr>
              <w:t>12.8mg/L</w:t>
            </w:r>
          </w:p>
          <w:p w14:paraId="3394D72F"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总磷：</w:t>
            </w:r>
            <w:r w:rsidRPr="005B5EC1">
              <w:rPr>
                <w:rFonts w:ascii="Times New Roman" w:eastAsia="宋体" w:hAnsi="Times New Roman" w:cs="Times New Roman"/>
                <w:sz w:val="18"/>
                <w:szCs w:val="18"/>
              </w:rPr>
              <w:t>1.36mg/L</w:t>
            </w:r>
          </w:p>
        </w:tc>
        <w:tc>
          <w:tcPr>
            <w:tcW w:w="1131" w:type="dxa"/>
            <w:tcBorders>
              <w:top w:val="single" w:sz="2" w:space="0" w:color="auto"/>
              <w:left w:val="single" w:sz="2" w:space="0" w:color="auto"/>
              <w:bottom w:val="single" w:sz="2" w:space="0" w:color="auto"/>
              <w:right w:val="single" w:sz="2" w:space="0" w:color="auto"/>
            </w:tcBorders>
            <w:vAlign w:val="center"/>
          </w:tcPr>
          <w:p w14:paraId="700FF6EB"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肉类加工工业水污染物排放标准</w:t>
            </w:r>
            <w:r w:rsidRPr="005B5EC1">
              <w:rPr>
                <w:rFonts w:ascii="Times New Roman" w:eastAsia="宋体" w:hAnsi="Times New Roman" w:cs="Times New Roman"/>
                <w:sz w:val="18"/>
                <w:szCs w:val="18"/>
              </w:rPr>
              <w:t>GB 13457-92</w:t>
            </w:r>
            <w:r w:rsidRPr="005B5EC1">
              <w:rPr>
                <w:rFonts w:ascii="Times New Roman" w:eastAsia="宋体" w:hAnsi="Times New Roman" w:cs="Times New Roman"/>
                <w:sz w:val="18"/>
                <w:szCs w:val="18"/>
              </w:rPr>
              <w:t>，污水综合排放标准</w:t>
            </w:r>
            <w:r w:rsidRPr="005B5EC1">
              <w:rPr>
                <w:rFonts w:ascii="Times New Roman" w:eastAsia="宋体" w:hAnsi="Times New Roman" w:cs="Times New Roman"/>
                <w:sz w:val="18"/>
                <w:szCs w:val="18"/>
              </w:rPr>
              <w:t>GB8978-1996</w:t>
            </w:r>
          </w:p>
        </w:tc>
        <w:tc>
          <w:tcPr>
            <w:tcW w:w="851" w:type="dxa"/>
            <w:tcBorders>
              <w:top w:val="single" w:sz="2" w:space="0" w:color="auto"/>
              <w:left w:val="single" w:sz="2" w:space="0" w:color="auto"/>
              <w:bottom w:val="single" w:sz="2" w:space="0" w:color="auto"/>
              <w:right w:val="single" w:sz="2" w:space="0" w:color="auto"/>
            </w:tcBorders>
            <w:vAlign w:val="center"/>
          </w:tcPr>
          <w:p w14:paraId="2F809533"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17.5</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 xml:space="preserve">NH3-N </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1.33</w:t>
            </w:r>
            <w:r w:rsidRPr="005B5EC1">
              <w:rPr>
                <w:rFonts w:ascii="Times New Roman" w:eastAsia="宋体" w:hAnsi="Times New Roman" w:cs="Times New Roman"/>
                <w:sz w:val="18"/>
                <w:szCs w:val="18"/>
              </w:rPr>
              <w:t>吨、总氮：</w:t>
            </w:r>
            <w:r w:rsidRPr="005B5EC1">
              <w:rPr>
                <w:rFonts w:ascii="Times New Roman" w:eastAsia="宋体" w:hAnsi="Times New Roman" w:cs="Times New Roman"/>
                <w:sz w:val="18"/>
                <w:szCs w:val="18"/>
              </w:rPr>
              <w:t>10.9</w:t>
            </w:r>
            <w:r w:rsidRPr="005B5EC1">
              <w:rPr>
                <w:rFonts w:ascii="Times New Roman" w:eastAsia="宋体" w:hAnsi="Times New Roman" w:cs="Times New Roman"/>
                <w:sz w:val="18"/>
                <w:szCs w:val="18"/>
              </w:rPr>
              <w:t>吨总磷</w:t>
            </w:r>
            <w:r w:rsidRPr="005B5EC1">
              <w:rPr>
                <w:rFonts w:ascii="Times New Roman" w:eastAsia="宋体" w:hAnsi="Times New Roman" w:cs="Times New Roman"/>
                <w:sz w:val="18"/>
                <w:szCs w:val="18"/>
              </w:rPr>
              <w:t>1.04</w:t>
            </w:r>
            <w:r w:rsidRPr="005B5EC1">
              <w:rPr>
                <w:rFonts w:ascii="Times New Roman" w:eastAsia="宋体" w:hAnsi="Times New Roman" w:cs="Times New Roman"/>
                <w:sz w:val="18"/>
                <w:szCs w:val="18"/>
              </w:rPr>
              <w:t>吨</w:t>
            </w:r>
          </w:p>
        </w:tc>
        <w:tc>
          <w:tcPr>
            <w:tcW w:w="992" w:type="dxa"/>
            <w:tcBorders>
              <w:top w:val="single" w:sz="2" w:space="0" w:color="auto"/>
              <w:left w:val="single" w:sz="2" w:space="0" w:color="auto"/>
              <w:bottom w:val="single" w:sz="2" w:space="0" w:color="auto"/>
              <w:right w:val="single" w:sz="2" w:space="0" w:color="auto"/>
            </w:tcBorders>
            <w:vAlign w:val="center"/>
          </w:tcPr>
          <w:p w14:paraId="72E89ADE"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40</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 xml:space="preserve">NH3-N </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8.775</w:t>
            </w:r>
            <w:r w:rsidRPr="005B5EC1">
              <w:rPr>
                <w:rFonts w:ascii="Times New Roman" w:eastAsia="宋体" w:hAnsi="Times New Roman" w:cs="Times New Roman"/>
                <w:sz w:val="18"/>
                <w:szCs w:val="18"/>
              </w:rPr>
              <w:t>吨</w:t>
            </w:r>
          </w:p>
        </w:tc>
        <w:tc>
          <w:tcPr>
            <w:tcW w:w="530" w:type="dxa"/>
            <w:tcBorders>
              <w:top w:val="single" w:sz="2" w:space="0" w:color="auto"/>
              <w:left w:val="single" w:sz="2" w:space="0" w:color="auto"/>
              <w:bottom w:val="single" w:sz="2" w:space="0" w:color="auto"/>
              <w:right w:val="single" w:sz="2" w:space="0" w:color="auto"/>
            </w:tcBorders>
            <w:vAlign w:val="center"/>
          </w:tcPr>
          <w:p w14:paraId="608A3294"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19039BE3" w14:textId="77777777" w:rsidTr="00897D40">
        <w:trPr>
          <w:trHeight w:val="240"/>
        </w:trPr>
        <w:tc>
          <w:tcPr>
            <w:tcW w:w="877" w:type="dxa"/>
            <w:tcBorders>
              <w:top w:val="single" w:sz="2" w:space="0" w:color="auto"/>
              <w:left w:val="single" w:sz="2" w:space="0" w:color="auto"/>
              <w:bottom w:val="single" w:sz="2" w:space="0" w:color="auto"/>
              <w:right w:val="single" w:sz="2" w:space="0" w:color="auto"/>
            </w:tcBorders>
            <w:vAlign w:val="center"/>
          </w:tcPr>
          <w:p w14:paraId="4DD6BC03"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41F79615" w14:textId="77777777" w:rsidR="00E32FE0" w:rsidRPr="005B5EC1" w:rsidRDefault="00000000" w:rsidP="00897D40">
            <w:pPr>
              <w:spacing w:after="0" w:line="240" w:lineRule="exact"/>
              <w:jc w:val="center"/>
              <w:rPr>
                <w:rFonts w:ascii="Times New Roman" w:eastAsia="宋体" w:hAnsi="Times New Roman" w:cs="Times New Roman"/>
                <w:sz w:val="18"/>
                <w:szCs w:val="18"/>
              </w:rPr>
            </w:pPr>
            <w:proofErr w:type="spellStart"/>
            <w:r w:rsidRPr="005B5EC1">
              <w:rPr>
                <w:rFonts w:ascii="Times New Roman" w:eastAsia="宋体" w:hAnsi="Times New Roman" w:cs="Times New Roman"/>
                <w:sz w:val="18"/>
                <w:szCs w:val="18"/>
              </w:rPr>
              <w:t>CODcr</w:t>
            </w:r>
            <w:proofErr w:type="spellEnd"/>
          </w:p>
          <w:p w14:paraId="5245790C"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NH3-N</w:t>
            </w:r>
          </w:p>
          <w:p w14:paraId="4E419DE5"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TP</w:t>
            </w:r>
          </w:p>
          <w:p w14:paraId="4653408B"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TN</w:t>
            </w:r>
          </w:p>
        </w:tc>
        <w:tc>
          <w:tcPr>
            <w:tcW w:w="877" w:type="dxa"/>
            <w:tcBorders>
              <w:top w:val="single" w:sz="2" w:space="0" w:color="auto"/>
              <w:left w:val="single" w:sz="2" w:space="0" w:color="auto"/>
              <w:bottom w:val="single" w:sz="2" w:space="0" w:color="auto"/>
              <w:right w:val="single" w:sz="2" w:space="0" w:color="auto"/>
            </w:tcBorders>
            <w:vAlign w:val="center"/>
          </w:tcPr>
          <w:p w14:paraId="02DFF2FC"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化学需氧量、氨氮、总磷、总氮</w:t>
            </w:r>
          </w:p>
        </w:tc>
        <w:tc>
          <w:tcPr>
            <w:tcW w:w="876" w:type="dxa"/>
            <w:tcBorders>
              <w:top w:val="single" w:sz="2" w:space="0" w:color="auto"/>
              <w:left w:val="single" w:sz="2" w:space="0" w:color="auto"/>
              <w:bottom w:val="single" w:sz="2" w:space="0" w:color="auto"/>
              <w:right w:val="single" w:sz="2" w:space="0" w:color="auto"/>
            </w:tcBorders>
            <w:vAlign w:val="center"/>
          </w:tcPr>
          <w:p w14:paraId="647962E5"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直接排放</w:t>
            </w:r>
          </w:p>
        </w:tc>
        <w:tc>
          <w:tcPr>
            <w:tcW w:w="641" w:type="dxa"/>
            <w:tcBorders>
              <w:top w:val="single" w:sz="2" w:space="0" w:color="auto"/>
              <w:left w:val="single" w:sz="2" w:space="0" w:color="auto"/>
              <w:bottom w:val="single" w:sz="2" w:space="0" w:color="auto"/>
              <w:right w:val="single" w:sz="2" w:space="0" w:color="auto"/>
            </w:tcBorders>
            <w:vAlign w:val="center"/>
          </w:tcPr>
          <w:p w14:paraId="1FD3D19F"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850" w:type="dxa"/>
            <w:tcBorders>
              <w:top w:val="single" w:sz="2" w:space="0" w:color="auto"/>
              <w:left w:val="single" w:sz="2" w:space="0" w:color="auto"/>
              <w:bottom w:val="single" w:sz="2" w:space="0" w:color="auto"/>
              <w:right w:val="single" w:sz="2" w:space="0" w:color="auto"/>
            </w:tcBorders>
            <w:vAlign w:val="center"/>
          </w:tcPr>
          <w:p w14:paraId="1C1D96DB"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总排口位于厂区南部</w:t>
            </w:r>
          </w:p>
        </w:tc>
        <w:tc>
          <w:tcPr>
            <w:tcW w:w="1137" w:type="dxa"/>
            <w:tcBorders>
              <w:top w:val="single" w:sz="2" w:space="0" w:color="auto"/>
              <w:left w:val="single" w:sz="2" w:space="0" w:color="auto"/>
              <w:bottom w:val="single" w:sz="2" w:space="0" w:color="auto"/>
              <w:right w:val="single" w:sz="2" w:space="0" w:color="auto"/>
            </w:tcBorders>
            <w:vAlign w:val="center"/>
          </w:tcPr>
          <w:p w14:paraId="36311E16"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22.6mg/L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NH3-N</w:t>
            </w:r>
          </w:p>
          <w:p w14:paraId="155BF342"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0.2mg/L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TP</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0.0863 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TN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6.94mg/L</w:t>
            </w:r>
          </w:p>
        </w:tc>
        <w:tc>
          <w:tcPr>
            <w:tcW w:w="1131" w:type="dxa"/>
            <w:tcBorders>
              <w:top w:val="single" w:sz="2" w:space="0" w:color="auto"/>
              <w:left w:val="single" w:sz="2" w:space="0" w:color="auto"/>
              <w:bottom w:val="single" w:sz="2" w:space="0" w:color="auto"/>
              <w:right w:val="single" w:sz="2" w:space="0" w:color="auto"/>
            </w:tcBorders>
            <w:vAlign w:val="center"/>
          </w:tcPr>
          <w:p w14:paraId="038FE679"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山东省半岛流域水污染物综合排放标准第</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部分：半岛流域（</w:t>
            </w:r>
            <w:r w:rsidRPr="005B5EC1">
              <w:rPr>
                <w:rFonts w:ascii="Times New Roman" w:eastAsia="宋体" w:hAnsi="Times New Roman" w:cs="Times New Roman"/>
                <w:sz w:val="18"/>
                <w:szCs w:val="18"/>
              </w:rPr>
              <w:t>DB37/3416.5-2018</w:t>
            </w:r>
            <w:r w:rsidRPr="005B5EC1">
              <w:rPr>
                <w:rFonts w:ascii="Times New Roman" w:eastAsia="宋体" w:hAnsi="Times New Roman" w:cs="Times New Roman"/>
                <w:sz w:val="18"/>
                <w:szCs w:val="18"/>
              </w:rPr>
              <w:t>）一级标准，肉类加工工业水污染物排放标准（</w:t>
            </w:r>
            <w:r w:rsidRPr="005B5EC1">
              <w:rPr>
                <w:rFonts w:ascii="Times New Roman" w:eastAsia="宋体" w:hAnsi="Times New Roman" w:cs="Times New Roman"/>
                <w:sz w:val="18"/>
                <w:szCs w:val="18"/>
              </w:rPr>
              <w:t>GB13457-92</w:t>
            </w:r>
            <w:r w:rsidRPr="005B5EC1">
              <w:rPr>
                <w:rFonts w:ascii="Times New Roman" w:eastAsia="宋体" w:hAnsi="Times New Roman" w:cs="Times New Roman"/>
                <w:sz w:val="18"/>
                <w:szCs w:val="18"/>
              </w:rPr>
              <w:t>）一级标准</w:t>
            </w:r>
          </w:p>
        </w:tc>
        <w:tc>
          <w:tcPr>
            <w:tcW w:w="851" w:type="dxa"/>
            <w:tcBorders>
              <w:top w:val="single" w:sz="2" w:space="0" w:color="auto"/>
              <w:left w:val="single" w:sz="2" w:space="0" w:color="auto"/>
              <w:bottom w:val="single" w:sz="2" w:space="0" w:color="auto"/>
              <w:right w:val="single" w:sz="2" w:space="0" w:color="auto"/>
            </w:tcBorders>
            <w:vAlign w:val="center"/>
          </w:tcPr>
          <w:p w14:paraId="42896BFA"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1.05</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 xml:space="preserve">NH3-N </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0.00893</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TP</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0.00414</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TN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0.333</w:t>
            </w:r>
            <w:r w:rsidRPr="005B5EC1">
              <w:rPr>
                <w:rFonts w:ascii="Times New Roman" w:eastAsia="宋体" w:hAnsi="Times New Roman" w:cs="Times New Roman"/>
                <w:sz w:val="18"/>
                <w:szCs w:val="18"/>
              </w:rPr>
              <w:t>吨</w:t>
            </w:r>
          </w:p>
        </w:tc>
        <w:tc>
          <w:tcPr>
            <w:tcW w:w="992" w:type="dxa"/>
            <w:tcBorders>
              <w:top w:val="single" w:sz="2" w:space="0" w:color="auto"/>
              <w:left w:val="single" w:sz="2" w:space="0" w:color="auto"/>
              <w:bottom w:val="single" w:sz="2" w:space="0" w:color="auto"/>
              <w:right w:val="single" w:sz="2" w:space="0" w:color="auto"/>
            </w:tcBorders>
            <w:vAlign w:val="center"/>
          </w:tcPr>
          <w:p w14:paraId="2D001C41"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3.89</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 xml:space="preserve">NH3-N </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0.39</w:t>
            </w:r>
            <w:r w:rsidRPr="005B5EC1">
              <w:rPr>
                <w:rFonts w:ascii="Times New Roman" w:eastAsia="宋体" w:hAnsi="Times New Roman" w:cs="Times New Roman"/>
                <w:sz w:val="18"/>
                <w:szCs w:val="18"/>
              </w:rPr>
              <w:t>吨、总氮：</w:t>
            </w:r>
            <w:r w:rsidRPr="005B5EC1">
              <w:rPr>
                <w:rFonts w:ascii="Times New Roman" w:eastAsia="宋体" w:hAnsi="Times New Roman" w:cs="Times New Roman"/>
                <w:sz w:val="18"/>
                <w:szCs w:val="18"/>
              </w:rPr>
              <w:t>1.716</w:t>
            </w:r>
            <w:r w:rsidRPr="005B5EC1">
              <w:rPr>
                <w:rFonts w:ascii="Times New Roman" w:eastAsia="宋体" w:hAnsi="Times New Roman" w:cs="Times New Roman"/>
                <w:sz w:val="18"/>
                <w:szCs w:val="18"/>
              </w:rPr>
              <w:t>吨</w:t>
            </w:r>
          </w:p>
        </w:tc>
        <w:tc>
          <w:tcPr>
            <w:tcW w:w="530" w:type="dxa"/>
            <w:tcBorders>
              <w:top w:val="single" w:sz="2" w:space="0" w:color="auto"/>
              <w:left w:val="single" w:sz="2" w:space="0" w:color="auto"/>
              <w:bottom w:val="single" w:sz="2" w:space="0" w:color="auto"/>
              <w:right w:val="single" w:sz="2" w:space="0" w:color="auto"/>
            </w:tcBorders>
            <w:vAlign w:val="center"/>
          </w:tcPr>
          <w:p w14:paraId="7848B98F"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796715C6" w14:textId="77777777" w:rsidTr="00897D40">
        <w:trPr>
          <w:trHeight w:val="240"/>
        </w:trPr>
        <w:tc>
          <w:tcPr>
            <w:tcW w:w="877" w:type="dxa"/>
            <w:tcBorders>
              <w:top w:val="single" w:sz="2" w:space="0" w:color="auto"/>
              <w:left w:val="single" w:sz="2" w:space="0" w:color="auto"/>
              <w:bottom w:val="single" w:sz="2" w:space="0" w:color="auto"/>
              <w:right w:val="single" w:sz="2" w:space="0" w:color="auto"/>
            </w:tcBorders>
            <w:vAlign w:val="center"/>
          </w:tcPr>
          <w:p w14:paraId="3A800D89"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5D9411D7" w14:textId="77777777" w:rsidR="00E32FE0" w:rsidRPr="005B5EC1" w:rsidRDefault="00000000" w:rsidP="00897D40">
            <w:pPr>
              <w:spacing w:after="0" w:line="240" w:lineRule="exact"/>
              <w:jc w:val="center"/>
              <w:rPr>
                <w:rFonts w:ascii="Times New Roman" w:eastAsia="宋体" w:hAnsi="Times New Roman" w:cs="Times New Roman"/>
                <w:sz w:val="18"/>
                <w:szCs w:val="18"/>
              </w:rPr>
            </w:pPr>
            <w:proofErr w:type="spellStart"/>
            <w:r w:rsidRPr="005B5EC1">
              <w:rPr>
                <w:rFonts w:ascii="Times New Roman" w:eastAsia="宋体" w:hAnsi="Times New Roman" w:cs="Times New Roman"/>
                <w:sz w:val="18"/>
                <w:szCs w:val="18"/>
              </w:rPr>
              <w:t>CODcr</w:t>
            </w:r>
            <w:proofErr w:type="spellEnd"/>
          </w:p>
          <w:p w14:paraId="147D537A"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NH3-N</w:t>
            </w:r>
          </w:p>
        </w:tc>
        <w:tc>
          <w:tcPr>
            <w:tcW w:w="877" w:type="dxa"/>
            <w:tcBorders>
              <w:top w:val="single" w:sz="2" w:space="0" w:color="auto"/>
              <w:left w:val="single" w:sz="2" w:space="0" w:color="auto"/>
              <w:bottom w:val="single" w:sz="2" w:space="0" w:color="auto"/>
              <w:right w:val="single" w:sz="2" w:space="0" w:color="auto"/>
            </w:tcBorders>
            <w:vAlign w:val="center"/>
          </w:tcPr>
          <w:p w14:paraId="26F83827"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化学需氧量、氨氮</w:t>
            </w:r>
          </w:p>
        </w:tc>
        <w:tc>
          <w:tcPr>
            <w:tcW w:w="876" w:type="dxa"/>
            <w:tcBorders>
              <w:top w:val="single" w:sz="2" w:space="0" w:color="auto"/>
              <w:left w:val="single" w:sz="2" w:space="0" w:color="auto"/>
              <w:bottom w:val="single" w:sz="2" w:space="0" w:color="auto"/>
              <w:right w:val="single" w:sz="2" w:space="0" w:color="auto"/>
            </w:tcBorders>
            <w:vAlign w:val="center"/>
          </w:tcPr>
          <w:p w14:paraId="1B8EF8ED"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间接排放</w:t>
            </w:r>
          </w:p>
        </w:tc>
        <w:tc>
          <w:tcPr>
            <w:tcW w:w="641" w:type="dxa"/>
            <w:tcBorders>
              <w:top w:val="single" w:sz="2" w:space="0" w:color="auto"/>
              <w:left w:val="single" w:sz="2" w:space="0" w:color="auto"/>
              <w:bottom w:val="single" w:sz="2" w:space="0" w:color="auto"/>
              <w:right w:val="single" w:sz="2" w:space="0" w:color="auto"/>
            </w:tcBorders>
            <w:vAlign w:val="center"/>
          </w:tcPr>
          <w:p w14:paraId="56F05DE2"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850" w:type="dxa"/>
            <w:tcBorders>
              <w:top w:val="single" w:sz="2" w:space="0" w:color="auto"/>
              <w:left w:val="single" w:sz="2" w:space="0" w:color="auto"/>
              <w:bottom w:val="single" w:sz="2" w:space="0" w:color="auto"/>
              <w:right w:val="single" w:sz="2" w:space="0" w:color="auto"/>
            </w:tcBorders>
            <w:vAlign w:val="center"/>
          </w:tcPr>
          <w:p w14:paraId="5E4E935F"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总排口位于厂区东北角</w:t>
            </w:r>
          </w:p>
        </w:tc>
        <w:tc>
          <w:tcPr>
            <w:tcW w:w="1137" w:type="dxa"/>
            <w:tcBorders>
              <w:top w:val="single" w:sz="2" w:space="0" w:color="auto"/>
              <w:left w:val="single" w:sz="2" w:space="0" w:color="auto"/>
              <w:bottom w:val="single" w:sz="2" w:space="0" w:color="auto"/>
              <w:right w:val="single" w:sz="2" w:space="0" w:color="auto"/>
            </w:tcBorders>
            <w:vAlign w:val="center"/>
          </w:tcPr>
          <w:p w14:paraId="07788F6A"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72.9197mg/L</w:t>
            </w:r>
            <w:r w:rsidRPr="005B5EC1">
              <w:rPr>
                <w:rFonts w:ascii="Times New Roman" w:eastAsia="宋体" w:hAnsi="Times New Roman" w:cs="Times New Roman"/>
                <w:sz w:val="18"/>
                <w:szCs w:val="18"/>
              </w:rPr>
              <w:t>、氨氮：</w:t>
            </w:r>
            <w:r w:rsidRPr="005B5EC1">
              <w:rPr>
                <w:rFonts w:ascii="Times New Roman" w:eastAsia="宋体" w:hAnsi="Times New Roman" w:cs="Times New Roman"/>
                <w:sz w:val="18"/>
                <w:szCs w:val="18"/>
              </w:rPr>
              <w:t>0.14mg/L</w:t>
            </w:r>
          </w:p>
        </w:tc>
        <w:tc>
          <w:tcPr>
            <w:tcW w:w="1131" w:type="dxa"/>
            <w:tcBorders>
              <w:top w:val="single" w:sz="2" w:space="0" w:color="auto"/>
              <w:left w:val="single" w:sz="2" w:space="0" w:color="auto"/>
              <w:bottom w:val="single" w:sz="2" w:space="0" w:color="auto"/>
              <w:right w:val="single" w:sz="2" w:space="0" w:color="auto"/>
            </w:tcBorders>
            <w:vAlign w:val="center"/>
          </w:tcPr>
          <w:p w14:paraId="37227833"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肉类加工工业水污染物排放标准</w:t>
            </w:r>
            <w:r w:rsidRPr="005B5EC1">
              <w:rPr>
                <w:rFonts w:ascii="Times New Roman" w:eastAsia="宋体" w:hAnsi="Times New Roman" w:cs="Times New Roman"/>
                <w:sz w:val="18"/>
                <w:szCs w:val="18"/>
              </w:rPr>
              <w:t>GB 13457-92</w:t>
            </w:r>
          </w:p>
        </w:tc>
        <w:tc>
          <w:tcPr>
            <w:tcW w:w="851" w:type="dxa"/>
            <w:tcBorders>
              <w:top w:val="single" w:sz="2" w:space="0" w:color="auto"/>
              <w:left w:val="single" w:sz="2" w:space="0" w:color="auto"/>
              <w:bottom w:val="single" w:sz="2" w:space="0" w:color="auto"/>
              <w:right w:val="single" w:sz="2" w:space="0" w:color="auto"/>
            </w:tcBorders>
            <w:vAlign w:val="center"/>
          </w:tcPr>
          <w:p w14:paraId="406A1A30"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6.38626</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NH3-N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0.012384</w:t>
            </w:r>
            <w:r w:rsidRPr="005B5EC1">
              <w:rPr>
                <w:rFonts w:ascii="Times New Roman" w:eastAsia="宋体" w:hAnsi="Times New Roman" w:cs="Times New Roman"/>
                <w:sz w:val="18"/>
                <w:szCs w:val="18"/>
              </w:rPr>
              <w:t>吨</w:t>
            </w:r>
          </w:p>
        </w:tc>
        <w:tc>
          <w:tcPr>
            <w:tcW w:w="992" w:type="dxa"/>
            <w:tcBorders>
              <w:top w:val="single" w:sz="2" w:space="0" w:color="auto"/>
              <w:left w:val="single" w:sz="2" w:space="0" w:color="auto"/>
              <w:bottom w:val="single" w:sz="2" w:space="0" w:color="auto"/>
              <w:right w:val="single" w:sz="2" w:space="0" w:color="auto"/>
            </w:tcBorders>
            <w:vAlign w:val="center"/>
          </w:tcPr>
          <w:p w14:paraId="417B7F3A"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227.5</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NH3-N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22.75</w:t>
            </w:r>
            <w:r w:rsidRPr="005B5EC1">
              <w:rPr>
                <w:rFonts w:ascii="Times New Roman" w:eastAsia="宋体" w:hAnsi="Times New Roman" w:cs="Times New Roman"/>
                <w:sz w:val="18"/>
                <w:szCs w:val="18"/>
              </w:rPr>
              <w:t>吨</w:t>
            </w:r>
          </w:p>
        </w:tc>
        <w:tc>
          <w:tcPr>
            <w:tcW w:w="530" w:type="dxa"/>
            <w:tcBorders>
              <w:top w:val="single" w:sz="2" w:space="0" w:color="auto"/>
              <w:left w:val="single" w:sz="2" w:space="0" w:color="auto"/>
              <w:bottom w:val="single" w:sz="2" w:space="0" w:color="auto"/>
              <w:right w:val="single" w:sz="2" w:space="0" w:color="auto"/>
            </w:tcBorders>
            <w:vAlign w:val="center"/>
          </w:tcPr>
          <w:p w14:paraId="39CC9B1A"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4A92A919" w14:textId="77777777" w:rsidTr="00897D40">
        <w:trPr>
          <w:trHeight w:val="240"/>
        </w:trPr>
        <w:tc>
          <w:tcPr>
            <w:tcW w:w="877" w:type="dxa"/>
            <w:tcBorders>
              <w:top w:val="single" w:sz="2" w:space="0" w:color="auto"/>
              <w:left w:val="single" w:sz="2" w:space="0" w:color="auto"/>
              <w:bottom w:val="single" w:sz="2" w:space="0" w:color="auto"/>
              <w:right w:val="single" w:sz="2" w:space="0" w:color="auto"/>
            </w:tcBorders>
            <w:vAlign w:val="center"/>
          </w:tcPr>
          <w:p w14:paraId="02BB4B43"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巴中龙大肉食品有限公司</w:t>
            </w:r>
          </w:p>
        </w:tc>
        <w:tc>
          <w:tcPr>
            <w:tcW w:w="877" w:type="dxa"/>
            <w:tcBorders>
              <w:top w:val="single" w:sz="2" w:space="0" w:color="auto"/>
              <w:left w:val="single" w:sz="2" w:space="0" w:color="auto"/>
              <w:bottom w:val="single" w:sz="2" w:space="0" w:color="auto"/>
              <w:right w:val="single" w:sz="2" w:space="0" w:color="auto"/>
            </w:tcBorders>
            <w:vAlign w:val="center"/>
          </w:tcPr>
          <w:p w14:paraId="66430668" w14:textId="77777777" w:rsidR="00E32FE0" w:rsidRPr="005B5EC1" w:rsidRDefault="00000000" w:rsidP="00897D40">
            <w:pPr>
              <w:spacing w:after="0" w:line="240" w:lineRule="exact"/>
              <w:jc w:val="center"/>
              <w:rPr>
                <w:rFonts w:ascii="Times New Roman" w:eastAsia="宋体" w:hAnsi="Times New Roman" w:cs="Times New Roman"/>
                <w:sz w:val="18"/>
                <w:szCs w:val="18"/>
              </w:rPr>
            </w:pPr>
            <w:proofErr w:type="spellStart"/>
            <w:r w:rsidRPr="005B5EC1">
              <w:rPr>
                <w:rFonts w:ascii="Times New Roman" w:eastAsia="宋体" w:hAnsi="Times New Roman" w:cs="Times New Roman"/>
                <w:sz w:val="18"/>
                <w:szCs w:val="18"/>
              </w:rPr>
              <w:t>CODcr</w:t>
            </w:r>
            <w:proofErr w:type="spellEnd"/>
          </w:p>
          <w:p w14:paraId="34599F0C"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NH3-N</w:t>
            </w:r>
          </w:p>
          <w:p w14:paraId="6D3762FA"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TN</w:t>
            </w:r>
            <w:r w:rsidRPr="005B5EC1">
              <w:rPr>
                <w:rFonts w:ascii="Times New Roman" w:eastAsia="宋体" w:hAnsi="Times New Roman" w:cs="Times New Roman"/>
                <w:sz w:val="18"/>
                <w:szCs w:val="18"/>
              </w:rPr>
              <w:t>、</w:t>
            </w:r>
          </w:p>
          <w:p w14:paraId="00DD05F0"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TP</w:t>
            </w:r>
          </w:p>
        </w:tc>
        <w:tc>
          <w:tcPr>
            <w:tcW w:w="877" w:type="dxa"/>
            <w:tcBorders>
              <w:top w:val="single" w:sz="2" w:space="0" w:color="auto"/>
              <w:left w:val="single" w:sz="2" w:space="0" w:color="auto"/>
              <w:bottom w:val="single" w:sz="2" w:space="0" w:color="auto"/>
              <w:right w:val="single" w:sz="2" w:space="0" w:color="auto"/>
            </w:tcBorders>
            <w:vAlign w:val="center"/>
          </w:tcPr>
          <w:p w14:paraId="3A397811"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化学需氧量、氨氮、总氮、总磷</w:t>
            </w:r>
          </w:p>
        </w:tc>
        <w:tc>
          <w:tcPr>
            <w:tcW w:w="876" w:type="dxa"/>
            <w:tcBorders>
              <w:top w:val="single" w:sz="2" w:space="0" w:color="auto"/>
              <w:left w:val="single" w:sz="2" w:space="0" w:color="auto"/>
              <w:bottom w:val="single" w:sz="2" w:space="0" w:color="auto"/>
              <w:right w:val="single" w:sz="2" w:space="0" w:color="auto"/>
            </w:tcBorders>
            <w:vAlign w:val="center"/>
          </w:tcPr>
          <w:p w14:paraId="49C000A3"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间接排放</w:t>
            </w:r>
          </w:p>
        </w:tc>
        <w:tc>
          <w:tcPr>
            <w:tcW w:w="641" w:type="dxa"/>
            <w:tcBorders>
              <w:top w:val="single" w:sz="2" w:space="0" w:color="auto"/>
              <w:left w:val="single" w:sz="2" w:space="0" w:color="auto"/>
              <w:bottom w:val="single" w:sz="2" w:space="0" w:color="auto"/>
              <w:right w:val="single" w:sz="2" w:space="0" w:color="auto"/>
            </w:tcBorders>
            <w:vAlign w:val="center"/>
          </w:tcPr>
          <w:p w14:paraId="65E55810"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850" w:type="dxa"/>
            <w:tcBorders>
              <w:top w:val="single" w:sz="2" w:space="0" w:color="auto"/>
              <w:left w:val="single" w:sz="2" w:space="0" w:color="auto"/>
              <w:bottom w:val="single" w:sz="2" w:space="0" w:color="auto"/>
              <w:right w:val="single" w:sz="2" w:space="0" w:color="auto"/>
            </w:tcBorders>
            <w:vAlign w:val="center"/>
          </w:tcPr>
          <w:p w14:paraId="2A703867"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总排口位于厂区东南角</w:t>
            </w:r>
          </w:p>
        </w:tc>
        <w:tc>
          <w:tcPr>
            <w:tcW w:w="1137" w:type="dxa"/>
            <w:tcBorders>
              <w:top w:val="single" w:sz="2" w:space="0" w:color="auto"/>
              <w:left w:val="single" w:sz="2" w:space="0" w:color="auto"/>
              <w:bottom w:val="single" w:sz="2" w:space="0" w:color="auto"/>
              <w:right w:val="single" w:sz="2" w:space="0" w:color="auto"/>
            </w:tcBorders>
            <w:vAlign w:val="center"/>
          </w:tcPr>
          <w:p w14:paraId="2E30920C"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19.082mg/L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NH3-N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3.474mg/L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TN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24.659mg/L</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TP:2.798mg/L</w:t>
            </w:r>
          </w:p>
        </w:tc>
        <w:tc>
          <w:tcPr>
            <w:tcW w:w="1131" w:type="dxa"/>
            <w:tcBorders>
              <w:top w:val="single" w:sz="2" w:space="0" w:color="auto"/>
              <w:left w:val="single" w:sz="2" w:space="0" w:color="auto"/>
              <w:bottom w:val="single" w:sz="2" w:space="0" w:color="auto"/>
              <w:right w:val="single" w:sz="2" w:space="0" w:color="auto"/>
            </w:tcBorders>
            <w:vAlign w:val="center"/>
          </w:tcPr>
          <w:p w14:paraId="185FACE8"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肉类加工工业水污染物排放标准（</w:t>
            </w:r>
            <w:r w:rsidRPr="005B5EC1">
              <w:rPr>
                <w:rFonts w:ascii="Times New Roman" w:eastAsia="宋体" w:hAnsi="Times New Roman" w:cs="Times New Roman"/>
                <w:sz w:val="18"/>
                <w:szCs w:val="18"/>
              </w:rPr>
              <w:t>GB 13457-92</w:t>
            </w:r>
            <w:r w:rsidRPr="005B5EC1">
              <w:rPr>
                <w:rFonts w:ascii="Times New Roman" w:eastAsia="宋体" w:hAnsi="Times New Roman" w:cs="Times New Roman"/>
                <w:sz w:val="18"/>
                <w:szCs w:val="18"/>
              </w:rPr>
              <w:t>）表</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中畜类屠宰三级标准限值</w:t>
            </w:r>
          </w:p>
        </w:tc>
        <w:tc>
          <w:tcPr>
            <w:tcW w:w="851" w:type="dxa"/>
            <w:tcBorders>
              <w:top w:val="single" w:sz="2" w:space="0" w:color="auto"/>
              <w:left w:val="single" w:sz="2" w:space="0" w:color="auto"/>
              <w:bottom w:val="single" w:sz="2" w:space="0" w:color="auto"/>
              <w:right w:val="single" w:sz="2" w:space="0" w:color="auto"/>
            </w:tcBorders>
            <w:vAlign w:val="center"/>
          </w:tcPr>
          <w:p w14:paraId="2978EBE4"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6.194</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 xml:space="preserve">NH3-N </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2.743</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TN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9.039</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TP</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1.040</w:t>
            </w:r>
            <w:r w:rsidRPr="005B5EC1">
              <w:rPr>
                <w:rFonts w:ascii="Times New Roman" w:eastAsia="宋体" w:hAnsi="Times New Roman" w:cs="Times New Roman"/>
                <w:sz w:val="18"/>
                <w:szCs w:val="18"/>
              </w:rPr>
              <w:t>吨</w:t>
            </w:r>
          </w:p>
        </w:tc>
        <w:tc>
          <w:tcPr>
            <w:tcW w:w="992" w:type="dxa"/>
            <w:tcBorders>
              <w:top w:val="single" w:sz="2" w:space="0" w:color="auto"/>
              <w:left w:val="single" w:sz="2" w:space="0" w:color="auto"/>
              <w:bottom w:val="single" w:sz="2" w:space="0" w:color="auto"/>
              <w:right w:val="single" w:sz="2" w:space="0" w:color="auto"/>
            </w:tcBorders>
            <w:vAlign w:val="center"/>
          </w:tcPr>
          <w:p w14:paraId="1EFE58BB" w14:textId="77777777" w:rsidR="00E32FE0" w:rsidRPr="005B5EC1" w:rsidRDefault="00000000" w:rsidP="00897D4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COD</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129.29</w:t>
            </w:r>
            <w:r w:rsidRPr="005B5EC1">
              <w:rPr>
                <w:rFonts w:ascii="Times New Roman" w:eastAsia="宋体" w:hAnsi="Times New Roman" w:cs="Times New Roman"/>
                <w:sz w:val="18"/>
                <w:szCs w:val="18"/>
              </w:rPr>
              <w:t>吨、</w:t>
            </w:r>
            <w:r w:rsidRPr="005B5EC1">
              <w:rPr>
                <w:rFonts w:ascii="Times New Roman" w:eastAsia="宋体" w:hAnsi="Times New Roman" w:cs="Times New Roman"/>
                <w:sz w:val="18"/>
                <w:szCs w:val="18"/>
              </w:rPr>
              <w:t>NH3-N</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11.31</w:t>
            </w:r>
            <w:r w:rsidRPr="005B5EC1">
              <w:rPr>
                <w:rFonts w:ascii="Times New Roman" w:eastAsia="宋体" w:hAnsi="Times New Roman" w:cs="Times New Roman"/>
                <w:sz w:val="18"/>
                <w:szCs w:val="18"/>
              </w:rPr>
              <w:t>吨</w:t>
            </w:r>
          </w:p>
        </w:tc>
        <w:tc>
          <w:tcPr>
            <w:tcW w:w="530" w:type="dxa"/>
            <w:tcBorders>
              <w:top w:val="single" w:sz="2" w:space="0" w:color="auto"/>
              <w:left w:val="single" w:sz="2" w:space="0" w:color="auto"/>
              <w:bottom w:val="single" w:sz="2" w:space="0" w:color="auto"/>
              <w:right w:val="single" w:sz="2" w:space="0" w:color="auto"/>
            </w:tcBorders>
            <w:vAlign w:val="center"/>
          </w:tcPr>
          <w:p w14:paraId="1E9EBBAD" w14:textId="77777777" w:rsidR="00E32FE0" w:rsidRPr="005B5EC1" w:rsidRDefault="00000000" w:rsidP="00897D4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bl>
    <w:p w14:paraId="776E085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对污染物的处理</w:t>
      </w:r>
    </w:p>
    <w:p w14:paraId="5342A66E" w14:textId="77777777" w:rsidR="00AF139E" w:rsidRPr="005B5EC1" w:rsidRDefault="00000000" w:rsidP="00897D40">
      <w:pPr>
        <w:pStyle w:val="a3"/>
        <w:spacing w:before="0" w:beforeAutospacing="0" w:after="0" w:afterAutospacing="0" w:line="276" w:lineRule="auto"/>
        <w:ind w:firstLineChars="200" w:firstLine="360"/>
        <w:jc w:val="both"/>
        <w:divId w:val="1567716211"/>
        <w:rPr>
          <w:rFonts w:ascii="Times New Roman" w:hAnsi="Times New Roman" w:cs="Times New Roman"/>
        </w:rPr>
      </w:pPr>
      <w:r w:rsidRPr="005B5EC1">
        <w:rPr>
          <w:rFonts w:ascii="Times New Roman" w:hAnsi="Times New Roman" w:cs="Times New Roman"/>
          <w:sz w:val="18"/>
          <w:szCs w:val="18"/>
        </w:rPr>
        <w:lastRenderedPageBreak/>
        <w:t>山东龙大美食股份有限公司主要污染物为废水，对于废水处理，按照</w:t>
      </w:r>
      <w:r w:rsidRPr="005B5EC1">
        <w:rPr>
          <w:rFonts w:ascii="Times New Roman" w:hAnsi="Times New Roman" w:cs="Times New Roman"/>
          <w:sz w:val="18"/>
          <w:szCs w:val="18"/>
        </w:rPr>
        <w:t>“</w:t>
      </w:r>
      <w:r w:rsidRPr="005B5EC1">
        <w:rPr>
          <w:rFonts w:ascii="Times New Roman" w:hAnsi="Times New Roman" w:cs="Times New Roman"/>
          <w:sz w:val="18"/>
          <w:szCs w:val="18"/>
        </w:rPr>
        <w:t>雨污分流</w:t>
      </w:r>
      <w:r w:rsidRPr="005B5EC1">
        <w:rPr>
          <w:rFonts w:ascii="Times New Roman" w:hAnsi="Times New Roman" w:cs="Times New Roman"/>
          <w:sz w:val="18"/>
          <w:szCs w:val="18"/>
        </w:rPr>
        <w:t>”</w:t>
      </w:r>
      <w:r w:rsidRPr="005B5EC1">
        <w:rPr>
          <w:rFonts w:ascii="Times New Roman" w:hAnsi="Times New Roman" w:cs="Times New Roman"/>
          <w:sz w:val="18"/>
          <w:szCs w:val="18"/>
        </w:rPr>
        <w:t>原则，污水进入污水站经预处理系统、气浮、</w:t>
      </w:r>
      <w:r w:rsidRPr="005B5EC1">
        <w:rPr>
          <w:rFonts w:ascii="Times New Roman" w:hAnsi="Times New Roman" w:cs="Times New Roman"/>
          <w:sz w:val="18"/>
          <w:szCs w:val="18"/>
        </w:rPr>
        <w:t>A/O</w:t>
      </w:r>
      <w:r w:rsidRPr="005B5EC1">
        <w:rPr>
          <w:rFonts w:ascii="Times New Roman" w:hAnsi="Times New Roman" w:cs="Times New Roman"/>
          <w:sz w:val="18"/>
          <w:szCs w:val="18"/>
        </w:rPr>
        <w:t>工艺处理后，经排口排入莱阳市食品工业园污水处理厂。山东龙大美食股份有限公司废水排放口安装在线监测设施，</w:t>
      </w:r>
      <w:r w:rsidRPr="005B5EC1">
        <w:rPr>
          <w:rFonts w:ascii="Times New Roman" w:hAnsi="Times New Roman" w:cs="Times New Roman"/>
          <w:sz w:val="18"/>
          <w:szCs w:val="18"/>
        </w:rPr>
        <w:t>2024</w:t>
      </w:r>
      <w:r w:rsidRPr="005B5EC1">
        <w:rPr>
          <w:rFonts w:ascii="Times New Roman" w:hAnsi="Times New Roman" w:cs="Times New Roman"/>
          <w:sz w:val="18"/>
          <w:szCs w:val="18"/>
        </w:rPr>
        <w:t>年山东龙大美食股份有限公司环保设施运行稳定。</w:t>
      </w:r>
    </w:p>
    <w:p w14:paraId="3EF7A60C" w14:textId="77777777" w:rsidR="00AF139E" w:rsidRPr="005B5EC1" w:rsidRDefault="00000000" w:rsidP="00897D40">
      <w:pPr>
        <w:pStyle w:val="a3"/>
        <w:spacing w:before="0" w:beforeAutospacing="0" w:after="0" w:afterAutospacing="0" w:line="276" w:lineRule="auto"/>
        <w:ind w:firstLineChars="200" w:firstLine="360"/>
        <w:jc w:val="both"/>
        <w:divId w:val="1567716211"/>
        <w:rPr>
          <w:rFonts w:ascii="Times New Roman" w:hAnsi="Times New Roman" w:cs="Times New Roman"/>
        </w:rPr>
      </w:pPr>
      <w:r w:rsidRPr="005B5EC1">
        <w:rPr>
          <w:rFonts w:ascii="Times New Roman" w:hAnsi="Times New Roman" w:cs="Times New Roman"/>
          <w:sz w:val="18"/>
          <w:szCs w:val="18"/>
        </w:rPr>
        <w:t>潍坊振祥食品有限公司主要污染物为废水，废水经预处理系统、气浮、</w:t>
      </w:r>
      <w:r w:rsidRPr="005B5EC1">
        <w:rPr>
          <w:rFonts w:ascii="Times New Roman" w:hAnsi="Times New Roman" w:cs="Times New Roman"/>
          <w:sz w:val="18"/>
          <w:szCs w:val="18"/>
        </w:rPr>
        <w:t>SBR</w:t>
      </w:r>
      <w:r w:rsidRPr="005B5EC1">
        <w:rPr>
          <w:rFonts w:ascii="Times New Roman" w:hAnsi="Times New Roman" w:cs="Times New Roman"/>
          <w:sz w:val="18"/>
          <w:szCs w:val="18"/>
        </w:rPr>
        <w:t>工艺处理后经污水管网进入安丘市景芝镇污水处理厂（潍坊安凯节能环保科技有限公司）。潍坊振祥食品有限公司废水排放口安装在线监测设施，</w:t>
      </w:r>
      <w:r w:rsidRPr="005B5EC1">
        <w:rPr>
          <w:rFonts w:ascii="Times New Roman" w:hAnsi="Times New Roman" w:cs="Times New Roman"/>
          <w:sz w:val="18"/>
          <w:szCs w:val="18"/>
        </w:rPr>
        <w:t>2024</w:t>
      </w:r>
      <w:r w:rsidRPr="005B5EC1">
        <w:rPr>
          <w:rFonts w:ascii="Times New Roman" w:hAnsi="Times New Roman" w:cs="Times New Roman"/>
          <w:sz w:val="18"/>
          <w:szCs w:val="18"/>
        </w:rPr>
        <w:t>年环保设施运行稳定。</w:t>
      </w:r>
    </w:p>
    <w:p w14:paraId="3DA9FD44" w14:textId="77777777" w:rsidR="00AF139E" w:rsidRPr="005B5EC1" w:rsidRDefault="00000000" w:rsidP="00897D40">
      <w:pPr>
        <w:pStyle w:val="a3"/>
        <w:spacing w:before="0" w:beforeAutospacing="0" w:after="0" w:afterAutospacing="0" w:line="276" w:lineRule="auto"/>
        <w:ind w:firstLineChars="200" w:firstLine="360"/>
        <w:jc w:val="both"/>
        <w:divId w:val="1567716211"/>
        <w:rPr>
          <w:rFonts w:ascii="Times New Roman" w:hAnsi="Times New Roman" w:cs="Times New Roman"/>
        </w:rPr>
      </w:pPr>
      <w:r w:rsidRPr="005B5EC1">
        <w:rPr>
          <w:rFonts w:ascii="Times New Roman" w:hAnsi="Times New Roman" w:cs="Times New Roman"/>
          <w:sz w:val="18"/>
          <w:szCs w:val="18"/>
        </w:rPr>
        <w:t>河南龙大牧原肉食品有限公司主要污染物为废水，生产生活废水经厂内污水处理站采用</w:t>
      </w:r>
      <w:r w:rsidRPr="005B5EC1">
        <w:rPr>
          <w:rFonts w:ascii="Times New Roman" w:hAnsi="Times New Roman" w:cs="Times New Roman"/>
          <w:sz w:val="18"/>
          <w:szCs w:val="18"/>
        </w:rPr>
        <w:t>“</w:t>
      </w:r>
      <w:r w:rsidRPr="005B5EC1">
        <w:rPr>
          <w:rFonts w:ascii="Times New Roman" w:hAnsi="Times New Roman" w:cs="Times New Roman"/>
          <w:sz w:val="18"/>
          <w:szCs w:val="18"/>
        </w:rPr>
        <w:t>预处理</w:t>
      </w:r>
      <w:r w:rsidRPr="005B5EC1">
        <w:rPr>
          <w:rFonts w:ascii="Times New Roman" w:hAnsi="Times New Roman" w:cs="Times New Roman"/>
          <w:sz w:val="18"/>
          <w:szCs w:val="18"/>
        </w:rPr>
        <w:t>+</w:t>
      </w:r>
      <w:r w:rsidRPr="005B5EC1">
        <w:rPr>
          <w:rFonts w:ascii="Times New Roman" w:hAnsi="Times New Roman" w:cs="Times New Roman"/>
          <w:sz w:val="18"/>
          <w:szCs w:val="18"/>
        </w:rPr>
        <w:t>水解酸化</w:t>
      </w:r>
      <w:r w:rsidRPr="005B5EC1">
        <w:rPr>
          <w:rFonts w:ascii="Times New Roman" w:hAnsi="Times New Roman" w:cs="Times New Roman"/>
          <w:sz w:val="18"/>
          <w:szCs w:val="18"/>
        </w:rPr>
        <w:t>+</w:t>
      </w:r>
      <w:r w:rsidRPr="005B5EC1">
        <w:rPr>
          <w:rFonts w:ascii="Times New Roman" w:hAnsi="Times New Roman" w:cs="Times New Roman"/>
          <w:sz w:val="18"/>
          <w:szCs w:val="18"/>
        </w:rPr>
        <w:t>气浮</w:t>
      </w:r>
      <w:r w:rsidRPr="005B5EC1">
        <w:rPr>
          <w:rFonts w:ascii="Times New Roman" w:hAnsi="Times New Roman" w:cs="Times New Roman"/>
          <w:sz w:val="18"/>
          <w:szCs w:val="18"/>
        </w:rPr>
        <w:t>+SBR+</w:t>
      </w:r>
      <w:r w:rsidRPr="005B5EC1">
        <w:rPr>
          <w:rFonts w:ascii="Times New Roman" w:hAnsi="Times New Roman" w:cs="Times New Roman"/>
          <w:sz w:val="18"/>
          <w:szCs w:val="18"/>
        </w:rPr>
        <w:t>深度处理</w:t>
      </w:r>
      <w:r w:rsidRPr="005B5EC1">
        <w:rPr>
          <w:rFonts w:ascii="Times New Roman" w:hAnsi="Times New Roman" w:cs="Times New Roman"/>
          <w:sz w:val="18"/>
          <w:szCs w:val="18"/>
        </w:rPr>
        <w:t>”</w:t>
      </w:r>
      <w:r w:rsidRPr="005B5EC1">
        <w:rPr>
          <w:rFonts w:ascii="Times New Roman" w:hAnsi="Times New Roman" w:cs="Times New Roman"/>
          <w:sz w:val="18"/>
          <w:szCs w:val="18"/>
        </w:rPr>
        <w:t>处理工艺处理后直接排放，河南龙大牧原肉食品有限公司废水排放口安装在线监测设施，</w:t>
      </w:r>
      <w:r w:rsidRPr="005B5EC1">
        <w:rPr>
          <w:rFonts w:ascii="Times New Roman" w:hAnsi="Times New Roman" w:cs="Times New Roman"/>
          <w:sz w:val="18"/>
          <w:szCs w:val="18"/>
        </w:rPr>
        <w:t>2024</w:t>
      </w:r>
      <w:r w:rsidRPr="005B5EC1">
        <w:rPr>
          <w:rFonts w:ascii="Times New Roman" w:hAnsi="Times New Roman" w:cs="Times New Roman"/>
          <w:sz w:val="18"/>
          <w:szCs w:val="18"/>
        </w:rPr>
        <w:t>年环保设施运行稳定。</w:t>
      </w:r>
    </w:p>
    <w:p w14:paraId="3D65EA8D" w14:textId="77777777" w:rsidR="00AF139E" w:rsidRPr="005B5EC1" w:rsidRDefault="00000000" w:rsidP="00897D40">
      <w:pPr>
        <w:pStyle w:val="a3"/>
        <w:spacing w:before="0" w:beforeAutospacing="0" w:after="0" w:afterAutospacing="0" w:line="276" w:lineRule="auto"/>
        <w:ind w:firstLineChars="200" w:firstLine="360"/>
        <w:jc w:val="both"/>
        <w:divId w:val="1567716211"/>
        <w:rPr>
          <w:rFonts w:ascii="Times New Roman" w:hAnsi="Times New Roman" w:cs="Times New Roman"/>
        </w:rPr>
      </w:pPr>
      <w:r w:rsidRPr="005B5EC1">
        <w:rPr>
          <w:rFonts w:ascii="Times New Roman" w:hAnsi="Times New Roman" w:cs="Times New Roman"/>
          <w:sz w:val="18"/>
          <w:szCs w:val="18"/>
        </w:rPr>
        <w:t>聊城龙大肉食品有限公司主要污染物为废水，对于废水处理，按照</w:t>
      </w:r>
      <w:r w:rsidRPr="005B5EC1">
        <w:rPr>
          <w:rFonts w:ascii="Times New Roman" w:hAnsi="Times New Roman" w:cs="Times New Roman"/>
          <w:sz w:val="18"/>
          <w:szCs w:val="18"/>
        </w:rPr>
        <w:t>“</w:t>
      </w:r>
      <w:r w:rsidRPr="005B5EC1">
        <w:rPr>
          <w:rFonts w:ascii="Times New Roman" w:hAnsi="Times New Roman" w:cs="Times New Roman"/>
          <w:sz w:val="18"/>
          <w:szCs w:val="18"/>
        </w:rPr>
        <w:t>雨污分流</w:t>
      </w:r>
      <w:r w:rsidRPr="005B5EC1">
        <w:rPr>
          <w:rFonts w:ascii="Times New Roman" w:hAnsi="Times New Roman" w:cs="Times New Roman"/>
          <w:sz w:val="18"/>
          <w:szCs w:val="18"/>
        </w:rPr>
        <w:t>”</w:t>
      </w:r>
      <w:r w:rsidRPr="005B5EC1">
        <w:rPr>
          <w:rFonts w:ascii="Times New Roman" w:hAnsi="Times New Roman" w:cs="Times New Roman"/>
          <w:sz w:val="18"/>
          <w:szCs w:val="18"/>
        </w:rPr>
        <w:t>原则，污水接入聊城龙大肉食品有限公司污水站经预处理系统、气浮、</w:t>
      </w:r>
      <w:r w:rsidRPr="005B5EC1">
        <w:rPr>
          <w:rFonts w:ascii="Times New Roman" w:hAnsi="Times New Roman" w:cs="Times New Roman"/>
          <w:sz w:val="18"/>
          <w:szCs w:val="18"/>
        </w:rPr>
        <w:t>SBR</w:t>
      </w:r>
      <w:r w:rsidRPr="005B5EC1">
        <w:rPr>
          <w:rFonts w:ascii="Times New Roman" w:hAnsi="Times New Roman" w:cs="Times New Roman"/>
          <w:sz w:val="18"/>
          <w:szCs w:val="18"/>
        </w:rPr>
        <w:t>工艺处理后，经排口接入市政管网，排入东昌府区嘉明康达污水处理有限公司。聊城龙大肉食品有限公司废水排放口安装在线监测设施。</w:t>
      </w:r>
      <w:r w:rsidRPr="005B5EC1">
        <w:rPr>
          <w:rFonts w:ascii="Times New Roman" w:hAnsi="Times New Roman" w:cs="Times New Roman"/>
          <w:sz w:val="18"/>
          <w:szCs w:val="18"/>
        </w:rPr>
        <w:t>2024</w:t>
      </w:r>
      <w:r w:rsidRPr="005B5EC1">
        <w:rPr>
          <w:rFonts w:ascii="Times New Roman" w:hAnsi="Times New Roman" w:cs="Times New Roman"/>
          <w:sz w:val="18"/>
          <w:szCs w:val="18"/>
        </w:rPr>
        <w:t>年聊城龙大肉食品有限公司环保设施运行稳定。</w:t>
      </w:r>
    </w:p>
    <w:p w14:paraId="09E3FCB1" w14:textId="77777777" w:rsidR="00AF139E" w:rsidRPr="005B5EC1" w:rsidRDefault="00000000" w:rsidP="00897D40">
      <w:pPr>
        <w:pStyle w:val="a3"/>
        <w:spacing w:before="0" w:beforeAutospacing="0" w:after="0" w:afterAutospacing="0" w:line="276" w:lineRule="auto"/>
        <w:ind w:firstLineChars="200" w:firstLine="360"/>
        <w:jc w:val="both"/>
        <w:divId w:val="1567716211"/>
        <w:rPr>
          <w:rFonts w:ascii="Times New Roman" w:hAnsi="Times New Roman" w:cs="Times New Roman"/>
        </w:rPr>
      </w:pPr>
      <w:r w:rsidRPr="005B5EC1">
        <w:rPr>
          <w:rFonts w:ascii="Times New Roman" w:hAnsi="Times New Roman" w:cs="Times New Roman"/>
          <w:sz w:val="18"/>
          <w:szCs w:val="18"/>
        </w:rPr>
        <w:t>蓬莱富龙肉食品有限公司主要污染物为废水，按照</w:t>
      </w:r>
      <w:r w:rsidRPr="005B5EC1">
        <w:rPr>
          <w:rFonts w:ascii="Times New Roman" w:hAnsi="Times New Roman" w:cs="Times New Roman"/>
          <w:sz w:val="18"/>
          <w:szCs w:val="18"/>
        </w:rPr>
        <w:t>“</w:t>
      </w:r>
      <w:r w:rsidRPr="005B5EC1">
        <w:rPr>
          <w:rFonts w:ascii="Times New Roman" w:hAnsi="Times New Roman" w:cs="Times New Roman"/>
          <w:sz w:val="18"/>
          <w:szCs w:val="18"/>
        </w:rPr>
        <w:t>雨污分流</w:t>
      </w:r>
      <w:r w:rsidRPr="005B5EC1">
        <w:rPr>
          <w:rFonts w:ascii="Times New Roman" w:hAnsi="Times New Roman" w:cs="Times New Roman"/>
          <w:sz w:val="18"/>
          <w:szCs w:val="18"/>
        </w:rPr>
        <w:t>”</w:t>
      </w:r>
      <w:r w:rsidRPr="005B5EC1">
        <w:rPr>
          <w:rFonts w:ascii="Times New Roman" w:hAnsi="Times New Roman" w:cs="Times New Roman"/>
          <w:sz w:val="18"/>
          <w:szCs w:val="18"/>
        </w:rPr>
        <w:t>原则，污水进入污水站经预处理系统、气浮</w:t>
      </w:r>
      <w:r w:rsidRPr="005B5EC1">
        <w:rPr>
          <w:rFonts w:ascii="Times New Roman" w:hAnsi="Times New Roman" w:cs="Times New Roman"/>
          <w:sz w:val="18"/>
          <w:szCs w:val="18"/>
        </w:rPr>
        <w:t>+A2O+</w:t>
      </w:r>
      <w:r w:rsidRPr="005B5EC1">
        <w:rPr>
          <w:rFonts w:ascii="Times New Roman" w:hAnsi="Times New Roman" w:cs="Times New Roman"/>
          <w:sz w:val="18"/>
          <w:szCs w:val="18"/>
        </w:rPr>
        <w:t>过滤工艺处理后，经排口排入蓬莱市小门家镇政府建设的人工湿地。蓬莱富龙肉食品有限公司废水排放口安装在线监测设施，</w:t>
      </w:r>
      <w:r w:rsidRPr="005B5EC1">
        <w:rPr>
          <w:rFonts w:ascii="Times New Roman" w:hAnsi="Times New Roman" w:cs="Times New Roman"/>
          <w:sz w:val="18"/>
          <w:szCs w:val="18"/>
        </w:rPr>
        <w:t>2024</w:t>
      </w:r>
      <w:r w:rsidRPr="005B5EC1">
        <w:rPr>
          <w:rFonts w:ascii="Times New Roman" w:hAnsi="Times New Roman" w:cs="Times New Roman"/>
          <w:sz w:val="18"/>
          <w:szCs w:val="18"/>
        </w:rPr>
        <w:t>年蓬莱富龙肉食品有限公司环保设施运行稳定。</w:t>
      </w:r>
    </w:p>
    <w:p w14:paraId="0A61C122" w14:textId="77777777" w:rsidR="00AF139E" w:rsidRPr="005B5EC1" w:rsidRDefault="00000000" w:rsidP="00897D40">
      <w:pPr>
        <w:pStyle w:val="a3"/>
        <w:spacing w:before="0" w:beforeAutospacing="0" w:after="0" w:afterAutospacing="0" w:line="276" w:lineRule="auto"/>
        <w:ind w:firstLineChars="200" w:firstLine="360"/>
        <w:jc w:val="both"/>
        <w:divId w:val="1567716211"/>
        <w:rPr>
          <w:rFonts w:ascii="Times New Roman" w:hAnsi="Times New Roman" w:cs="Times New Roman"/>
        </w:rPr>
      </w:pPr>
      <w:r w:rsidRPr="005B5EC1">
        <w:rPr>
          <w:rFonts w:ascii="Times New Roman" w:hAnsi="Times New Roman" w:cs="Times New Roman"/>
          <w:sz w:val="18"/>
          <w:szCs w:val="18"/>
        </w:rPr>
        <w:t>黑龙江龙大肉食品有限公司主要污染物为废水，废水经气浮</w:t>
      </w:r>
      <w:r w:rsidRPr="005B5EC1">
        <w:rPr>
          <w:rFonts w:ascii="Times New Roman" w:hAnsi="Times New Roman" w:cs="Times New Roman"/>
          <w:sz w:val="18"/>
          <w:szCs w:val="18"/>
        </w:rPr>
        <w:t>+AO</w:t>
      </w:r>
      <w:r w:rsidRPr="005B5EC1">
        <w:rPr>
          <w:rFonts w:ascii="Times New Roman" w:hAnsi="Times New Roman" w:cs="Times New Roman"/>
          <w:sz w:val="18"/>
          <w:szCs w:val="18"/>
        </w:rPr>
        <w:t>工艺处理后，排口接入市政管网，排入安达市污水处理厂。黑龙江龙大肉食品有限公司废水排放口安装在线监测设施，</w:t>
      </w:r>
      <w:r w:rsidRPr="005B5EC1">
        <w:rPr>
          <w:rFonts w:ascii="Times New Roman" w:hAnsi="Times New Roman" w:cs="Times New Roman"/>
          <w:sz w:val="18"/>
          <w:szCs w:val="18"/>
        </w:rPr>
        <w:t>2024</w:t>
      </w:r>
      <w:r w:rsidRPr="005B5EC1">
        <w:rPr>
          <w:rFonts w:ascii="Times New Roman" w:hAnsi="Times New Roman" w:cs="Times New Roman"/>
          <w:sz w:val="18"/>
          <w:szCs w:val="18"/>
        </w:rPr>
        <w:t>年黑龙江龙大肉食品有限公司环保设施运行稳定。</w:t>
      </w:r>
    </w:p>
    <w:p w14:paraId="633AFCFB" w14:textId="77777777" w:rsidR="00AF139E" w:rsidRPr="005B5EC1" w:rsidRDefault="00000000" w:rsidP="00897D40">
      <w:pPr>
        <w:pStyle w:val="a3"/>
        <w:spacing w:before="0" w:beforeAutospacing="0" w:after="0" w:afterAutospacing="0" w:line="276" w:lineRule="auto"/>
        <w:ind w:firstLineChars="200" w:firstLine="360"/>
        <w:jc w:val="both"/>
        <w:divId w:val="1567716211"/>
        <w:rPr>
          <w:rFonts w:ascii="Times New Roman" w:hAnsi="Times New Roman" w:cs="Times New Roman"/>
        </w:rPr>
      </w:pPr>
      <w:r w:rsidRPr="005B5EC1">
        <w:rPr>
          <w:rFonts w:ascii="Times New Roman" w:hAnsi="Times New Roman" w:cs="Times New Roman"/>
          <w:sz w:val="18"/>
          <w:szCs w:val="18"/>
        </w:rPr>
        <w:t>巴中龙大肉食品有限公司生活污水和生产废水经污水处理站（采用格栅</w:t>
      </w:r>
      <w:r w:rsidRPr="005B5EC1">
        <w:rPr>
          <w:rFonts w:ascii="Times New Roman" w:hAnsi="Times New Roman" w:cs="Times New Roman"/>
          <w:sz w:val="18"/>
          <w:szCs w:val="18"/>
        </w:rPr>
        <w:t>+</w:t>
      </w:r>
      <w:r w:rsidRPr="005B5EC1">
        <w:rPr>
          <w:rFonts w:ascii="Times New Roman" w:hAnsi="Times New Roman" w:cs="Times New Roman"/>
          <w:sz w:val="18"/>
          <w:szCs w:val="18"/>
        </w:rPr>
        <w:t>隔油调节池</w:t>
      </w:r>
      <w:r w:rsidRPr="005B5EC1">
        <w:rPr>
          <w:rFonts w:ascii="Times New Roman" w:hAnsi="Times New Roman" w:cs="Times New Roman"/>
          <w:sz w:val="18"/>
          <w:szCs w:val="18"/>
        </w:rPr>
        <w:t>+</w:t>
      </w:r>
      <w:r w:rsidRPr="005B5EC1">
        <w:rPr>
          <w:rFonts w:ascii="Times New Roman" w:hAnsi="Times New Roman" w:cs="Times New Roman"/>
          <w:sz w:val="18"/>
          <w:szCs w:val="18"/>
        </w:rPr>
        <w:t>气浮</w:t>
      </w:r>
      <w:r w:rsidRPr="005B5EC1">
        <w:rPr>
          <w:rFonts w:ascii="Times New Roman" w:hAnsi="Times New Roman" w:cs="Times New Roman"/>
          <w:sz w:val="18"/>
          <w:szCs w:val="18"/>
        </w:rPr>
        <w:t>+</w:t>
      </w:r>
      <w:r w:rsidRPr="005B5EC1">
        <w:rPr>
          <w:rFonts w:ascii="Times New Roman" w:hAnsi="Times New Roman" w:cs="Times New Roman"/>
          <w:sz w:val="18"/>
          <w:szCs w:val="18"/>
        </w:rPr>
        <w:t>水解酸化</w:t>
      </w:r>
      <w:r w:rsidRPr="005B5EC1">
        <w:rPr>
          <w:rFonts w:ascii="Times New Roman" w:hAnsi="Times New Roman" w:cs="Times New Roman"/>
          <w:sz w:val="18"/>
          <w:szCs w:val="18"/>
        </w:rPr>
        <w:t>+</w:t>
      </w:r>
      <w:r w:rsidRPr="005B5EC1">
        <w:rPr>
          <w:rFonts w:ascii="Times New Roman" w:hAnsi="Times New Roman" w:cs="Times New Roman"/>
          <w:sz w:val="18"/>
          <w:szCs w:val="18"/>
        </w:rPr>
        <w:t>两级</w:t>
      </w:r>
      <w:r w:rsidRPr="005B5EC1">
        <w:rPr>
          <w:rFonts w:ascii="Times New Roman" w:hAnsi="Times New Roman" w:cs="Times New Roman"/>
          <w:sz w:val="18"/>
          <w:szCs w:val="18"/>
        </w:rPr>
        <w:t>A/O+</w:t>
      </w:r>
      <w:r w:rsidRPr="005B5EC1">
        <w:rPr>
          <w:rFonts w:ascii="Times New Roman" w:hAnsi="Times New Roman" w:cs="Times New Roman"/>
          <w:sz w:val="18"/>
          <w:szCs w:val="18"/>
        </w:rPr>
        <w:t>沉淀</w:t>
      </w:r>
      <w:r w:rsidRPr="005B5EC1">
        <w:rPr>
          <w:rFonts w:ascii="Times New Roman" w:hAnsi="Times New Roman" w:cs="Times New Roman"/>
          <w:sz w:val="18"/>
          <w:szCs w:val="18"/>
        </w:rPr>
        <w:t>+</w:t>
      </w:r>
      <w:r w:rsidRPr="005B5EC1">
        <w:rPr>
          <w:rFonts w:ascii="Times New Roman" w:hAnsi="Times New Roman" w:cs="Times New Roman"/>
          <w:sz w:val="18"/>
          <w:szCs w:val="18"/>
        </w:rPr>
        <w:t>消毒工艺）达标处理后一起进入园区污水管网，污水处理站设计处理能力为</w:t>
      </w:r>
      <w:r w:rsidRPr="005B5EC1">
        <w:rPr>
          <w:rFonts w:ascii="Times New Roman" w:hAnsi="Times New Roman" w:cs="Times New Roman"/>
          <w:sz w:val="18"/>
          <w:szCs w:val="18"/>
        </w:rPr>
        <w:t>1500m3/d</w:t>
      </w:r>
      <w:r w:rsidRPr="005B5EC1">
        <w:rPr>
          <w:rFonts w:ascii="Times New Roman" w:hAnsi="Times New Roman" w:cs="Times New Roman"/>
          <w:sz w:val="18"/>
          <w:szCs w:val="18"/>
        </w:rPr>
        <w:t>。巴中龙大肉食品有限公司</w:t>
      </w:r>
      <w:r w:rsidRPr="005B5EC1">
        <w:rPr>
          <w:rFonts w:ascii="Times New Roman" w:hAnsi="Times New Roman" w:cs="Times New Roman"/>
          <w:sz w:val="18"/>
          <w:szCs w:val="18"/>
        </w:rPr>
        <w:t>2024</w:t>
      </w:r>
      <w:r w:rsidRPr="005B5EC1">
        <w:rPr>
          <w:rFonts w:ascii="Times New Roman" w:hAnsi="Times New Roman" w:cs="Times New Roman"/>
          <w:sz w:val="18"/>
          <w:szCs w:val="18"/>
        </w:rPr>
        <w:t>年废水排放口安装在线监测设施，</w:t>
      </w:r>
      <w:r w:rsidRPr="005B5EC1">
        <w:rPr>
          <w:rFonts w:ascii="Times New Roman" w:hAnsi="Times New Roman" w:cs="Times New Roman"/>
          <w:sz w:val="18"/>
          <w:szCs w:val="18"/>
        </w:rPr>
        <w:t>2024</w:t>
      </w:r>
      <w:r w:rsidRPr="005B5EC1">
        <w:rPr>
          <w:rFonts w:ascii="Times New Roman" w:hAnsi="Times New Roman" w:cs="Times New Roman"/>
          <w:sz w:val="18"/>
          <w:szCs w:val="18"/>
        </w:rPr>
        <w:t>年巴中龙大肉食品有限公司环保设施运行稳定。</w:t>
      </w:r>
    </w:p>
    <w:p w14:paraId="69081BE6" w14:textId="77777777" w:rsidR="00E32FE0" w:rsidRPr="005B5EC1" w:rsidRDefault="00000000" w:rsidP="00897D40">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突发环境事件应急预案</w:t>
      </w:r>
    </w:p>
    <w:p w14:paraId="772323EA" w14:textId="77777777" w:rsidR="00AF139E" w:rsidRPr="005B5EC1" w:rsidRDefault="00000000" w:rsidP="00897D40">
      <w:pPr>
        <w:pStyle w:val="a3"/>
        <w:spacing w:before="0" w:beforeAutospacing="0" w:after="0" w:afterAutospacing="0" w:line="276" w:lineRule="auto"/>
        <w:ind w:firstLineChars="200" w:firstLine="360"/>
        <w:jc w:val="both"/>
        <w:divId w:val="871184984"/>
        <w:rPr>
          <w:rFonts w:ascii="Times New Roman" w:eastAsia="等线" w:hAnsi="Times New Roman" w:cs="Times New Roman"/>
          <w:sz w:val="21"/>
          <w:szCs w:val="21"/>
        </w:rPr>
      </w:pPr>
      <w:r w:rsidRPr="005B5EC1">
        <w:rPr>
          <w:rFonts w:ascii="Times New Roman" w:hAnsi="Times New Roman" w:cs="Times New Roman"/>
          <w:sz w:val="18"/>
          <w:szCs w:val="18"/>
        </w:rPr>
        <w:t>山东龙大美食股份有限公司、潍坊振祥食品有限公司、聊城龙大肉食品有限公司、河南龙大牧原肉食品有限公司、蓬莱富龙肉食品有限公司、黑龙江龙大肉食品有限公司、江苏龙大沁侬食品有限公司灌云生猪屠宰项目、巴中龙大肉食品有限公司均编制了《突发环境事件应急预案》，对突发环境事件的应急措施进行了详细的表述，并定期组织开展预案的培训和演练，切实提高了企业应对突发环境污染事件的应急响应能力和处置能力，且均已备案。</w:t>
      </w:r>
    </w:p>
    <w:p w14:paraId="1A25AE4A" w14:textId="77777777" w:rsidR="00E32FE0" w:rsidRPr="005B5EC1" w:rsidRDefault="00000000" w:rsidP="00897D40">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环境自行监测方案</w:t>
      </w:r>
    </w:p>
    <w:p w14:paraId="329BFE1D" w14:textId="77777777" w:rsidR="00AF139E" w:rsidRPr="005B5EC1" w:rsidRDefault="00000000" w:rsidP="00897D40">
      <w:pPr>
        <w:pStyle w:val="a3"/>
        <w:spacing w:before="0" w:beforeAutospacing="0" w:after="0" w:afterAutospacing="0" w:line="276" w:lineRule="auto"/>
        <w:ind w:firstLineChars="200" w:firstLine="360"/>
        <w:divId w:val="1399089792"/>
        <w:rPr>
          <w:rFonts w:ascii="Times New Roman" w:eastAsia="等线" w:hAnsi="Times New Roman" w:cs="Times New Roman"/>
          <w:sz w:val="21"/>
          <w:szCs w:val="21"/>
        </w:rPr>
      </w:pPr>
      <w:r w:rsidRPr="005B5EC1">
        <w:rPr>
          <w:rFonts w:ascii="Times New Roman" w:hAnsi="Times New Roman" w:cs="Times New Roman"/>
          <w:sz w:val="18"/>
          <w:szCs w:val="18"/>
        </w:rPr>
        <w:t>山东龙大美食股份有限公司、潍坊振祥食品有限公司、聊城龙大肉食品有限公司、河南龙大牧原肉食品有限公司、蓬莱富龙肉食品有限公司、黑龙江龙大肉食品有限公司、江苏龙大沁侬食品有限公司灌云生猪屠宰项目、巴中龙大肉食品有限公司均严格遵守国家及地方法律、法规和相关规定，并由公司委托第三方定期对公司排放污染物进行监测，均设置有污水排口污染源在线监测监控系统。</w:t>
      </w:r>
    </w:p>
    <w:p w14:paraId="25705EFA" w14:textId="77777777" w:rsidR="00E32FE0" w:rsidRPr="005B5EC1" w:rsidRDefault="00000000" w:rsidP="00897D40">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环境治理和保护的投入及缴纳环境保护税的相关情况</w:t>
      </w:r>
    </w:p>
    <w:p w14:paraId="62F85863" w14:textId="77777777" w:rsidR="00AF139E" w:rsidRPr="005B5EC1" w:rsidRDefault="00000000" w:rsidP="00897D40">
      <w:pPr>
        <w:pStyle w:val="a3"/>
        <w:spacing w:before="0" w:beforeAutospacing="0" w:after="0" w:afterAutospacing="0" w:line="276" w:lineRule="auto"/>
        <w:ind w:firstLineChars="200" w:firstLine="360"/>
        <w:jc w:val="both"/>
        <w:divId w:val="1480687028"/>
        <w:rPr>
          <w:rFonts w:ascii="Times New Roman" w:hAnsi="Times New Roman" w:cs="Times New Roman"/>
        </w:rPr>
      </w:pPr>
      <w:r w:rsidRPr="005B5EC1">
        <w:rPr>
          <w:rFonts w:ascii="Times New Roman" w:hAnsi="Times New Roman" w:cs="Times New Roman"/>
          <w:sz w:val="18"/>
          <w:szCs w:val="18"/>
        </w:rPr>
        <w:t>山东龙大美食股份有限公司为了污水站连续稳定运行，于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7</w:t>
      </w:r>
      <w:r w:rsidRPr="005B5EC1">
        <w:rPr>
          <w:rFonts w:ascii="Times New Roman" w:hAnsi="Times New Roman" w:cs="Times New Roman"/>
          <w:sz w:val="18"/>
          <w:szCs w:val="18"/>
        </w:rPr>
        <w:t>月</w:t>
      </w:r>
      <w:r w:rsidRPr="005B5EC1">
        <w:rPr>
          <w:rFonts w:ascii="Times New Roman" w:hAnsi="Times New Roman" w:cs="Times New Roman"/>
          <w:sz w:val="18"/>
          <w:szCs w:val="18"/>
        </w:rPr>
        <w:t>29</w:t>
      </w:r>
      <w:r w:rsidRPr="005B5EC1">
        <w:rPr>
          <w:rFonts w:ascii="Times New Roman" w:hAnsi="Times New Roman" w:cs="Times New Roman"/>
          <w:sz w:val="18"/>
          <w:szCs w:val="18"/>
        </w:rPr>
        <w:t>日采购安装污水站备用磁悬浮鼓风机和溶气泵，合计费用</w:t>
      </w:r>
      <w:r w:rsidRPr="005B5EC1">
        <w:rPr>
          <w:rFonts w:ascii="Times New Roman" w:hAnsi="Times New Roman" w:cs="Times New Roman"/>
          <w:sz w:val="18"/>
          <w:szCs w:val="18"/>
        </w:rPr>
        <w:t>27.03</w:t>
      </w:r>
      <w:r w:rsidRPr="005B5EC1">
        <w:rPr>
          <w:rFonts w:ascii="Times New Roman" w:hAnsi="Times New Roman" w:cs="Times New Roman"/>
          <w:sz w:val="18"/>
          <w:szCs w:val="18"/>
        </w:rPr>
        <w:t>万元；于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2</w:t>
      </w:r>
      <w:r w:rsidRPr="005B5EC1">
        <w:rPr>
          <w:rFonts w:ascii="Times New Roman" w:hAnsi="Times New Roman" w:cs="Times New Roman"/>
          <w:sz w:val="18"/>
          <w:szCs w:val="18"/>
        </w:rPr>
        <w:t>月</w:t>
      </w:r>
      <w:r w:rsidRPr="005B5EC1">
        <w:rPr>
          <w:rFonts w:ascii="Times New Roman" w:hAnsi="Times New Roman" w:cs="Times New Roman"/>
          <w:sz w:val="18"/>
          <w:szCs w:val="18"/>
        </w:rPr>
        <w:t>15</w:t>
      </w:r>
      <w:r w:rsidRPr="005B5EC1">
        <w:rPr>
          <w:rFonts w:ascii="Times New Roman" w:hAnsi="Times New Roman" w:cs="Times New Roman"/>
          <w:sz w:val="18"/>
          <w:szCs w:val="18"/>
        </w:rPr>
        <w:t>日投资</w:t>
      </w:r>
      <w:r w:rsidRPr="005B5EC1">
        <w:rPr>
          <w:rFonts w:ascii="Times New Roman" w:hAnsi="Times New Roman" w:cs="Times New Roman"/>
          <w:sz w:val="18"/>
          <w:szCs w:val="18"/>
        </w:rPr>
        <w:t>2.78</w:t>
      </w:r>
      <w:r w:rsidRPr="005B5EC1">
        <w:rPr>
          <w:rFonts w:ascii="Times New Roman" w:hAnsi="Times New Roman" w:cs="Times New Roman"/>
          <w:sz w:val="18"/>
          <w:szCs w:val="18"/>
        </w:rPr>
        <w:t>万元，完成污水站在线监测站房采样器更新和新搬迁站房的验收。</w:t>
      </w:r>
    </w:p>
    <w:p w14:paraId="6C63B750" w14:textId="77777777" w:rsidR="00AF139E" w:rsidRPr="005B5EC1" w:rsidRDefault="00000000" w:rsidP="00897D40">
      <w:pPr>
        <w:pStyle w:val="a3"/>
        <w:spacing w:before="0" w:beforeAutospacing="0" w:after="0" w:afterAutospacing="0" w:line="276" w:lineRule="auto"/>
        <w:ind w:firstLineChars="200" w:firstLine="360"/>
        <w:jc w:val="both"/>
        <w:divId w:val="1480687028"/>
        <w:rPr>
          <w:rFonts w:ascii="Times New Roman" w:hAnsi="Times New Roman" w:cs="Times New Roman"/>
        </w:rPr>
      </w:pPr>
      <w:r w:rsidRPr="005B5EC1">
        <w:rPr>
          <w:rFonts w:ascii="Times New Roman" w:hAnsi="Times New Roman" w:cs="Times New Roman"/>
          <w:sz w:val="18"/>
          <w:szCs w:val="18"/>
        </w:rPr>
        <w:t>河南龙大牧原肉食品有限公司污水在线监测分析仪年久老化，于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9</w:t>
      </w:r>
      <w:r w:rsidRPr="005B5EC1">
        <w:rPr>
          <w:rFonts w:ascii="Times New Roman" w:hAnsi="Times New Roman" w:cs="Times New Roman"/>
          <w:sz w:val="18"/>
          <w:szCs w:val="18"/>
        </w:rPr>
        <w:t>月份进行设备更新，投资</w:t>
      </w:r>
      <w:r w:rsidRPr="005B5EC1">
        <w:rPr>
          <w:rFonts w:ascii="Times New Roman" w:hAnsi="Times New Roman" w:cs="Times New Roman"/>
          <w:sz w:val="18"/>
          <w:szCs w:val="18"/>
        </w:rPr>
        <w:t>19</w:t>
      </w:r>
      <w:r w:rsidRPr="005B5EC1">
        <w:rPr>
          <w:rFonts w:ascii="Times New Roman" w:hAnsi="Times New Roman" w:cs="Times New Roman"/>
          <w:sz w:val="18"/>
          <w:szCs w:val="18"/>
        </w:rPr>
        <w:t>万元，采购安装了新的污水处理在线监测分析仪，现已完成验收。</w:t>
      </w:r>
    </w:p>
    <w:p w14:paraId="487C60BD" w14:textId="77777777" w:rsidR="00AF139E" w:rsidRPr="005B5EC1" w:rsidRDefault="00000000" w:rsidP="00897D40">
      <w:pPr>
        <w:pStyle w:val="a3"/>
        <w:spacing w:before="0" w:beforeAutospacing="0" w:after="0" w:afterAutospacing="0" w:line="276" w:lineRule="auto"/>
        <w:ind w:firstLineChars="200" w:firstLine="360"/>
        <w:jc w:val="both"/>
        <w:divId w:val="1480687028"/>
        <w:rPr>
          <w:rFonts w:ascii="Times New Roman" w:hAnsi="Times New Roman" w:cs="Times New Roman"/>
        </w:rPr>
      </w:pPr>
      <w:r w:rsidRPr="005B5EC1">
        <w:rPr>
          <w:rFonts w:ascii="Times New Roman" w:hAnsi="Times New Roman" w:cs="Times New Roman"/>
          <w:sz w:val="18"/>
          <w:szCs w:val="18"/>
        </w:rPr>
        <w:lastRenderedPageBreak/>
        <w:t>聊城龙大肉食品有限公司为了更好的收集废气，于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11</w:t>
      </w:r>
      <w:r w:rsidRPr="005B5EC1">
        <w:rPr>
          <w:rFonts w:ascii="Times New Roman" w:hAnsi="Times New Roman" w:cs="Times New Roman"/>
          <w:sz w:val="18"/>
          <w:szCs w:val="18"/>
        </w:rPr>
        <w:t>月</w:t>
      </w:r>
      <w:r w:rsidRPr="005B5EC1">
        <w:rPr>
          <w:rFonts w:ascii="Times New Roman" w:hAnsi="Times New Roman" w:cs="Times New Roman"/>
          <w:sz w:val="18"/>
          <w:szCs w:val="18"/>
        </w:rPr>
        <w:t>17</w:t>
      </w:r>
      <w:r w:rsidRPr="005B5EC1">
        <w:rPr>
          <w:rFonts w:ascii="Times New Roman" w:hAnsi="Times New Roman" w:cs="Times New Roman"/>
          <w:sz w:val="18"/>
          <w:szCs w:val="18"/>
        </w:rPr>
        <w:t>日对聊城龙大工厂除臭管道更换工程，</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11</w:t>
      </w:r>
      <w:r w:rsidRPr="005B5EC1">
        <w:rPr>
          <w:rFonts w:ascii="Times New Roman" w:hAnsi="Times New Roman" w:cs="Times New Roman"/>
          <w:sz w:val="18"/>
          <w:szCs w:val="18"/>
        </w:rPr>
        <w:t>月</w:t>
      </w:r>
      <w:r w:rsidRPr="005B5EC1">
        <w:rPr>
          <w:rFonts w:ascii="Times New Roman" w:hAnsi="Times New Roman" w:cs="Times New Roman"/>
          <w:sz w:val="18"/>
          <w:szCs w:val="18"/>
        </w:rPr>
        <w:t>29</w:t>
      </w:r>
      <w:r w:rsidRPr="005B5EC1">
        <w:rPr>
          <w:rFonts w:ascii="Times New Roman" w:hAnsi="Times New Roman" w:cs="Times New Roman"/>
          <w:sz w:val="18"/>
          <w:szCs w:val="18"/>
        </w:rPr>
        <w:t>日更换完毕，共计费用</w:t>
      </w:r>
      <w:r w:rsidRPr="005B5EC1">
        <w:rPr>
          <w:rFonts w:ascii="Times New Roman" w:hAnsi="Times New Roman" w:cs="Times New Roman"/>
          <w:sz w:val="18"/>
          <w:szCs w:val="18"/>
        </w:rPr>
        <w:t>11.82</w:t>
      </w:r>
      <w:r w:rsidRPr="005B5EC1">
        <w:rPr>
          <w:rFonts w:ascii="Times New Roman" w:hAnsi="Times New Roman" w:cs="Times New Roman"/>
          <w:sz w:val="18"/>
          <w:szCs w:val="18"/>
        </w:rPr>
        <w:t>万元；污水站原有在线监测总氮分析仪不符合要求，于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3</w:t>
      </w:r>
      <w:r w:rsidRPr="005B5EC1">
        <w:rPr>
          <w:rFonts w:ascii="Times New Roman" w:hAnsi="Times New Roman" w:cs="Times New Roman"/>
          <w:sz w:val="18"/>
          <w:szCs w:val="18"/>
        </w:rPr>
        <w:t>月</w:t>
      </w:r>
      <w:r w:rsidRPr="005B5EC1">
        <w:rPr>
          <w:rFonts w:ascii="Times New Roman" w:hAnsi="Times New Roman" w:cs="Times New Roman"/>
          <w:sz w:val="18"/>
          <w:szCs w:val="18"/>
        </w:rPr>
        <w:t>20</w:t>
      </w:r>
      <w:r w:rsidRPr="005B5EC1">
        <w:rPr>
          <w:rFonts w:ascii="Times New Roman" w:hAnsi="Times New Roman" w:cs="Times New Roman"/>
          <w:sz w:val="18"/>
          <w:szCs w:val="18"/>
        </w:rPr>
        <w:t>日更换在线监测总氮分析仪，合计费用</w:t>
      </w:r>
      <w:r w:rsidRPr="005B5EC1">
        <w:rPr>
          <w:rFonts w:ascii="Times New Roman" w:hAnsi="Times New Roman" w:cs="Times New Roman"/>
          <w:sz w:val="18"/>
          <w:szCs w:val="18"/>
        </w:rPr>
        <w:t>4.85</w:t>
      </w:r>
      <w:r w:rsidRPr="005B5EC1">
        <w:rPr>
          <w:rFonts w:ascii="Times New Roman" w:hAnsi="Times New Roman" w:cs="Times New Roman"/>
          <w:sz w:val="18"/>
          <w:szCs w:val="18"/>
        </w:rPr>
        <w:t>万元。</w:t>
      </w:r>
    </w:p>
    <w:p w14:paraId="324BEEEF" w14:textId="77777777" w:rsidR="00897D40" w:rsidRPr="005B5EC1" w:rsidRDefault="00000000" w:rsidP="00897D40">
      <w:pPr>
        <w:pStyle w:val="a3"/>
        <w:spacing w:before="0" w:beforeAutospacing="0" w:after="0" w:afterAutospacing="0" w:line="276" w:lineRule="auto"/>
        <w:ind w:firstLineChars="200" w:firstLine="360"/>
        <w:jc w:val="both"/>
        <w:divId w:val="1480687028"/>
        <w:rPr>
          <w:rFonts w:ascii="Times New Roman" w:hAnsi="Times New Roman" w:cs="Times New Roman"/>
        </w:rPr>
      </w:pPr>
      <w:r w:rsidRPr="005B5EC1">
        <w:rPr>
          <w:rFonts w:ascii="Times New Roman" w:hAnsi="Times New Roman" w:cs="Times New Roman"/>
          <w:sz w:val="18"/>
          <w:szCs w:val="18"/>
        </w:rPr>
        <w:t>蓬莱富龙肉食品有限公司为了做到污水达标排放，于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4</w:t>
      </w:r>
      <w:r w:rsidRPr="005B5EC1">
        <w:rPr>
          <w:rFonts w:ascii="Times New Roman" w:hAnsi="Times New Roman" w:cs="Times New Roman"/>
          <w:sz w:val="18"/>
          <w:szCs w:val="18"/>
        </w:rPr>
        <w:t>月</w:t>
      </w:r>
      <w:r w:rsidRPr="005B5EC1">
        <w:rPr>
          <w:rFonts w:ascii="Times New Roman" w:hAnsi="Times New Roman" w:cs="Times New Roman"/>
          <w:sz w:val="18"/>
          <w:szCs w:val="18"/>
        </w:rPr>
        <w:t>25</w:t>
      </w:r>
      <w:r w:rsidRPr="005B5EC1">
        <w:rPr>
          <w:rFonts w:ascii="Times New Roman" w:hAnsi="Times New Roman" w:cs="Times New Roman"/>
          <w:sz w:val="18"/>
          <w:szCs w:val="18"/>
        </w:rPr>
        <w:t>日投资</w:t>
      </w:r>
      <w:r w:rsidRPr="005B5EC1">
        <w:rPr>
          <w:rFonts w:ascii="Times New Roman" w:hAnsi="Times New Roman" w:cs="Times New Roman"/>
          <w:sz w:val="18"/>
          <w:szCs w:val="18"/>
        </w:rPr>
        <w:t>26</w:t>
      </w:r>
      <w:r w:rsidRPr="005B5EC1">
        <w:rPr>
          <w:rFonts w:ascii="Times New Roman" w:hAnsi="Times New Roman" w:cs="Times New Roman"/>
          <w:sz w:val="18"/>
          <w:szCs w:val="18"/>
        </w:rPr>
        <w:t>万元，施工建造了一个长</w:t>
      </w:r>
      <w:r w:rsidRPr="005B5EC1">
        <w:rPr>
          <w:rFonts w:ascii="Times New Roman" w:hAnsi="Times New Roman" w:cs="Times New Roman"/>
          <w:sz w:val="18"/>
          <w:szCs w:val="18"/>
        </w:rPr>
        <w:t>45</w:t>
      </w:r>
      <w:r w:rsidRPr="005B5EC1">
        <w:rPr>
          <w:rFonts w:ascii="Times New Roman" w:hAnsi="Times New Roman" w:cs="Times New Roman"/>
          <w:sz w:val="18"/>
          <w:szCs w:val="18"/>
        </w:rPr>
        <w:t>米、宽</w:t>
      </w:r>
      <w:r w:rsidRPr="005B5EC1">
        <w:rPr>
          <w:rFonts w:ascii="Times New Roman" w:hAnsi="Times New Roman" w:cs="Times New Roman"/>
          <w:sz w:val="18"/>
          <w:szCs w:val="18"/>
        </w:rPr>
        <w:t>25</w:t>
      </w:r>
      <w:r w:rsidRPr="005B5EC1">
        <w:rPr>
          <w:rFonts w:ascii="Times New Roman" w:hAnsi="Times New Roman" w:cs="Times New Roman"/>
          <w:sz w:val="18"/>
          <w:szCs w:val="18"/>
        </w:rPr>
        <w:t>米、深</w:t>
      </w:r>
      <w:r w:rsidRPr="005B5EC1">
        <w:rPr>
          <w:rFonts w:ascii="Times New Roman" w:hAnsi="Times New Roman" w:cs="Times New Roman"/>
          <w:sz w:val="18"/>
          <w:szCs w:val="18"/>
        </w:rPr>
        <w:t>2</w:t>
      </w:r>
      <w:r w:rsidRPr="005B5EC1">
        <w:rPr>
          <w:rFonts w:ascii="Times New Roman" w:hAnsi="Times New Roman" w:cs="Times New Roman"/>
          <w:sz w:val="18"/>
          <w:szCs w:val="18"/>
        </w:rPr>
        <w:t>米，能够容纳</w:t>
      </w:r>
      <w:r w:rsidRPr="005B5EC1">
        <w:rPr>
          <w:rFonts w:ascii="Times New Roman" w:hAnsi="Times New Roman" w:cs="Times New Roman"/>
          <w:sz w:val="18"/>
          <w:szCs w:val="18"/>
        </w:rPr>
        <w:t>2200</w:t>
      </w:r>
      <w:r w:rsidRPr="005B5EC1">
        <w:rPr>
          <w:rFonts w:ascii="Times New Roman" w:hAnsi="Times New Roman" w:cs="Times New Roman"/>
          <w:sz w:val="18"/>
          <w:szCs w:val="18"/>
        </w:rPr>
        <w:t>立方水的四级稳定池，在紧急情况下也可以作为应急池使用，该稳定池已于</w:t>
      </w:r>
      <w:r w:rsidRPr="005B5EC1">
        <w:rPr>
          <w:rFonts w:ascii="Times New Roman" w:hAnsi="Times New Roman" w:cs="Times New Roman"/>
          <w:sz w:val="18"/>
          <w:szCs w:val="18"/>
        </w:rPr>
        <w:t>5</w:t>
      </w:r>
      <w:r w:rsidRPr="005B5EC1">
        <w:rPr>
          <w:rFonts w:ascii="Times New Roman" w:hAnsi="Times New Roman" w:cs="Times New Roman"/>
          <w:sz w:val="18"/>
          <w:szCs w:val="18"/>
        </w:rPr>
        <w:t>月</w:t>
      </w:r>
      <w:r w:rsidRPr="005B5EC1">
        <w:rPr>
          <w:rFonts w:ascii="Times New Roman" w:hAnsi="Times New Roman" w:cs="Times New Roman"/>
          <w:sz w:val="18"/>
          <w:szCs w:val="18"/>
        </w:rPr>
        <w:t>11</w:t>
      </w:r>
      <w:r w:rsidRPr="005B5EC1">
        <w:rPr>
          <w:rFonts w:ascii="Times New Roman" w:hAnsi="Times New Roman" w:cs="Times New Roman"/>
          <w:sz w:val="18"/>
          <w:szCs w:val="18"/>
        </w:rPr>
        <w:t>日建成投入使用。</w:t>
      </w:r>
    </w:p>
    <w:p w14:paraId="70BA2C77" w14:textId="2DFF32C8" w:rsidR="00AF139E" w:rsidRPr="005B5EC1" w:rsidRDefault="00000000" w:rsidP="00897D40">
      <w:pPr>
        <w:pStyle w:val="a3"/>
        <w:spacing w:before="0" w:beforeAutospacing="0" w:after="0" w:afterAutospacing="0" w:line="276" w:lineRule="auto"/>
        <w:ind w:firstLineChars="200" w:firstLine="360"/>
        <w:jc w:val="both"/>
        <w:divId w:val="1480687028"/>
        <w:rPr>
          <w:rFonts w:ascii="Times New Roman" w:hAnsi="Times New Roman" w:cs="Times New Roman"/>
        </w:rPr>
      </w:pPr>
      <w:r w:rsidRPr="005B5EC1">
        <w:rPr>
          <w:rFonts w:ascii="Times New Roman" w:hAnsi="Times New Roman" w:cs="Times New Roman"/>
          <w:sz w:val="18"/>
          <w:szCs w:val="18"/>
        </w:rPr>
        <w:t>山东龙大美食股份有限公司、潍坊振祥食品有限公司、河南龙大牧原肉食品有限公司、聊城龙大肉食品有限公司、蓬莱富龙肉食品有限公司、黑龙江龙大肉食品有限公司、巴中龙大肉食品有限公司</w:t>
      </w:r>
      <w:r w:rsidRPr="005B5EC1">
        <w:rPr>
          <w:rFonts w:ascii="Times New Roman" w:hAnsi="Times New Roman" w:cs="Times New Roman"/>
          <w:sz w:val="18"/>
          <w:szCs w:val="18"/>
        </w:rPr>
        <w:t>2024</w:t>
      </w:r>
      <w:r w:rsidRPr="005B5EC1">
        <w:rPr>
          <w:rFonts w:ascii="Times New Roman" w:hAnsi="Times New Roman" w:cs="Times New Roman"/>
          <w:sz w:val="18"/>
          <w:szCs w:val="18"/>
        </w:rPr>
        <w:t>年均已按相关规定足额缴纳环境保护税。</w:t>
      </w:r>
    </w:p>
    <w:p w14:paraId="3148BF2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在报告期内为减少其碳排放所采取的措施及效果</w:t>
      </w:r>
    </w:p>
    <w:p w14:paraId="4EDA00A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1C56E294" w14:textId="25C27DC7" w:rsidR="00AF139E" w:rsidRPr="005B5EC1" w:rsidRDefault="00000000" w:rsidP="00897D40">
      <w:pPr>
        <w:pStyle w:val="a3"/>
        <w:spacing w:before="0" w:beforeAutospacing="0" w:after="0" w:afterAutospacing="0" w:line="276" w:lineRule="auto"/>
        <w:ind w:firstLine="357"/>
        <w:jc w:val="both"/>
        <w:divId w:val="294725727"/>
        <w:rPr>
          <w:rFonts w:ascii="Times New Roman" w:hAnsi="Times New Roman" w:cs="Times New Roman"/>
        </w:rPr>
      </w:pPr>
      <w:r w:rsidRPr="005B5EC1">
        <w:rPr>
          <w:rFonts w:ascii="Times New Roman" w:hAnsi="Times New Roman" w:cs="Times New Roman"/>
          <w:sz w:val="18"/>
          <w:szCs w:val="18"/>
        </w:rPr>
        <w:t>潍坊振祥食品有限公司利用车间屋面等安装光伏发电设备，装机容量</w:t>
      </w:r>
      <w:r w:rsidRPr="005B5EC1">
        <w:rPr>
          <w:rFonts w:ascii="Times New Roman" w:hAnsi="Times New Roman" w:cs="Times New Roman"/>
          <w:sz w:val="18"/>
          <w:szCs w:val="18"/>
        </w:rPr>
        <w:t>520kW</w:t>
      </w:r>
      <w:r w:rsidRPr="005B5EC1">
        <w:rPr>
          <w:rFonts w:ascii="Times New Roman" w:hAnsi="Times New Roman" w:cs="Times New Roman"/>
          <w:sz w:val="18"/>
          <w:szCs w:val="18"/>
        </w:rPr>
        <w:t>，</w:t>
      </w:r>
      <w:r w:rsidRPr="005B5EC1">
        <w:rPr>
          <w:rFonts w:ascii="Times New Roman" w:hAnsi="Times New Roman" w:cs="Times New Roman"/>
          <w:sz w:val="18"/>
          <w:szCs w:val="18"/>
        </w:rPr>
        <w:t>2024</w:t>
      </w:r>
      <w:r w:rsidRPr="005B5EC1">
        <w:rPr>
          <w:rFonts w:ascii="Times New Roman" w:hAnsi="Times New Roman" w:cs="Times New Roman"/>
          <w:sz w:val="18"/>
          <w:szCs w:val="18"/>
        </w:rPr>
        <w:t>年全年光伏发电量</w:t>
      </w:r>
      <w:r w:rsidRPr="005B5EC1">
        <w:rPr>
          <w:rFonts w:ascii="Times New Roman" w:hAnsi="Times New Roman" w:cs="Times New Roman"/>
          <w:sz w:val="18"/>
          <w:szCs w:val="18"/>
        </w:rPr>
        <w:t>67</w:t>
      </w:r>
      <w:r w:rsidR="00135897">
        <w:rPr>
          <w:rFonts w:ascii="Times New Roman" w:hAnsi="Times New Roman" w:cs="Times New Roman" w:hint="eastAsia"/>
          <w:sz w:val="18"/>
          <w:szCs w:val="18"/>
        </w:rPr>
        <w:t>,</w:t>
      </w:r>
      <w:r w:rsidRPr="005B5EC1">
        <w:rPr>
          <w:rFonts w:ascii="Times New Roman" w:hAnsi="Times New Roman" w:cs="Times New Roman"/>
          <w:sz w:val="18"/>
          <w:szCs w:val="18"/>
        </w:rPr>
        <w:t>200 kwh</w:t>
      </w:r>
      <w:r w:rsidRPr="005B5EC1">
        <w:rPr>
          <w:rFonts w:ascii="Times New Roman" w:hAnsi="Times New Roman" w:cs="Times New Roman"/>
          <w:sz w:val="18"/>
          <w:szCs w:val="18"/>
        </w:rPr>
        <w:t>；河南龙大牧原肉食品有限公司光伏发电装机容量</w:t>
      </w:r>
      <w:r w:rsidRPr="005B5EC1">
        <w:rPr>
          <w:rFonts w:ascii="Times New Roman" w:hAnsi="Times New Roman" w:cs="Times New Roman"/>
          <w:sz w:val="18"/>
          <w:szCs w:val="18"/>
        </w:rPr>
        <w:t>2.93MW</w:t>
      </w:r>
      <w:r w:rsidRPr="005B5EC1">
        <w:rPr>
          <w:rFonts w:ascii="Times New Roman" w:hAnsi="Times New Roman" w:cs="Times New Roman"/>
          <w:sz w:val="18"/>
          <w:szCs w:val="18"/>
        </w:rPr>
        <w:t>，</w:t>
      </w:r>
      <w:r w:rsidRPr="005B5EC1">
        <w:rPr>
          <w:rFonts w:ascii="Times New Roman" w:hAnsi="Times New Roman" w:cs="Times New Roman"/>
          <w:sz w:val="18"/>
          <w:szCs w:val="18"/>
        </w:rPr>
        <w:t>2024</w:t>
      </w:r>
      <w:r w:rsidRPr="005B5EC1">
        <w:rPr>
          <w:rFonts w:ascii="Times New Roman" w:hAnsi="Times New Roman" w:cs="Times New Roman"/>
          <w:sz w:val="18"/>
          <w:szCs w:val="18"/>
        </w:rPr>
        <w:t>年光伏发电量</w:t>
      </w:r>
      <w:r w:rsidRPr="005B5EC1">
        <w:rPr>
          <w:rFonts w:ascii="Times New Roman" w:hAnsi="Times New Roman" w:cs="Times New Roman"/>
          <w:sz w:val="18"/>
          <w:szCs w:val="18"/>
        </w:rPr>
        <w:t>2</w:t>
      </w:r>
      <w:r w:rsidR="00135897">
        <w:rPr>
          <w:rFonts w:ascii="Times New Roman" w:hAnsi="Times New Roman" w:cs="Times New Roman" w:hint="eastAsia"/>
          <w:sz w:val="18"/>
          <w:szCs w:val="18"/>
        </w:rPr>
        <w:t>,</w:t>
      </w:r>
      <w:r w:rsidRPr="005B5EC1">
        <w:rPr>
          <w:rFonts w:ascii="Times New Roman" w:hAnsi="Times New Roman" w:cs="Times New Roman"/>
          <w:sz w:val="18"/>
          <w:szCs w:val="18"/>
        </w:rPr>
        <w:t>330</w:t>
      </w:r>
      <w:r w:rsidR="00135897">
        <w:rPr>
          <w:rFonts w:ascii="Times New Roman" w:hAnsi="Times New Roman" w:cs="Times New Roman" w:hint="eastAsia"/>
          <w:sz w:val="18"/>
          <w:szCs w:val="18"/>
        </w:rPr>
        <w:t>,</w:t>
      </w:r>
      <w:r w:rsidRPr="005B5EC1">
        <w:rPr>
          <w:rFonts w:ascii="Times New Roman" w:hAnsi="Times New Roman" w:cs="Times New Roman"/>
          <w:sz w:val="18"/>
          <w:szCs w:val="18"/>
        </w:rPr>
        <w:t>661kWh</w:t>
      </w:r>
      <w:r w:rsidRPr="005B5EC1">
        <w:rPr>
          <w:rFonts w:ascii="Times New Roman" w:hAnsi="Times New Roman" w:cs="Times New Roman"/>
          <w:sz w:val="18"/>
          <w:szCs w:val="18"/>
        </w:rPr>
        <w:t>；聊城龙大肉食品有限公司利用车间屋面等安装光伏发电设备，装机容量</w:t>
      </w:r>
      <w:r w:rsidRPr="005B5EC1">
        <w:rPr>
          <w:rFonts w:ascii="Times New Roman" w:hAnsi="Times New Roman" w:cs="Times New Roman"/>
          <w:sz w:val="18"/>
          <w:szCs w:val="18"/>
        </w:rPr>
        <w:t>0.8MW</w:t>
      </w:r>
      <w:r w:rsidRPr="005B5EC1">
        <w:rPr>
          <w:rFonts w:ascii="Times New Roman" w:hAnsi="Times New Roman" w:cs="Times New Roman"/>
          <w:sz w:val="18"/>
          <w:szCs w:val="18"/>
        </w:rPr>
        <w:t>（二期完工后为</w:t>
      </w:r>
      <w:r w:rsidRPr="005B5EC1">
        <w:rPr>
          <w:rFonts w:ascii="Times New Roman" w:hAnsi="Times New Roman" w:cs="Times New Roman"/>
          <w:sz w:val="18"/>
          <w:szCs w:val="18"/>
        </w:rPr>
        <w:t>1.2</w:t>
      </w:r>
      <w:r w:rsidRPr="005B5EC1">
        <w:rPr>
          <w:rFonts w:ascii="Times New Roman" w:hAnsi="Times New Roman" w:cs="Times New Roman"/>
        </w:rPr>
        <w:t xml:space="preserve"> </w:t>
      </w:r>
      <w:r w:rsidRPr="005B5EC1">
        <w:rPr>
          <w:rFonts w:ascii="Times New Roman" w:hAnsi="Times New Roman" w:cs="Times New Roman"/>
          <w:sz w:val="18"/>
          <w:szCs w:val="18"/>
        </w:rPr>
        <w:t>MW</w:t>
      </w:r>
      <w:r w:rsidRPr="005B5EC1">
        <w:rPr>
          <w:rFonts w:ascii="Times New Roman" w:hAnsi="Times New Roman" w:cs="Times New Roman"/>
          <w:sz w:val="18"/>
          <w:szCs w:val="18"/>
        </w:rPr>
        <w:t>），</w:t>
      </w:r>
      <w:r w:rsidRPr="005B5EC1">
        <w:rPr>
          <w:rFonts w:ascii="Times New Roman" w:hAnsi="Times New Roman" w:cs="Times New Roman"/>
          <w:sz w:val="18"/>
          <w:szCs w:val="18"/>
        </w:rPr>
        <w:t>2024</w:t>
      </w:r>
      <w:r w:rsidRPr="005B5EC1">
        <w:rPr>
          <w:rFonts w:ascii="Times New Roman" w:hAnsi="Times New Roman" w:cs="Times New Roman"/>
          <w:sz w:val="18"/>
          <w:szCs w:val="18"/>
        </w:rPr>
        <w:t>年光伏发电量为</w:t>
      </w:r>
      <w:r w:rsidRPr="005B5EC1">
        <w:rPr>
          <w:rFonts w:ascii="Times New Roman" w:hAnsi="Times New Roman" w:cs="Times New Roman"/>
          <w:sz w:val="18"/>
          <w:szCs w:val="18"/>
        </w:rPr>
        <w:t>953,930.4kWh</w:t>
      </w:r>
      <w:r w:rsidRPr="005B5EC1">
        <w:rPr>
          <w:rFonts w:ascii="Times New Roman" w:hAnsi="Times New Roman" w:cs="Times New Roman"/>
          <w:sz w:val="18"/>
          <w:szCs w:val="18"/>
        </w:rPr>
        <w:t>，</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w:t>
      </w:r>
      <w:r w:rsidRPr="005B5EC1">
        <w:rPr>
          <w:rFonts w:ascii="Times New Roman" w:hAnsi="Times New Roman" w:cs="Times New Roman"/>
          <w:sz w:val="18"/>
          <w:szCs w:val="18"/>
        </w:rPr>
        <w:t>月</w:t>
      </w:r>
      <w:r w:rsidRPr="005B5EC1">
        <w:rPr>
          <w:rFonts w:ascii="Times New Roman" w:hAnsi="Times New Roman" w:cs="Times New Roman"/>
          <w:sz w:val="18"/>
          <w:szCs w:val="18"/>
        </w:rPr>
        <w:t>8</w:t>
      </w:r>
      <w:r w:rsidRPr="005B5EC1">
        <w:rPr>
          <w:rFonts w:ascii="Times New Roman" w:hAnsi="Times New Roman" w:cs="Times New Roman"/>
          <w:sz w:val="18"/>
          <w:szCs w:val="18"/>
        </w:rPr>
        <w:t>日投入使用。</w:t>
      </w:r>
    </w:p>
    <w:p w14:paraId="4C3F032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报告期内因环境问题受到行政处罚的情况</w:t>
      </w:r>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276"/>
        <w:gridCol w:w="1701"/>
        <w:gridCol w:w="1841"/>
        <w:gridCol w:w="1607"/>
        <w:gridCol w:w="1939"/>
        <w:gridCol w:w="1275"/>
      </w:tblGrid>
      <w:tr w:rsidR="00E32FE0" w:rsidRPr="005B5EC1" w14:paraId="2C208558" w14:textId="77777777" w:rsidTr="00897D40">
        <w:trPr>
          <w:trHeight w:val="240"/>
          <w:jc w:val="center"/>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869FD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公司或子公司名称</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52E6E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处罚原因</w:t>
            </w:r>
          </w:p>
        </w:tc>
        <w:tc>
          <w:tcPr>
            <w:tcW w:w="1841" w:type="dxa"/>
            <w:tcBorders>
              <w:top w:val="single" w:sz="2" w:space="0" w:color="auto"/>
              <w:left w:val="single" w:sz="2" w:space="0" w:color="auto"/>
              <w:bottom w:val="single" w:sz="2" w:space="0" w:color="auto"/>
              <w:right w:val="single" w:sz="2" w:space="0" w:color="auto"/>
            </w:tcBorders>
            <w:shd w:val="clear" w:color="auto" w:fill="D3D3D3"/>
            <w:vAlign w:val="center"/>
          </w:tcPr>
          <w:p w14:paraId="6163C94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违规情形</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4C2E8B6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处罚结果</w:t>
            </w:r>
          </w:p>
        </w:tc>
        <w:tc>
          <w:tcPr>
            <w:tcW w:w="1939" w:type="dxa"/>
            <w:tcBorders>
              <w:top w:val="single" w:sz="2" w:space="0" w:color="auto"/>
              <w:left w:val="single" w:sz="2" w:space="0" w:color="auto"/>
              <w:bottom w:val="single" w:sz="2" w:space="0" w:color="auto"/>
              <w:right w:val="single" w:sz="2" w:space="0" w:color="auto"/>
            </w:tcBorders>
            <w:shd w:val="clear" w:color="auto" w:fill="D3D3D3"/>
            <w:vAlign w:val="center"/>
          </w:tcPr>
          <w:p w14:paraId="30A7C9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对上市公司生产经营的影响</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2FE981A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公司的整改措施</w:t>
            </w:r>
          </w:p>
        </w:tc>
      </w:tr>
      <w:tr w:rsidR="00E32FE0" w:rsidRPr="005B5EC1" w14:paraId="535458FC" w14:textId="77777777" w:rsidTr="00897D40">
        <w:trPr>
          <w:trHeight w:val="240"/>
          <w:jc w:val="center"/>
        </w:trPr>
        <w:tc>
          <w:tcPr>
            <w:tcW w:w="1276" w:type="dxa"/>
            <w:tcBorders>
              <w:top w:val="single" w:sz="2" w:space="0" w:color="auto"/>
              <w:left w:val="single" w:sz="2" w:space="0" w:color="auto"/>
              <w:bottom w:val="single" w:sz="2" w:space="0" w:color="auto"/>
              <w:right w:val="single" w:sz="2" w:space="0" w:color="auto"/>
            </w:tcBorders>
            <w:vAlign w:val="center"/>
          </w:tcPr>
          <w:p w14:paraId="76A83CF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蓬莱富龙肉食品有限公司</w:t>
            </w:r>
          </w:p>
        </w:tc>
        <w:tc>
          <w:tcPr>
            <w:tcW w:w="1701" w:type="dxa"/>
            <w:tcBorders>
              <w:top w:val="single" w:sz="2" w:space="0" w:color="auto"/>
              <w:left w:val="single" w:sz="2" w:space="0" w:color="auto"/>
              <w:bottom w:val="single" w:sz="2" w:space="0" w:color="auto"/>
              <w:right w:val="single" w:sz="2" w:space="0" w:color="auto"/>
            </w:tcBorders>
            <w:vAlign w:val="center"/>
          </w:tcPr>
          <w:p w14:paraId="2F387C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违反了《中华人民共和国水污染防治法》第三十条</w:t>
            </w:r>
          </w:p>
        </w:tc>
        <w:tc>
          <w:tcPr>
            <w:tcW w:w="1841" w:type="dxa"/>
            <w:tcBorders>
              <w:top w:val="single" w:sz="2" w:space="0" w:color="auto"/>
              <w:left w:val="single" w:sz="2" w:space="0" w:color="auto"/>
              <w:bottom w:val="single" w:sz="2" w:space="0" w:color="auto"/>
              <w:right w:val="single" w:sz="2" w:space="0" w:color="auto"/>
            </w:tcBorders>
            <w:vAlign w:val="center"/>
          </w:tcPr>
          <w:p w14:paraId="25070BE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年一季度自动在线监测设备未能对外排废水进行实时监控</w:t>
            </w:r>
          </w:p>
        </w:tc>
        <w:tc>
          <w:tcPr>
            <w:tcW w:w="1607" w:type="dxa"/>
            <w:tcBorders>
              <w:top w:val="single" w:sz="2" w:space="0" w:color="auto"/>
              <w:left w:val="single" w:sz="2" w:space="0" w:color="auto"/>
              <w:bottom w:val="single" w:sz="2" w:space="0" w:color="auto"/>
              <w:right w:val="single" w:sz="2" w:space="0" w:color="auto"/>
            </w:tcBorders>
            <w:vAlign w:val="center"/>
          </w:tcPr>
          <w:p w14:paraId="1A6108F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依据《中华人民共和国水污染防治法》第八十三条第三项和《中华人民共和国行政处罚法》第二十八条第一款的规定，烟台市生态环境局作出责令改正的决定。</w:t>
            </w:r>
          </w:p>
        </w:tc>
        <w:tc>
          <w:tcPr>
            <w:tcW w:w="1939" w:type="dxa"/>
            <w:tcBorders>
              <w:top w:val="single" w:sz="2" w:space="0" w:color="auto"/>
              <w:left w:val="single" w:sz="2" w:space="0" w:color="auto"/>
              <w:bottom w:val="single" w:sz="2" w:space="0" w:color="auto"/>
              <w:right w:val="single" w:sz="2" w:space="0" w:color="auto"/>
            </w:tcBorders>
            <w:vAlign w:val="center"/>
          </w:tcPr>
          <w:p w14:paraId="17A0E5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本次处罚不会对公司正常生产经营产生重大不利影响</w:t>
            </w:r>
          </w:p>
        </w:tc>
        <w:tc>
          <w:tcPr>
            <w:tcW w:w="1275" w:type="dxa"/>
            <w:tcBorders>
              <w:top w:val="single" w:sz="2" w:space="0" w:color="auto"/>
              <w:left w:val="single" w:sz="2" w:space="0" w:color="auto"/>
              <w:bottom w:val="single" w:sz="2" w:space="0" w:color="auto"/>
              <w:right w:val="single" w:sz="2" w:space="0" w:color="auto"/>
            </w:tcBorders>
            <w:vAlign w:val="center"/>
          </w:tcPr>
          <w:p w14:paraId="129E05E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自动在线监测设备已按相关要求对外排废水进行实时监控</w:t>
            </w:r>
          </w:p>
        </w:tc>
      </w:tr>
    </w:tbl>
    <w:p w14:paraId="65E6A9F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其他应当公开的环境信息</w:t>
      </w:r>
    </w:p>
    <w:p w14:paraId="5D144512" w14:textId="77777777" w:rsidR="00AF139E" w:rsidRPr="005B5EC1" w:rsidRDefault="00000000">
      <w:pPr>
        <w:pStyle w:val="a3"/>
        <w:divId w:val="1742827645"/>
        <w:rPr>
          <w:rFonts w:ascii="Times New Roman" w:hAnsi="Times New Roman" w:cs="Times New Roman"/>
          <w:sz w:val="18"/>
          <w:szCs w:val="18"/>
        </w:rPr>
      </w:pPr>
      <w:r w:rsidRPr="005B5EC1">
        <w:rPr>
          <w:rFonts w:ascii="Times New Roman" w:hAnsi="Times New Roman" w:cs="Times New Roman"/>
          <w:sz w:val="18"/>
          <w:szCs w:val="18"/>
        </w:rPr>
        <w:t>无</w:t>
      </w:r>
    </w:p>
    <w:p w14:paraId="6DAAAE8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其他环保相关信息</w:t>
      </w:r>
    </w:p>
    <w:p w14:paraId="47F6A64B" w14:textId="77777777" w:rsidR="00AF139E" w:rsidRPr="005B5EC1" w:rsidRDefault="00000000">
      <w:pPr>
        <w:pStyle w:val="a3"/>
        <w:divId w:val="631445168"/>
        <w:rPr>
          <w:rFonts w:ascii="Times New Roman" w:hAnsi="Times New Roman" w:cs="Times New Roman"/>
          <w:sz w:val="18"/>
          <w:szCs w:val="18"/>
        </w:rPr>
      </w:pPr>
      <w:r w:rsidRPr="005B5EC1">
        <w:rPr>
          <w:rFonts w:ascii="Times New Roman" w:hAnsi="Times New Roman" w:cs="Times New Roman"/>
          <w:sz w:val="18"/>
          <w:szCs w:val="18"/>
        </w:rPr>
        <w:t>无</w:t>
      </w:r>
    </w:p>
    <w:p w14:paraId="5C567412"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91" w:name="_Toc988980"/>
      <w:r w:rsidRPr="005B5EC1">
        <w:rPr>
          <w:rFonts w:ascii="Times New Roman" w:eastAsia="宋体" w:hAnsi="Times New Roman" w:cs="Times New Roman"/>
          <w:b/>
          <w:bCs/>
          <w:sz w:val="24"/>
          <w:szCs w:val="24"/>
        </w:rPr>
        <w:t>二、社会责任情况</w:t>
      </w:r>
      <w:bookmarkEnd w:id="91"/>
    </w:p>
    <w:p w14:paraId="7BAFB4CC"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报告期内，公司不断优化生产经营管理，积极开拓市场，在公司发展壮大的同时，积极履行社会责任。</w:t>
      </w:r>
      <w:r w:rsidRPr="005B5EC1">
        <w:rPr>
          <w:rFonts w:ascii="Times New Roman" w:hAnsi="Times New Roman" w:cs="Times New Roman"/>
          <w:color w:val="000000"/>
          <w:sz w:val="18"/>
          <w:szCs w:val="18"/>
        </w:rPr>
        <w:t xml:space="preserve"> </w:t>
      </w:r>
    </w:p>
    <w:p w14:paraId="1EB7E348"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1</w:t>
      </w:r>
      <w:r w:rsidRPr="005B5EC1">
        <w:rPr>
          <w:rFonts w:ascii="Times New Roman" w:hAnsi="Times New Roman" w:cs="Times New Roman"/>
          <w:color w:val="000000"/>
          <w:sz w:val="18"/>
          <w:szCs w:val="18"/>
        </w:rPr>
        <w:t>、公司治理</w:t>
      </w:r>
    </w:p>
    <w:p w14:paraId="0F970DA9"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公司按照《中华人民共和国公司法》《中华人民共和国证券法》《上市公司治理准则》和《深圳证券交易所股票上市规则》等法律、法规和规章的要求，建立了规范的公司治理结构，制定了符合公司发展的规则和制度，明确决策、执行、监督等方面的职责权限，形成了有效的职责分工和制衡机制，并不断完善和优化公司治理结构。股东大会、董事会和监事会，以及董事会下设的战略委员会、审计委员会、薪酬与考核委员会、提名委员会分别按其职责行使决策权、执</w:t>
      </w:r>
      <w:r w:rsidRPr="005B5EC1">
        <w:rPr>
          <w:rFonts w:ascii="Times New Roman" w:hAnsi="Times New Roman" w:cs="Times New Roman"/>
          <w:color w:val="000000"/>
          <w:sz w:val="18"/>
          <w:szCs w:val="18"/>
        </w:rPr>
        <w:lastRenderedPageBreak/>
        <w:t>行权和监督权。</w:t>
      </w:r>
      <w:r w:rsidRPr="005B5EC1">
        <w:rPr>
          <w:rFonts w:ascii="Times New Roman" w:hAnsi="Times New Roman" w:cs="Times New Roman"/>
          <w:color w:val="000000"/>
          <w:sz w:val="18"/>
          <w:szCs w:val="18"/>
        </w:rPr>
        <w:t xml:space="preserve"> </w:t>
      </w:r>
      <w:r w:rsidRPr="005B5EC1">
        <w:rPr>
          <w:rFonts w:ascii="Times New Roman" w:hAnsi="Times New Roman" w:cs="Times New Roman"/>
          <w:color w:val="000000"/>
          <w:sz w:val="18"/>
          <w:szCs w:val="18"/>
        </w:rPr>
        <w:t>加强内部控制体系建设，积极推进内控管理变革，推动公司各领域的关键内控点建设工作，优化了公司管理流程，完善了风险机制，提升了风险防范能力，为公司经营管理合法合规、资产安全、财务报告及相关信息的真实、完整提供了合理保障。公司制定了信息披露基本制度，切实履行信息披露义务，严格按照公平、公正、及时的信息披露原则，通过业绩说明会、投资者互动平台、路演等方式，与投资者保持良好沟通，并根据中国证监会和深圳证券交易所的有关要求不断完善信息披露制度，更好地履行信息披露义务。</w:t>
      </w:r>
      <w:r w:rsidRPr="005B5EC1">
        <w:rPr>
          <w:rFonts w:ascii="Times New Roman" w:hAnsi="Times New Roman" w:cs="Times New Roman"/>
          <w:color w:val="000000"/>
          <w:sz w:val="18"/>
          <w:szCs w:val="18"/>
        </w:rPr>
        <w:t xml:space="preserve"> </w:t>
      </w:r>
    </w:p>
    <w:p w14:paraId="30F3D154"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2</w:t>
      </w:r>
      <w:r w:rsidRPr="005B5EC1">
        <w:rPr>
          <w:rFonts w:ascii="Times New Roman" w:hAnsi="Times New Roman" w:cs="Times New Roman"/>
          <w:color w:val="000000"/>
          <w:sz w:val="18"/>
          <w:szCs w:val="18"/>
        </w:rPr>
        <w:t>、安全生产</w:t>
      </w:r>
    </w:p>
    <w:p w14:paraId="14B2618E"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公司遵守《中华人民共和国安全生产法》《工伤保险条例》等法律法规要求，制定安全生产目标，持续规范安全工作管理，落实安全工作责任，开展日常隐患排查、安全风险监测和安全文化宣传等工作，报告期内，公司未发生重大生产安全事故。人员安全管理方面，公司按时组织安全教育培训，实施全员安全能力提升培训工程，强化</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大学习、大培训、大考试</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活动，尤其对车间主任、一线操作员工，加强警示教育、定期轮训、实战演练、推动安全意识增强、安全行为规范、安全技能提升。设备安全管理方面，公司采取多种形式对生产设备进行保护，并及时维修设备，排除安全生产隐患；消防安全方面，定期组织消防值班人员及员工进行消防器械操练实训以及紧急应急演练，确保厂区紧急事件能及时快速处理；此外，公司成立了安全管理委员会，实行信息报告制度，要求各单位安全管理机构须每天、每月向安全管理委员会汇报安全管理工作开展情况，对工作中发现的安全隐患，必须同时向各单位负责人和安全管理委员会反馈，确保以合理的方案快速解决。</w:t>
      </w:r>
    </w:p>
    <w:p w14:paraId="1A55367E"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3</w:t>
      </w:r>
      <w:r w:rsidRPr="005B5EC1">
        <w:rPr>
          <w:rFonts w:ascii="Times New Roman" w:hAnsi="Times New Roman" w:cs="Times New Roman"/>
          <w:color w:val="000000"/>
          <w:sz w:val="18"/>
          <w:szCs w:val="18"/>
        </w:rPr>
        <w:t>、环境保护</w:t>
      </w:r>
    </w:p>
    <w:p w14:paraId="52183233"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公司秉持绿色发展理念，持续完善环境管理体系，践行节能降耗减排方针，推动</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绿色工厂</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建设，守护生态安全，树立绿色企业形象，绘就绿色发展新画卷。针对污染物，按照</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雨污分流</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原则，污水进入污水站经预处理系统、气浮、</w:t>
      </w:r>
      <w:r w:rsidRPr="005B5EC1">
        <w:rPr>
          <w:rFonts w:ascii="Times New Roman" w:hAnsi="Times New Roman" w:cs="Times New Roman"/>
          <w:color w:val="000000"/>
          <w:sz w:val="18"/>
          <w:szCs w:val="18"/>
        </w:rPr>
        <w:t>A/O</w:t>
      </w:r>
      <w:r w:rsidRPr="005B5EC1">
        <w:rPr>
          <w:rFonts w:ascii="Times New Roman" w:hAnsi="Times New Roman" w:cs="Times New Roman"/>
          <w:color w:val="000000"/>
          <w:sz w:val="18"/>
          <w:szCs w:val="18"/>
        </w:rPr>
        <w:t>工艺处理后，经排口排入莱阳市食品工业园污水处理厂，公司在废水排放口安装在线监测设施，并委托第三方定期对公司排放污染物进行监控。针对养殖业务，采用</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种养结合、粪污资源化利用</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举措，生猪养殖产生的粪污通过微生物发酵产出沼液和有机肥，用于林木施肥还田再利用，减少化肥施用量，实现零污染、零排放的绿色生态农业可持续发展。报告期内，公司稳步提升资源能源利用效率，大力推广余热回收技术，推进余热回收项目。项目以采用氨系统余热回收、制冷机油冷余热回收、热泵余热回收三种技术组合，降低制冷剂排气压力和机组冷凝温度，提高制冷能效，减少制冷剂耗电，大幅节省加热热水的蒸汽用量，延长制冷机使用寿命，减少能源消耗和碳排放。</w:t>
      </w:r>
    </w:p>
    <w:p w14:paraId="054AB1BC"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4</w:t>
      </w:r>
      <w:r w:rsidRPr="005B5EC1">
        <w:rPr>
          <w:rFonts w:ascii="Times New Roman" w:hAnsi="Times New Roman" w:cs="Times New Roman"/>
          <w:color w:val="000000"/>
          <w:sz w:val="18"/>
          <w:szCs w:val="18"/>
        </w:rPr>
        <w:t>、尊重员工</w:t>
      </w:r>
      <w:r w:rsidRPr="005B5EC1">
        <w:rPr>
          <w:rFonts w:ascii="Times New Roman" w:hAnsi="Times New Roman" w:cs="Times New Roman"/>
          <w:color w:val="000000"/>
          <w:sz w:val="18"/>
          <w:szCs w:val="18"/>
        </w:rPr>
        <w:t xml:space="preserve"> </w:t>
      </w:r>
    </w:p>
    <w:p w14:paraId="1D913FA8"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公司坚信员工是企业的宝贵财富，尊重并保障每一位员工的基本权益，公司在招聘、晋升、薪酬等方面没有种族、性别、国籍、年龄、怀孕或残疾等方面的歧视，自公司成立至今，未发生歧视事件，亦未收到歧视方面的投诉。秉持透明、公开、高效原则，明确晋升流程，建立和实施了较科学的聘用、培训、轮岗、考核、晋升等人事管理制度，完善员工激励机制，挖掘贡献卓越的优秀团队和员工，提高员工工作积极性，实现员工与企业共同发展、共同成长。时刻关心员工心理健康建设，营造良好的工作舆论环境，帮助员工克服焦虑心理，建立良好心态，凝聚起全员健康向上的强大正能量。</w:t>
      </w:r>
      <w:r w:rsidRPr="005B5EC1">
        <w:rPr>
          <w:rFonts w:ascii="Times New Roman" w:hAnsi="Times New Roman" w:cs="Times New Roman"/>
          <w:color w:val="000000"/>
          <w:sz w:val="18"/>
          <w:szCs w:val="18"/>
        </w:rPr>
        <w:t xml:space="preserve"> </w:t>
      </w:r>
      <w:r w:rsidRPr="005B5EC1">
        <w:rPr>
          <w:rFonts w:ascii="Times New Roman" w:hAnsi="Times New Roman" w:cs="Times New Roman"/>
          <w:color w:val="000000"/>
          <w:sz w:val="18"/>
          <w:szCs w:val="18"/>
        </w:rPr>
        <w:t>举办了一系列如</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凝心聚力</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共赴山海</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倾听大家声，寻找金点子</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夏日送关爱、清凉伴你行</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等丰富多彩的文体活动，丰富了员工的业余生活。</w:t>
      </w:r>
    </w:p>
    <w:p w14:paraId="6843D902"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5</w:t>
      </w:r>
      <w:r w:rsidRPr="005B5EC1">
        <w:rPr>
          <w:rFonts w:ascii="Times New Roman" w:hAnsi="Times New Roman" w:cs="Times New Roman"/>
          <w:color w:val="000000"/>
          <w:sz w:val="18"/>
          <w:szCs w:val="18"/>
        </w:rPr>
        <w:t>、食品安全</w:t>
      </w:r>
      <w:r w:rsidRPr="005B5EC1">
        <w:rPr>
          <w:rFonts w:ascii="Times New Roman" w:hAnsi="Times New Roman" w:cs="Times New Roman"/>
          <w:color w:val="000000"/>
          <w:sz w:val="18"/>
          <w:szCs w:val="18"/>
        </w:rPr>
        <w:t xml:space="preserve"> </w:t>
      </w:r>
    </w:p>
    <w:p w14:paraId="0DE91EC9"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在保障食品安全方面，公司建立了一系列标准化制度和技术规范，实现标准化管理，并建立了严格的食品安全保障体系和可追溯体系。公司在生产过程中严格落实</w:t>
      </w:r>
      <w:r w:rsidRPr="005B5EC1">
        <w:rPr>
          <w:rFonts w:ascii="Times New Roman" w:hAnsi="Times New Roman" w:cs="Times New Roman"/>
          <w:color w:val="000000"/>
          <w:sz w:val="18"/>
          <w:szCs w:val="18"/>
        </w:rPr>
        <w:t xml:space="preserve"> HACCP</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ISO9001</w:t>
      </w:r>
      <w:r w:rsidRPr="005B5EC1">
        <w:rPr>
          <w:rFonts w:ascii="Times New Roman" w:hAnsi="Times New Roman" w:cs="Times New Roman"/>
          <w:color w:val="000000"/>
          <w:sz w:val="18"/>
          <w:szCs w:val="18"/>
        </w:rPr>
        <w:t>质量控制体系要求，全面系统分析全产业链各主要环节，重点控制食品安全的关键影响点。从原料采购、质量检测到冷链存储、即时零售的食品生产安全</w:t>
      </w:r>
      <w:r w:rsidRPr="005B5EC1">
        <w:rPr>
          <w:rFonts w:ascii="Times New Roman" w:hAnsi="Times New Roman" w:cs="Times New Roman"/>
          <w:color w:val="000000"/>
          <w:sz w:val="18"/>
          <w:szCs w:val="18"/>
        </w:rPr>
        <w:t>12</w:t>
      </w:r>
      <w:r w:rsidRPr="005B5EC1">
        <w:rPr>
          <w:rFonts w:ascii="Times New Roman" w:hAnsi="Times New Roman" w:cs="Times New Roman"/>
          <w:color w:val="000000"/>
          <w:sz w:val="18"/>
          <w:szCs w:val="18"/>
        </w:rPr>
        <w:t>道工序，严守食品安全线，打造了以源头控制、质量体系、产品检测为核心的食品安全保证体系，做到批批都检验、全程可追溯，实现对原料、生产、产品的全过程把关。</w:t>
      </w:r>
      <w:r w:rsidRPr="005B5EC1">
        <w:rPr>
          <w:rFonts w:ascii="Times New Roman" w:hAnsi="Times New Roman" w:cs="Times New Roman"/>
          <w:color w:val="000000"/>
          <w:sz w:val="18"/>
          <w:szCs w:val="18"/>
        </w:rPr>
        <w:t>2024</w:t>
      </w:r>
      <w:r w:rsidRPr="005B5EC1">
        <w:rPr>
          <w:rFonts w:ascii="Times New Roman" w:hAnsi="Times New Roman" w:cs="Times New Roman"/>
          <w:color w:val="000000"/>
          <w:sz w:val="18"/>
          <w:szCs w:val="18"/>
        </w:rPr>
        <w:t>年</w:t>
      </w:r>
      <w:r w:rsidRPr="005B5EC1">
        <w:rPr>
          <w:rFonts w:ascii="Times New Roman" w:hAnsi="Times New Roman" w:cs="Times New Roman"/>
          <w:color w:val="000000"/>
          <w:sz w:val="18"/>
          <w:szCs w:val="18"/>
        </w:rPr>
        <w:t>12</w:t>
      </w:r>
      <w:r w:rsidRPr="005B5EC1">
        <w:rPr>
          <w:rFonts w:ascii="Times New Roman" w:hAnsi="Times New Roman" w:cs="Times New Roman"/>
          <w:color w:val="000000"/>
          <w:sz w:val="18"/>
          <w:szCs w:val="18"/>
        </w:rPr>
        <w:t>月，龙大美食养殖事业部、生食事业部及莱阳生食工厂联动，共同完成了无抗产品以及无抗黑猪产品的认证工作，并将无抗产品推向市场，无抗产品的推动落地是食品安全举措的重要体现，</w:t>
      </w:r>
      <w:r w:rsidRPr="005B5EC1">
        <w:rPr>
          <w:rFonts w:ascii="Times New Roman" w:hAnsi="Times New Roman" w:cs="Times New Roman"/>
          <w:color w:val="000000"/>
          <w:sz w:val="18"/>
          <w:szCs w:val="18"/>
        </w:rPr>
        <w:lastRenderedPageBreak/>
        <w:t>产品由原来的整片包装更换切段包装（一切三），在切片优化利用上优化包装形式，成品出成率相比提升</w:t>
      </w:r>
      <w:r w:rsidRPr="005B5EC1">
        <w:rPr>
          <w:rFonts w:ascii="Times New Roman" w:hAnsi="Times New Roman" w:cs="Times New Roman"/>
          <w:color w:val="000000"/>
          <w:sz w:val="18"/>
          <w:szCs w:val="18"/>
        </w:rPr>
        <w:t>3%</w:t>
      </w:r>
      <w:r w:rsidRPr="005B5EC1">
        <w:rPr>
          <w:rFonts w:ascii="Times New Roman" w:hAnsi="Times New Roman" w:cs="Times New Roman"/>
          <w:color w:val="000000"/>
          <w:sz w:val="18"/>
          <w:szCs w:val="18"/>
        </w:rPr>
        <w:t>。公司设立下属企业烟台杰科检测服务有限公司，具有中国实验室国家认可委员会认可和检验检测机构资质认定，是专业从事食品安全检测的国家级检测机构，负责公司原料、半成品、成品和辅料等全方位检测。</w:t>
      </w:r>
    </w:p>
    <w:p w14:paraId="434EBE91"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color w:val="000000"/>
          <w:sz w:val="18"/>
          <w:szCs w:val="18"/>
        </w:rPr>
        <w:t>6</w:t>
      </w:r>
      <w:r w:rsidRPr="005B5EC1">
        <w:rPr>
          <w:rFonts w:ascii="Times New Roman" w:hAnsi="Times New Roman" w:cs="Times New Roman"/>
          <w:color w:val="000000"/>
          <w:sz w:val="18"/>
          <w:szCs w:val="18"/>
        </w:rPr>
        <w:t>、公益慈善</w:t>
      </w:r>
    </w:p>
    <w:p w14:paraId="3EF18755" w14:textId="77777777" w:rsidR="00AF139E" w:rsidRPr="005B5EC1" w:rsidRDefault="00000000" w:rsidP="00897D40">
      <w:pPr>
        <w:pStyle w:val="a3"/>
        <w:spacing w:before="0" w:beforeAutospacing="0" w:after="0" w:afterAutospacing="0" w:line="276" w:lineRule="auto"/>
        <w:ind w:firstLineChars="200" w:firstLine="360"/>
        <w:jc w:val="both"/>
        <w:divId w:val="2026902845"/>
        <w:rPr>
          <w:rFonts w:ascii="Times New Roman" w:hAnsi="Times New Roman" w:cs="Times New Roman"/>
        </w:rPr>
      </w:pPr>
      <w:r w:rsidRPr="005B5EC1">
        <w:rPr>
          <w:rFonts w:ascii="Times New Roman" w:hAnsi="Times New Roman" w:cs="Times New Roman"/>
          <w:sz w:val="18"/>
          <w:szCs w:val="18"/>
        </w:rPr>
        <w:t>公司长期投身于公益慈善事业，坚持帮助社会弱势群体，开展爱心捐赠活动，为建设和谐社会贡献力量。</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7</w:t>
      </w:r>
      <w:r w:rsidRPr="005B5EC1">
        <w:rPr>
          <w:rFonts w:ascii="Times New Roman" w:hAnsi="Times New Roman" w:cs="Times New Roman"/>
          <w:sz w:val="18"/>
          <w:szCs w:val="18"/>
        </w:rPr>
        <w:t>月</w:t>
      </w:r>
      <w:r w:rsidRPr="005B5EC1">
        <w:rPr>
          <w:rFonts w:ascii="Times New Roman" w:hAnsi="Times New Roman" w:cs="Times New Roman"/>
          <w:sz w:val="18"/>
          <w:szCs w:val="18"/>
        </w:rPr>
        <w:t>20</w:t>
      </w:r>
      <w:r w:rsidRPr="005B5EC1">
        <w:rPr>
          <w:rFonts w:ascii="Times New Roman" w:hAnsi="Times New Roman" w:cs="Times New Roman"/>
          <w:sz w:val="18"/>
          <w:szCs w:val="18"/>
        </w:rPr>
        <w:t>日，雅安市汉源县马烈乡新华村突发山洪灾害，导致通信、道路、桥梁中断，灾区群众生活陷入困境。面对这一紧急情况，龙大美食迅速响应，第一时间与汉源县红十字会取得联系，了解灾区物资需求。随后，公司紧急调配了价值</w:t>
      </w:r>
      <w:r w:rsidRPr="005B5EC1">
        <w:rPr>
          <w:rFonts w:ascii="Times New Roman" w:hAnsi="Times New Roman" w:cs="Times New Roman"/>
          <w:sz w:val="18"/>
          <w:szCs w:val="18"/>
        </w:rPr>
        <w:t>30</w:t>
      </w:r>
      <w:r w:rsidRPr="005B5EC1">
        <w:rPr>
          <w:rFonts w:ascii="Times New Roman" w:hAnsi="Times New Roman" w:cs="Times New Roman"/>
          <w:sz w:val="18"/>
          <w:szCs w:val="18"/>
        </w:rPr>
        <w:t>万元的食品物资，并迅速运往灾区，以切实行动贡献爱心和力量。</w:t>
      </w:r>
    </w:p>
    <w:p w14:paraId="52E1ACBB"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92" w:name="_Toc988981"/>
      <w:r w:rsidRPr="005B5EC1">
        <w:rPr>
          <w:rFonts w:ascii="Times New Roman" w:eastAsia="宋体" w:hAnsi="Times New Roman" w:cs="Times New Roman"/>
          <w:b/>
          <w:bCs/>
          <w:sz w:val="24"/>
          <w:szCs w:val="24"/>
        </w:rPr>
        <w:t>三、巩固拓展脱贫攻坚成果、乡村振兴的情况</w:t>
      </w:r>
      <w:bookmarkEnd w:id="92"/>
    </w:p>
    <w:p w14:paraId="36AC6E81" w14:textId="77777777" w:rsidR="00AF139E" w:rsidRPr="005B5EC1" w:rsidRDefault="00000000" w:rsidP="00897D40">
      <w:pPr>
        <w:pStyle w:val="a3"/>
        <w:spacing w:before="0" w:beforeAutospacing="0" w:after="0" w:afterAutospacing="0" w:line="276" w:lineRule="auto"/>
        <w:ind w:firstLineChars="200" w:firstLine="360"/>
        <w:jc w:val="both"/>
        <w:divId w:val="1260214453"/>
        <w:rPr>
          <w:rFonts w:ascii="Times New Roman" w:hAnsi="Times New Roman" w:cs="Times New Roman"/>
          <w:sz w:val="18"/>
          <w:szCs w:val="18"/>
        </w:rPr>
      </w:pPr>
      <w:r w:rsidRPr="005B5EC1">
        <w:rPr>
          <w:rFonts w:ascii="Times New Roman" w:hAnsi="Times New Roman" w:cs="Times New Roman"/>
          <w:color w:val="000000"/>
          <w:sz w:val="18"/>
          <w:szCs w:val="18"/>
        </w:rPr>
        <w:t>通过</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公司</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农户</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的生猪养殖模式，有效地将公司的业务和农户增收相结合。为深入推进乡村振兴与生猪稳产保供，公司建立了</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三提供</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两担保</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的养殖扶贫模式，叠加政府一系列助农扶贫政策，带动农户增收致富。</w:t>
      </w:r>
      <w:r w:rsidRPr="005B5EC1">
        <w:rPr>
          <w:rFonts w:ascii="Times New Roman" w:hAnsi="Times New Roman" w:cs="Times New Roman"/>
          <w:color w:val="000000"/>
          <w:sz w:val="18"/>
          <w:szCs w:val="18"/>
        </w:rPr>
        <w:t xml:space="preserve"> “</w:t>
      </w:r>
      <w:r w:rsidRPr="005B5EC1">
        <w:rPr>
          <w:rFonts w:ascii="Times New Roman" w:hAnsi="Times New Roman" w:cs="Times New Roman"/>
          <w:color w:val="000000"/>
          <w:sz w:val="18"/>
          <w:szCs w:val="18"/>
        </w:rPr>
        <w:t>三提供</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是通过引进国内外优质种猪经自我繁育，性状改良优化后，提供品质优良的三元猪猪苗；通过建立完善的供给体系，</w:t>
      </w:r>
      <w:r w:rsidRPr="005B5EC1">
        <w:rPr>
          <w:rFonts w:ascii="Times New Roman" w:hAnsi="Times New Roman" w:cs="Times New Roman"/>
          <w:color w:val="000000"/>
          <w:sz w:val="18"/>
          <w:szCs w:val="18"/>
        </w:rPr>
        <w:t>100%</w:t>
      </w:r>
      <w:r w:rsidRPr="005B5EC1">
        <w:rPr>
          <w:rFonts w:ascii="Times New Roman" w:hAnsi="Times New Roman" w:cs="Times New Roman"/>
          <w:color w:val="000000"/>
          <w:sz w:val="18"/>
          <w:szCs w:val="18"/>
        </w:rPr>
        <w:t>统一提供饲料并配送到家；深入农户上门走访，及时提供技术帮带与药品等服务支持，驻场帮助农户改善养殖环境，促进健康养殖。</w:t>
      </w:r>
      <w:r w:rsidRPr="005B5EC1">
        <w:rPr>
          <w:rFonts w:ascii="Times New Roman" w:hAnsi="Times New Roman" w:cs="Times New Roman"/>
          <w:color w:val="000000"/>
          <w:sz w:val="18"/>
          <w:szCs w:val="18"/>
        </w:rPr>
        <w:t xml:space="preserve"> “</w:t>
      </w:r>
      <w:r w:rsidRPr="005B5EC1">
        <w:rPr>
          <w:rFonts w:ascii="Times New Roman" w:hAnsi="Times New Roman" w:cs="Times New Roman"/>
          <w:color w:val="000000"/>
          <w:sz w:val="18"/>
          <w:szCs w:val="18"/>
        </w:rPr>
        <w:t>两担保</w:t>
      </w:r>
      <w:r w:rsidRPr="005B5EC1">
        <w:rPr>
          <w:rFonts w:ascii="Times New Roman" w:hAnsi="Times New Roman" w:cs="Times New Roman"/>
          <w:color w:val="000000"/>
          <w:sz w:val="18"/>
          <w:szCs w:val="18"/>
        </w:rPr>
        <w:t>”</w:t>
      </w:r>
      <w:r w:rsidRPr="005B5EC1">
        <w:rPr>
          <w:rFonts w:ascii="Times New Roman" w:hAnsi="Times New Roman" w:cs="Times New Roman"/>
          <w:color w:val="000000"/>
          <w:sz w:val="18"/>
          <w:szCs w:val="18"/>
        </w:rPr>
        <w:t>是通过回收担保，对养殖场户实行生猪</w:t>
      </w:r>
      <w:r w:rsidRPr="005B5EC1">
        <w:rPr>
          <w:rFonts w:ascii="Times New Roman" w:hAnsi="Times New Roman" w:cs="Times New Roman"/>
          <w:color w:val="000000"/>
          <w:sz w:val="18"/>
          <w:szCs w:val="18"/>
        </w:rPr>
        <w:t>100%</w:t>
      </w:r>
      <w:r w:rsidRPr="005B5EC1">
        <w:rPr>
          <w:rFonts w:ascii="Times New Roman" w:hAnsi="Times New Roman" w:cs="Times New Roman"/>
          <w:color w:val="000000"/>
          <w:sz w:val="18"/>
          <w:szCs w:val="18"/>
        </w:rPr>
        <w:t>回购，并以全产业协同发展的优势，立足于产业资源统筹，充分打通了生产加工、物流运输与终端销售服务等环节，在做好农产品产销对接基础上，突出消费扶贫的作用，让养殖户无后顾之忧的同时，也带动农业升级增效，促进农民增收创收。在面对农业养殖行业融资难、融资渠道窄等问题，为切实帮助养殖户解决资金问题，公司积极了解农户发展生猪养殖方面的资金需求，助力农户对接银行，有效解决了农产业发展中资金短缺问题。</w:t>
      </w:r>
    </w:p>
    <w:p w14:paraId="10182C46"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0A673201"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93" w:name="_Toc988982"/>
      <w:r w:rsidRPr="005B5EC1">
        <w:rPr>
          <w:rFonts w:ascii="Times New Roman" w:eastAsia="宋体" w:hAnsi="Times New Roman" w:cs="Times New Roman"/>
          <w:b/>
          <w:bCs/>
          <w:sz w:val="32"/>
          <w:szCs w:val="32"/>
        </w:rPr>
        <w:lastRenderedPageBreak/>
        <w:t>第六节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重要事项</w:t>
      </w:r>
      <w:bookmarkEnd w:id="93"/>
    </w:p>
    <w:p w14:paraId="33F60929"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94" w:name="_Toc988983"/>
      <w:r w:rsidRPr="005B5EC1">
        <w:rPr>
          <w:rFonts w:ascii="Times New Roman" w:eastAsia="宋体" w:hAnsi="Times New Roman" w:cs="Times New Roman"/>
          <w:b/>
          <w:bCs/>
          <w:sz w:val="24"/>
          <w:szCs w:val="24"/>
        </w:rPr>
        <w:t>一、承诺事项履行情况</w:t>
      </w:r>
      <w:bookmarkEnd w:id="94"/>
    </w:p>
    <w:p w14:paraId="00CA3799" w14:textId="77777777" w:rsidR="00E32FE0" w:rsidRPr="005B5EC1" w:rsidRDefault="00000000">
      <w:pPr>
        <w:pStyle w:val="3"/>
        <w:spacing w:line="280" w:lineRule="exact"/>
        <w:jc w:val="left"/>
        <w:rPr>
          <w:rFonts w:ascii="Times New Roman" w:hAnsi="Times New Roman" w:cs="Times New Roman"/>
          <w:b/>
          <w:bCs/>
        </w:rPr>
      </w:pPr>
      <w:bookmarkStart w:id="95" w:name="_Toc988984"/>
      <w:r w:rsidRPr="005B5EC1">
        <w:rPr>
          <w:rFonts w:ascii="Times New Roman" w:hAnsi="Times New Roman" w:cs="Times New Roman"/>
          <w:b/>
          <w:bCs/>
        </w:rPr>
        <w:t>1</w:t>
      </w:r>
      <w:r w:rsidRPr="005B5EC1">
        <w:rPr>
          <w:rFonts w:ascii="Times New Roman" w:hAnsi="Times New Roman" w:cs="Times New Roman"/>
          <w:b/>
          <w:bCs/>
        </w:rPr>
        <w:t>、公司实际控制人、股东、关联方、收购人以及公司等承诺相关方在报告期内履行完毕及截至报告期末尚未履行完毕的承诺事项</w:t>
      </w:r>
      <w:bookmarkEnd w:id="95"/>
    </w:p>
    <w:p w14:paraId="68C3A9E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083"/>
        <w:gridCol w:w="1134"/>
        <w:gridCol w:w="993"/>
        <w:gridCol w:w="3685"/>
        <w:gridCol w:w="992"/>
        <w:gridCol w:w="851"/>
        <w:gridCol w:w="901"/>
      </w:tblGrid>
      <w:tr w:rsidR="00E32FE0" w:rsidRPr="005B5EC1" w14:paraId="1850E2EC"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355A853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承诺事由</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CB4B8E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承诺方</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C25C19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承诺类型</w:t>
            </w:r>
          </w:p>
        </w:tc>
        <w:tc>
          <w:tcPr>
            <w:tcW w:w="3685" w:type="dxa"/>
            <w:tcBorders>
              <w:top w:val="single" w:sz="2" w:space="0" w:color="auto"/>
              <w:left w:val="single" w:sz="2" w:space="0" w:color="auto"/>
              <w:bottom w:val="single" w:sz="2" w:space="0" w:color="auto"/>
              <w:right w:val="single" w:sz="2" w:space="0" w:color="auto"/>
            </w:tcBorders>
            <w:shd w:val="clear" w:color="auto" w:fill="D3D3D3"/>
            <w:vAlign w:val="center"/>
          </w:tcPr>
          <w:p w14:paraId="7F81ACA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承诺内容</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CC87B6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承诺时间</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2233BD7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承诺期限</w:t>
            </w:r>
          </w:p>
        </w:tc>
        <w:tc>
          <w:tcPr>
            <w:tcW w:w="901" w:type="dxa"/>
            <w:tcBorders>
              <w:top w:val="single" w:sz="2" w:space="0" w:color="auto"/>
              <w:left w:val="single" w:sz="2" w:space="0" w:color="auto"/>
              <w:bottom w:val="single" w:sz="2" w:space="0" w:color="auto"/>
              <w:right w:val="single" w:sz="2" w:space="0" w:color="auto"/>
            </w:tcBorders>
            <w:shd w:val="clear" w:color="auto" w:fill="D3D3D3"/>
            <w:vAlign w:val="center"/>
          </w:tcPr>
          <w:p w14:paraId="35F8794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履行情况</w:t>
            </w:r>
          </w:p>
        </w:tc>
      </w:tr>
      <w:tr w:rsidR="00E32FE0" w:rsidRPr="005B5EC1" w14:paraId="43C3104D"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721E3A9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收购报告书或权益变动报告书中所作承诺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0CB9CDC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戴学斌</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董翔</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蓝润发展控股集团有限公司</w:t>
            </w:r>
          </w:p>
        </w:tc>
        <w:tc>
          <w:tcPr>
            <w:tcW w:w="993" w:type="dxa"/>
            <w:tcBorders>
              <w:top w:val="single" w:sz="2" w:space="0" w:color="auto"/>
              <w:left w:val="single" w:sz="2" w:space="0" w:color="auto"/>
              <w:bottom w:val="single" w:sz="2" w:space="0" w:color="auto"/>
              <w:right w:val="single" w:sz="2" w:space="0" w:color="auto"/>
            </w:tcBorders>
            <w:vAlign w:val="center"/>
          </w:tcPr>
          <w:p w14:paraId="4F1823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关于同业竞争、关联交易、资金占用方面的承诺</w:t>
            </w:r>
          </w:p>
        </w:tc>
        <w:tc>
          <w:tcPr>
            <w:tcW w:w="3685" w:type="dxa"/>
            <w:tcBorders>
              <w:top w:val="single" w:sz="2" w:space="0" w:color="auto"/>
              <w:left w:val="single" w:sz="2" w:space="0" w:color="auto"/>
              <w:bottom w:val="single" w:sz="2" w:space="0" w:color="auto"/>
              <w:right w:val="single" w:sz="2" w:space="0" w:color="auto"/>
            </w:tcBorders>
            <w:vAlign w:val="center"/>
          </w:tcPr>
          <w:p w14:paraId="6C275D17"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本人承诺未来从事的与上市公司存在同业竞争的项目将仅限于四川省巴中市、达州市、南充市三市的生猪养殖项目；</w:t>
            </w:r>
          </w:p>
          <w:p w14:paraId="3D2B3052"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、上述生猪养殖项目实施过程中，资金来源为自有资金或自筹资金，不会占用上市公司及其控股子公司资金，亦不会让上市公司及其控股子公司提供担保；</w:t>
            </w:r>
          </w:p>
          <w:p w14:paraId="3CE98218"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、上述项目建成投产后，本公司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将尽量避免上述生猪养殖项目实施主体与上市公司之间的关联交易；对于无法避免或者有合理原因而发生的关联交易，上述生猪养殖项目实施主体将根据有关法律、法规和规范性文件以及公司章程的规定，遵循平等、自愿、等价和有偿的一般商业原则，与上市公司签订关联交易协议，并确保关联交易的价格公允，原则上不偏离市场独立第三方的价格或收费的标准，以维护上市公司及其中小股东的利益；</w:t>
            </w:r>
          </w:p>
          <w:p w14:paraId="6530B76C"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、上述生猪养殖项目的经营主体为五仓农牧集团有限公司及其下属各地子公司。在上述项目建设完成，且项目经营主体五仓农牧符合注入上市公司条件后</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年内，本公司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本人承诺将五仓农牧按法定程序以市场公允价格注入上市公司，若上市公司明确放弃上述收购权利，则本公司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本人将采取向无关联第三方转让五仓农牧股权等方式妥善解决同业竞争；当同时满足以下条件时，五仓农牧将视为符合前述所约定的资产注入条件：</w:t>
            </w:r>
          </w:p>
          <w:p w14:paraId="18F988DF"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）生产经营符合法律、行政法规和公司章程的规定，符合国家产业政策和有关环境保护、土地管理、反垄断等法律和行政法规的规定；</w:t>
            </w:r>
          </w:p>
          <w:p w14:paraId="3804964C"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）所涉及的股权权属清晰，股权过户或者转移不存在法律障碍，相关债权债务处理合法；</w:t>
            </w:r>
          </w:p>
          <w:p w14:paraId="2306BFCC"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）五仓农牧最近一年实现的扣除非经常性损益后归属于母公司股东净利润（合并口径）为正，上述财务数据需经具有证券资格的会计师事务所审计；</w:t>
            </w:r>
          </w:p>
          <w:p w14:paraId="54F8B4F3"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）符合相关法律法规及规范性文件、证券监管机构的相关监管要求；</w:t>
            </w:r>
          </w:p>
          <w:p w14:paraId="64429ED3"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本人承诺最迟不超过</w:t>
            </w: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日前完成将五仓农牧的股权注入上市公司的协议签署，在上市公司明确放弃上述收购权利时，最迟不超过</w:t>
            </w: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日前向无关联第三方转让五仓农牧股权；</w:t>
            </w:r>
          </w:p>
          <w:p w14:paraId="6AD3E89B"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本人及本公司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本人控制的除上市公司外的其他成员因违反前述声明、承诺而获得的收益由上市公司享有，如造成上市公司经济损失的，本公司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本人同意赔偿上市公司相应损失；</w:t>
            </w:r>
          </w:p>
          <w:p w14:paraId="5E8F67FC"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、本公司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本人分别于</w:t>
            </w: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日作出的《关于避免同业竞争的承诺》中与本承诺内容不一致的，以本承诺内容为准；除上述情况外，其余承诺内容均继续履行。</w:t>
            </w:r>
          </w:p>
        </w:tc>
        <w:tc>
          <w:tcPr>
            <w:tcW w:w="992" w:type="dxa"/>
            <w:tcBorders>
              <w:top w:val="single" w:sz="2" w:space="0" w:color="auto"/>
              <w:left w:val="single" w:sz="2" w:space="0" w:color="auto"/>
              <w:bottom w:val="single" w:sz="2" w:space="0" w:color="auto"/>
              <w:right w:val="single" w:sz="2" w:space="0" w:color="auto"/>
            </w:tcBorders>
            <w:vAlign w:val="center"/>
          </w:tcPr>
          <w:p w14:paraId="3E951B1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793E2F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w:t>
            </w:r>
          </w:p>
        </w:tc>
        <w:tc>
          <w:tcPr>
            <w:tcW w:w="901" w:type="dxa"/>
            <w:tcBorders>
              <w:top w:val="single" w:sz="2" w:space="0" w:color="auto"/>
              <w:left w:val="single" w:sz="2" w:space="0" w:color="auto"/>
              <w:bottom w:val="single" w:sz="2" w:space="0" w:color="auto"/>
              <w:right w:val="single" w:sz="2" w:space="0" w:color="auto"/>
            </w:tcBorders>
            <w:vAlign w:val="center"/>
          </w:tcPr>
          <w:p w14:paraId="61A9A24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正常履行中</w:t>
            </w:r>
          </w:p>
        </w:tc>
      </w:tr>
      <w:tr w:rsidR="00E32FE0" w:rsidRPr="005B5EC1" w14:paraId="49CDC166"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2D552EA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收购报告书或权益变动报告书中所作承诺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37EB2D2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993" w:type="dxa"/>
            <w:tcBorders>
              <w:top w:val="single" w:sz="2" w:space="0" w:color="auto"/>
              <w:left w:val="single" w:sz="2" w:space="0" w:color="auto"/>
              <w:bottom w:val="single" w:sz="2" w:space="0" w:color="auto"/>
              <w:right w:val="single" w:sz="2" w:space="0" w:color="auto"/>
            </w:tcBorders>
            <w:vAlign w:val="center"/>
          </w:tcPr>
          <w:p w14:paraId="543040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关于同业竞争、关联交易、资金占用方面的承诺</w:t>
            </w:r>
          </w:p>
        </w:tc>
        <w:tc>
          <w:tcPr>
            <w:tcW w:w="3685" w:type="dxa"/>
            <w:tcBorders>
              <w:top w:val="single" w:sz="2" w:space="0" w:color="auto"/>
              <w:left w:val="single" w:sz="2" w:space="0" w:color="auto"/>
              <w:bottom w:val="single" w:sz="2" w:space="0" w:color="auto"/>
              <w:right w:val="single" w:sz="2" w:space="0" w:color="auto"/>
            </w:tcBorders>
            <w:vAlign w:val="center"/>
          </w:tcPr>
          <w:p w14:paraId="5A3020AC"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为规范和解决同业竞争问题，本公司做出如下承诺：</w:t>
            </w:r>
          </w:p>
          <w:p w14:paraId="03623F0E"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、本公司拥有上市公司控制权期间，本公司不会利用自身的控制地位限制上市公司正常的商业机会，不进行损害上市公司及其他股东利益的经营活动。</w:t>
            </w:r>
          </w:p>
          <w:p w14:paraId="6B19A405"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公司拥有上市公司控制权期间，无论何种原因，若本公司获得有关与上市公司具有直接竞争关系的投资、开发及经营机会，本公司承诺上市公司优先享有上述投资、开发及经营机会。若上市公司放弃上述投资、开发及经营机会，则本公司可以先行进行投资、开发及经营，或与上市公司共同进行投资、开发及经营（本公司控股、上市公司参股），并承诺在前述先行投资、开发及经营的业务和资产规范运作、符合资产注入上市公司条件的前提下，将该等业务和资产按法定程序以市场公允价格注入上市公司，若上市公司明确放弃上述收购权利，则本公司将采取托管给上市公司或向无关联第三方转让该等业务和资产的方式妥善解决同业竞争。</w:t>
            </w:r>
          </w:p>
          <w:p w14:paraId="51B64CE6"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截止本承诺函出具日，本公司下属公司已与万源市人民政府签署了生猪养殖及深加工项目投资的相关协议，拟在万源市辖区内，新建生猪集中养殖区，在万源市工业园区等地新建饲料、猪肉制品、仓储等配套设施的加工区；同时，本公司已分别在巴中市、达州市开展了两个生猪养殖、猪肉制品等拟投资项目的前期研判和可行性分析，与属地政府已达成初步合作意向，待政府通过审批后，拟进入协议签署阶段。</w:t>
            </w:r>
          </w:p>
          <w:p w14:paraId="59B101C6"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就上述拟投资新建的同业竞争业务，由上市公司优先享有投资、开发和经营的机会，如</w:t>
            </w:r>
            <w:r w:rsidRPr="005B5EC1">
              <w:rPr>
                <w:rFonts w:ascii="Times New Roman" w:eastAsia="宋体" w:hAnsi="Times New Roman" w:cs="Times New Roman"/>
                <w:sz w:val="18"/>
                <w:szCs w:val="18"/>
              </w:rPr>
              <w:lastRenderedPageBreak/>
              <w:t>上市公司放弃该等机会，则由本公司先行进行投资，且本公司承诺将在上述投资建设项目建设完成并按照相关法律法规促使上述投资项目符合注入上市公司条件时（最长期限不超过本公司成为上市公司控股股东之日起</w:t>
            </w: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年），将该等业务和资产按法定程序以市场公允价格注入上市公司，若上市公司明确放弃上述收购权利，则本公司将采取托管给上市公司或向无关联第三方转让该等业务和资产的方式妥善解决同业竞争。</w:t>
            </w:r>
          </w:p>
          <w:p w14:paraId="769DEA2F"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、本公司拥有上市公司控制权期间，除上述需要解决的潜在同业竞争外，本公司将依法采取必要及可能的措施避免发生与上市公司及其控制的企业构成潜在同业竞争的业务或活动。</w:t>
            </w:r>
          </w:p>
          <w:p w14:paraId="232E0470"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、本公司在避免和解决潜在同业竞争方面所做的各项承诺，同样适用于本公司直接或间接控制的其他企业。本公司有义务督促并确保上述其他企业执行本文件所述各事项安排并严格遵守全部承诺。</w:t>
            </w:r>
          </w:p>
        </w:tc>
        <w:tc>
          <w:tcPr>
            <w:tcW w:w="992" w:type="dxa"/>
            <w:tcBorders>
              <w:top w:val="single" w:sz="2" w:space="0" w:color="auto"/>
              <w:left w:val="single" w:sz="2" w:space="0" w:color="auto"/>
              <w:bottom w:val="single" w:sz="2" w:space="0" w:color="auto"/>
              <w:right w:val="single" w:sz="2" w:space="0" w:color="auto"/>
            </w:tcBorders>
            <w:vAlign w:val="center"/>
          </w:tcPr>
          <w:p w14:paraId="376CFDC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6B51756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w:t>
            </w:r>
          </w:p>
        </w:tc>
        <w:tc>
          <w:tcPr>
            <w:tcW w:w="901" w:type="dxa"/>
            <w:tcBorders>
              <w:top w:val="single" w:sz="2" w:space="0" w:color="auto"/>
              <w:left w:val="single" w:sz="2" w:space="0" w:color="auto"/>
              <w:bottom w:val="single" w:sz="2" w:space="0" w:color="auto"/>
              <w:right w:val="single" w:sz="2" w:space="0" w:color="auto"/>
            </w:tcBorders>
            <w:vAlign w:val="center"/>
          </w:tcPr>
          <w:p w14:paraId="2F1167F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正常履行中</w:t>
            </w:r>
          </w:p>
        </w:tc>
      </w:tr>
      <w:tr w:rsidR="00E32FE0" w:rsidRPr="005B5EC1" w14:paraId="6E1EDAB7"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7581440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收购报告书或权益变动报告书中所作承诺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7B1B1E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993" w:type="dxa"/>
            <w:tcBorders>
              <w:top w:val="single" w:sz="2" w:space="0" w:color="auto"/>
              <w:left w:val="single" w:sz="2" w:space="0" w:color="auto"/>
              <w:bottom w:val="single" w:sz="2" w:space="0" w:color="auto"/>
              <w:right w:val="single" w:sz="2" w:space="0" w:color="auto"/>
            </w:tcBorders>
            <w:vAlign w:val="center"/>
          </w:tcPr>
          <w:p w14:paraId="5A7788B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关于同业竞争、关联交易、资金占用方面的承诺</w:t>
            </w:r>
          </w:p>
        </w:tc>
        <w:tc>
          <w:tcPr>
            <w:tcW w:w="3685" w:type="dxa"/>
            <w:tcBorders>
              <w:top w:val="single" w:sz="2" w:space="0" w:color="auto"/>
              <w:left w:val="single" w:sz="2" w:space="0" w:color="auto"/>
              <w:bottom w:val="single" w:sz="2" w:space="0" w:color="auto"/>
              <w:right w:val="single" w:sz="2" w:space="0" w:color="auto"/>
            </w:tcBorders>
            <w:vAlign w:val="center"/>
          </w:tcPr>
          <w:p w14:paraId="36C57E2C"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为减少和规范未来可能存在的关联交易，本公司作出如下承诺：</w:t>
            </w:r>
          </w:p>
          <w:p w14:paraId="51862AB6"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本公司将尽量减少并规范与上市公司之间的关联交易。对于无法避免或有合理原因而发生的关联交易，本公司及本公司的关联方将在严格遵循市场公开、公平、公正的原则基础上以公允、合理的市场价格进行，并根据有关法律、法规及规范性文件的规定履行关联交易决策程序，依法履行信息披露义务，以保证上市公司的利益不受损害。</w:t>
            </w:r>
          </w:p>
          <w:p w14:paraId="232161F5"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如违反上述承诺，本公司愿意承担由此产生的全部责任，充分赔偿或补偿由此给上市公司造成的所有直接或间接损失。</w:t>
            </w:r>
          </w:p>
        </w:tc>
        <w:tc>
          <w:tcPr>
            <w:tcW w:w="992" w:type="dxa"/>
            <w:tcBorders>
              <w:top w:val="single" w:sz="2" w:space="0" w:color="auto"/>
              <w:left w:val="single" w:sz="2" w:space="0" w:color="auto"/>
              <w:bottom w:val="single" w:sz="2" w:space="0" w:color="auto"/>
              <w:right w:val="single" w:sz="2" w:space="0" w:color="auto"/>
            </w:tcBorders>
            <w:vAlign w:val="center"/>
          </w:tcPr>
          <w:p w14:paraId="52B7C5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6F27573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w:t>
            </w:r>
          </w:p>
        </w:tc>
        <w:tc>
          <w:tcPr>
            <w:tcW w:w="901" w:type="dxa"/>
            <w:tcBorders>
              <w:top w:val="single" w:sz="2" w:space="0" w:color="auto"/>
              <w:left w:val="single" w:sz="2" w:space="0" w:color="auto"/>
              <w:bottom w:val="single" w:sz="2" w:space="0" w:color="auto"/>
              <w:right w:val="single" w:sz="2" w:space="0" w:color="auto"/>
            </w:tcBorders>
            <w:vAlign w:val="center"/>
          </w:tcPr>
          <w:p w14:paraId="534A8D6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正常履行中</w:t>
            </w:r>
          </w:p>
        </w:tc>
      </w:tr>
      <w:tr w:rsidR="00E32FE0" w:rsidRPr="005B5EC1" w14:paraId="1876B107"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30B990D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收购报告书或权益变动报告书中所作承诺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59F5A9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993" w:type="dxa"/>
            <w:tcBorders>
              <w:top w:val="single" w:sz="2" w:space="0" w:color="auto"/>
              <w:left w:val="single" w:sz="2" w:space="0" w:color="auto"/>
              <w:bottom w:val="single" w:sz="2" w:space="0" w:color="auto"/>
              <w:right w:val="single" w:sz="2" w:space="0" w:color="auto"/>
            </w:tcBorders>
            <w:vAlign w:val="center"/>
          </w:tcPr>
          <w:p w14:paraId="406D91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其他承诺</w:t>
            </w:r>
          </w:p>
        </w:tc>
        <w:tc>
          <w:tcPr>
            <w:tcW w:w="3685" w:type="dxa"/>
            <w:tcBorders>
              <w:top w:val="single" w:sz="2" w:space="0" w:color="auto"/>
              <w:left w:val="single" w:sz="2" w:space="0" w:color="auto"/>
              <w:bottom w:val="single" w:sz="2" w:space="0" w:color="auto"/>
              <w:right w:val="single" w:sz="2" w:space="0" w:color="auto"/>
            </w:tcBorders>
            <w:vAlign w:val="center"/>
          </w:tcPr>
          <w:p w14:paraId="4669EB4A"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本公司取得龙大肉食股份后，为了保持上市公司独立性，本公司作出以下承诺：</w:t>
            </w:r>
          </w:p>
          <w:p w14:paraId="687441B5"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、人员独立</w:t>
            </w:r>
            <w:r w:rsidRPr="005B5EC1">
              <w:rPr>
                <w:rFonts w:ascii="Times New Roman" w:eastAsia="宋体" w:hAnsi="Times New Roman" w:cs="Times New Roman"/>
                <w:sz w:val="18"/>
                <w:szCs w:val="18"/>
              </w:rPr>
              <w:t xml:space="preserve"> </w:t>
            </w:r>
          </w:p>
          <w:p w14:paraId="4F09B610"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）保证上市公司总经理、副总经理、财务负责人、董事会秘书等高级管理人员专职在上市公司工作，并在上市公司领取薪酬，不在本公司及本公司控制的其他企业兼职担任高级管理人员。</w:t>
            </w:r>
          </w:p>
          <w:p w14:paraId="429A6093"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）保证上市公司的财务人员独立，不在本公司及本公司控制的其他企业中兼职或领取报酬。</w:t>
            </w:r>
          </w:p>
          <w:p w14:paraId="3777BC4C"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）保证上市公司拥有完整独立的劳动、人事及薪酬管理体系，该等体系和本公司及本公司控制的其他企业之间完全独立。</w:t>
            </w:r>
          </w:p>
          <w:p w14:paraId="077F81BC"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）保证本公司未来推荐出任上市公司董事、监事和高级管理人员的人选均通过合法程序进行，本公司不干预上市公司董事会和股东大会做出的人事任免决定。</w:t>
            </w:r>
          </w:p>
          <w:p w14:paraId="41A0BFC5"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w:t>
            </w:r>
            <w:r w:rsidRPr="005B5EC1">
              <w:rPr>
                <w:rFonts w:ascii="Times New Roman" w:eastAsia="宋体" w:hAnsi="Times New Roman" w:cs="Times New Roman"/>
                <w:sz w:val="18"/>
                <w:szCs w:val="18"/>
              </w:rPr>
              <w:t>、资产独立</w:t>
            </w:r>
            <w:r w:rsidRPr="005B5EC1">
              <w:rPr>
                <w:rFonts w:ascii="Times New Roman" w:eastAsia="宋体" w:hAnsi="Times New Roman" w:cs="Times New Roman"/>
                <w:sz w:val="18"/>
                <w:szCs w:val="18"/>
              </w:rPr>
              <w:t xml:space="preserve"> </w:t>
            </w:r>
          </w:p>
          <w:p w14:paraId="4EE9C46E"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）保证上市公司及其子公司资产的独立完整。</w:t>
            </w:r>
          </w:p>
          <w:p w14:paraId="79217DF5"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）保证本公司及本公司控制的其他企业不违规占用上市公司及其子公司资产、资金及其他资源。</w:t>
            </w:r>
          </w:p>
          <w:p w14:paraId="14EA2395"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）保证不以上市公司的资产为本公司及本公司控制的其他企业的债务违规提供担保。</w:t>
            </w:r>
          </w:p>
          <w:p w14:paraId="7563BD1A"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、财务独立</w:t>
            </w:r>
            <w:r w:rsidRPr="005B5EC1">
              <w:rPr>
                <w:rFonts w:ascii="Times New Roman" w:eastAsia="宋体" w:hAnsi="Times New Roman" w:cs="Times New Roman"/>
                <w:sz w:val="18"/>
                <w:szCs w:val="18"/>
              </w:rPr>
              <w:t xml:space="preserve"> </w:t>
            </w:r>
          </w:p>
          <w:p w14:paraId="0E5A9492"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）保证上市公司及其子公司设置独立的财务会计部门和拥有独立的财务核算体系和财务管理制度。</w:t>
            </w:r>
            <w:r w:rsidRPr="005B5EC1">
              <w:rPr>
                <w:rFonts w:ascii="Times New Roman" w:eastAsia="宋体" w:hAnsi="Times New Roman" w:cs="Times New Roman"/>
                <w:sz w:val="18"/>
                <w:szCs w:val="18"/>
              </w:rPr>
              <w:t xml:space="preserve"> </w:t>
            </w:r>
          </w:p>
          <w:p w14:paraId="44025DE9"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）保证上市公司及其子公司在财务决策方面保持独立，本公司及本公司控制的其他企业不干涉上市公司及其子公司的资金使用。</w:t>
            </w:r>
            <w:r w:rsidRPr="005B5EC1">
              <w:rPr>
                <w:rFonts w:ascii="Times New Roman" w:eastAsia="宋体" w:hAnsi="Times New Roman" w:cs="Times New Roman"/>
                <w:sz w:val="18"/>
                <w:szCs w:val="18"/>
              </w:rPr>
              <w:t xml:space="preserve"> </w:t>
            </w:r>
          </w:p>
          <w:p w14:paraId="29D98851"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）保证上市公司及其子公司保持自己独立的银行账户，不与本公司及本公司控制的其他企业共用一个银行账户。</w:t>
            </w:r>
            <w:r w:rsidRPr="005B5EC1">
              <w:rPr>
                <w:rFonts w:ascii="Times New Roman" w:eastAsia="宋体" w:hAnsi="Times New Roman" w:cs="Times New Roman"/>
                <w:sz w:val="18"/>
                <w:szCs w:val="18"/>
              </w:rPr>
              <w:t xml:space="preserve"> </w:t>
            </w:r>
          </w:p>
          <w:p w14:paraId="194F48A5"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、机构独立</w:t>
            </w:r>
            <w:r w:rsidRPr="005B5EC1">
              <w:rPr>
                <w:rFonts w:ascii="Times New Roman" w:eastAsia="宋体" w:hAnsi="Times New Roman" w:cs="Times New Roman"/>
                <w:sz w:val="18"/>
                <w:szCs w:val="18"/>
              </w:rPr>
              <w:t xml:space="preserve"> </w:t>
            </w:r>
          </w:p>
          <w:p w14:paraId="11A2A4C8"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保证上市公司及其子公司已经建立和完善法人治理结构，并与本公司及本公司控制的其他企业的机构完全分开；保证上市公司及其子公司与本公司及本公司控制的其他企业之间在办公机构和生产经营场所等方面完全分开。</w:t>
            </w:r>
          </w:p>
          <w:p w14:paraId="27984108"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）保证上市公司及其子公司独立自主运作，保证上市公司的股东大会、董事会、独立董事、监事会、高级管理人员等依照法律、法规和公司章程独立行使职权。</w:t>
            </w:r>
          </w:p>
          <w:p w14:paraId="1703A879"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、业务独立</w:t>
            </w:r>
            <w:r w:rsidRPr="005B5EC1">
              <w:rPr>
                <w:rFonts w:ascii="Times New Roman" w:eastAsia="宋体" w:hAnsi="Times New Roman" w:cs="Times New Roman"/>
                <w:sz w:val="18"/>
                <w:szCs w:val="18"/>
              </w:rPr>
              <w:t xml:space="preserve"> </w:t>
            </w:r>
          </w:p>
          <w:p w14:paraId="29DACEB3" w14:textId="468576E8"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保证上市公司及其子公司拥有独立的生产和销售体系；在本次权益变动后拥有独立开展经营活动的资产、人员、资质及已具有独立面向市场自主经营的能力，在产、供、销环节不依赖于本公司及本公司控制的其他企业。</w:t>
            </w:r>
          </w:p>
          <w:p w14:paraId="724F865C" w14:textId="24720DBB"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保证严格控制关联交易事项，尽可能减少上市公司及其子公司与本公司控制的其他企业之间的关联交易。杜绝非法占用上市公司资金、资产的行为，并不要求上市公司及其子公司向本公司及本公司控制的其他企业提供任何形式的担保。对于无法避免的关联交易将本着</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公平、公正、公开</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的原则，与对非关联企业的交易价格保持一致，并及时进行信息披露。确保上市公司与控股股东、实际控制人及其控制的其他企业间不存在显失公平的关联交易。</w:t>
            </w:r>
          </w:p>
          <w:p w14:paraId="6FE265B7"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）保证不通过单独或一致行动途径，以依法行使股东权利以外的任何方式，干预上市公司的重大决策事项，影响上市公司资产、人员、财务、机构、业务的独立性。</w:t>
            </w:r>
          </w:p>
        </w:tc>
        <w:tc>
          <w:tcPr>
            <w:tcW w:w="992" w:type="dxa"/>
            <w:tcBorders>
              <w:top w:val="single" w:sz="2" w:space="0" w:color="auto"/>
              <w:left w:val="single" w:sz="2" w:space="0" w:color="auto"/>
              <w:bottom w:val="single" w:sz="2" w:space="0" w:color="auto"/>
              <w:right w:val="single" w:sz="2" w:space="0" w:color="auto"/>
            </w:tcBorders>
            <w:vAlign w:val="center"/>
          </w:tcPr>
          <w:p w14:paraId="5B6505B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4D98BDB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w:t>
            </w:r>
          </w:p>
        </w:tc>
        <w:tc>
          <w:tcPr>
            <w:tcW w:w="901" w:type="dxa"/>
            <w:tcBorders>
              <w:top w:val="single" w:sz="2" w:space="0" w:color="auto"/>
              <w:left w:val="single" w:sz="2" w:space="0" w:color="auto"/>
              <w:bottom w:val="single" w:sz="2" w:space="0" w:color="auto"/>
              <w:right w:val="single" w:sz="2" w:space="0" w:color="auto"/>
            </w:tcBorders>
            <w:vAlign w:val="center"/>
          </w:tcPr>
          <w:p w14:paraId="77B2912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正常履行中</w:t>
            </w:r>
          </w:p>
        </w:tc>
      </w:tr>
      <w:tr w:rsidR="00E32FE0" w:rsidRPr="005B5EC1" w14:paraId="26052B74"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1C720DC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资产重组时所作承诺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5E870932" w14:textId="77777777" w:rsidR="00E32FE0" w:rsidRPr="005B5EC1" w:rsidRDefault="00E32FE0">
            <w:pPr>
              <w:spacing w:after="0" w:line="240" w:lineRule="exac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D7899B4" w14:textId="77777777" w:rsidR="00E32FE0" w:rsidRPr="005B5EC1" w:rsidRDefault="00E32FE0">
            <w:pPr>
              <w:spacing w:after="0" w:line="240" w:lineRule="exact"/>
              <w:rPr>
                <w:rFonts w:ascii="Times New Roman" w:eastAsia="宋体" w:hAnsi="Times New Roman" w:cs="Times New Roman"/>
                <w:sz w:val="18"/>
                <w:szCs w:val="18"/>
              </w:rPr>
            </w:pPr>
          </w:p>
        </w:tc>
        <w:tc>
          <w:tcPr>
            <w:tcW w:w="3685" w:type="dxa"/>
            <w:tcBorders>
              <w:top w:val="single" w:sz="2" w:space="0" w:color="auto"/>
              <w:left w:val="single" w:sz="2" w:space="0" w:color="auto"/>
              <w:bottom w:val="single" w:sz="2" w:space="0" w:color="auto"/>
              <w:right w:val="single" w:sz="2" w:space="0" w:color="auto"/>
            </w:tcBorders>
            <w:vAlign w:val="center"/>
          </w:tcPr>
          <w:p w14:paraId="16AD86BA" w14:textId="77777777" w:rsidR="00E32FE0" w:rsidRPr="005B5EC1" w:rsidRDefault="00E32FE0" w:rsidP="00ED124D">
            <w:pPr>
              <w:spacing w:after="0" w:line="276" w:lineRule="auto"/>
              <w:jc w:val="both"/>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A165C9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2019</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66EC0B70" w14:textId="77777777" w:rsidR="00E32FE0" w:rsidRPr="005B5EC1" w:rsidRDefault="00E32FE0">
            <w:pPr>
              <w:spacing w:after="0" w:line="240" w:lineRule="exact"/>
              <w:rPr>
                <w:rFonts w:ascii="Times New Roman" w:eastAsia="宋体" w:hAnsi="Times New Roman" w:cs="Times New Roman"/>
                <w:sz w:val="18"/>
                <w:szCs w:val="18"/>
              </w:rPr>
            </w:pPr>
          </w:p>
        </w:tc>
        <w:tc>
          <w:tcPr>
            <w:tcW w:w="901" w:type="dxa"/>
            <w:tcBorders>
              <w:top w:val="single" w:sz="2" w:space="0" w:color="auto"/>
              <w:left w:val="single" w:sz="2" w:space="0" w:color="auto"/>
              <w:bottom w:val="single" w:sz="2" w:space="0" w:color="auto"/>
              <w:right w:val="single" w:sz="2" w:space="0" w:color="auto"/>
            </w:tcBorders>
            <w:vAlign w:val="center"/>
          </w:tcPr>
          <w:p w14:paraId="087FB310"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3D69EB84"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2F60D54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首次公开发行或再融资时所作承诺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30E32A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龙大食品集团有限公司</w:t>
            </w:r>
          </w:p>
        </w:tc>
        <w:tc>
          <w:tcPr>
            <w:tcW w:w="993" w:type="dxa"/>
            <w:tcBorders>
              <w:top w:val="single" w:sz="2" w:space="0" w:color="auto"/>
              <w:left w:val="single" w:sz="2" w:space="0" w:color="auto"/>
              <w:bottom w:val="single" w:sz="2" w:space="0" w:color="auto"/>
              <w:right w:val="single" w:sz="2" w:space="0" w:color="auto"/>
            </w:tcBorders>
            <w:vAlign w:val="center"/>
          </w:tcPr>
          <w:p w14:paraId="15E95B4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股份回购承诺</w:t>
            </w:r>
          </w:p>
        </w:tc>
        <w:tc>
          <w:tcPr>
            <w:tcW w:w="3685" w:type="dxa"/>
            <w:tcBorders>
              <w:top w:val="single" w:sz="2" w:space="0" w:color="auto"/>
              <w:left w:val="single" w:sz="2" w:space="0" w:color="auto"/>
              <w:bottom w:val="single" w:sz="2" w:space="0" w:color="auto"/>
              <w:right w:val="single" w:sz="2" w:space="0" w:color="auto"/>
            </w:tcBorders>
            <w:vAlign w:val="center"/>
          </w:tcPr>
          <w:p w14:paraId="345ECB18"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股份回购承诺内容如下：如发行人招股说明书有虚假记载、误导性陈述或者重大遗漏，对判断发行人是否符合法律规定的发行条件构成重大、实质影响的，本公司将督促发行人依法回购首次公开发行的全部新股，并且本公司将依法购回发行人首次公开发行股票时本公司公开发售的股份。本公司将在中国证监会认定有关违法事实的当日通过公司进行公告，并在上述事项认定后</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个交易日内启动购回事项，采用二级市场集中竞价交易、大宗交易、协议转让或要约收购等方式购回发行人首次公开发行股票时本公司公开发售的股份。本公司承诺按市场价格且不低于发行价格进行回购，如因中国证监会认定有关违法事实导致公司启动股份回购措施时公司股票已经停牌，则回购价格为公司股票停牌前一个交易日平均交易价格（平均交易价格</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当日总成交额</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当日总成交量）且不低于发行价格。公司上市后发生除权除息事项的，上述购回价格及购回股份数量应做相应调整。</w:t>
            </w:r>
          </w:p>
          <w:p w14:paraId="33A22293"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如发行人招股说明书有虚假记载、误导性陈述或者重大遗漏，致使投资者在证券交易中遭受损失的，本公司将依法赔偿投资者损失。在该等违法事实被中国证监会、证券交易所或司法机关认定后，将本着简化程序、积极协商、先行赔付、切实保障投资者特别是中小投资者利益的原则，按照投资者直接遭受的可测算的经济损失选择与投资者和解、通过第三方与投资者调解及设立投资者赔偿基金等方式积极赔偿投资者由此遭受的直接经济损失。</w:t>
            </w:r>
          </w:p>
        </w:tc>
        <w:tc>
          <w:tcPr>
            <w:tcW w:w="992" w:type="dxa"/>
            <w:tcBorders>
              <w:top w:val="single" w:sz="2" w:space="0" w:color="auto"/>
              <w:left w:val="single" w:sz="2" w:space="0" w:color="auto"/>
              <w:bottom w:val="single" w:sz="2" w:space="0" w:color="auto"/>
              <w:right w:val="single" w:sz="2" w:space="0" w:color="auto"/>
            </w:tcBorders>
            <w:vAlign w:val="center"/>
          </w:tcPr>
          <w:p w14:paraId="6E15267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2014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16</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3C724F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w:t>
            </w:r>
          </w:p>
        </w:tc>
        <w:tc>
          <w:tcPr>
            <w:tcW w:w="901" w:type="dxa"/>
            <w:tcBorders>
              <w:top w:val="single" w:sz="2" w:space="0" w:color="auto"/>
              <w:left w:val="single" w:sz="2" w:space="0" w:color="auto"/>
              <w:bottom w:val="single" w:sz="2" w:space="0" w:color="auto"/>
              <w:right w:val="single" w:sz="2" w:space="0" w:color="auto"/>
            </w:tcBorders>
            <w:vAlign w:val="center"/>
          </w:tcPr>
          <w:p w14:paraId="084E42E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正常履行中</w:t>
            </w:r>
          </w:p>
        </w:tc>
      </w:tr>
      <w:tr w:rsidR="00E32FE0" w:rsidRPr="005B5EC1" w14:paraId="4B3100F2"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237CFEF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首次公开发行或再融资时所作承诺</w:t>
            </w:r>
          </w:p>
        </w:tc>
        <w:tc>
          <w:tcPr>
            <w:tcW w:w="1134" w:type="dxa"/>
            <w:tcBorders>
              <w:top w:val="single" w:sz="2" w:space="0" w:color="auto"/>
              <w:left w:val="single" w:sz="2" w:space="0" w:color="auto"/>
              <w:bottom w:val="single" w:sz="2" w:space="0" w:color="auto"/>
              <w:right w:val="single" w:sz="2" w:space="0" w:color="auto"/>
            </w:tcBorders>
            <w:vAlign w:val="center"/>
          </w:tcPr>
          <w:p w14:paraId="0D4F40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董瑞旭</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宫明杰</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宫旭杰</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宫学斌</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郭延亮</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纪鹏斌</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刘惠荣</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刘克连</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秋山刚</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谭喆夫</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土桥晃</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王辉</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王蔚松</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张德润</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赵方胜</w:t>
            </w:r>
          </w:p>
        </w:tc>
        <w:tc>
          <w:tcPr>
            <w:tcW w:w="993" w:type="dxa"/>
            <w:tcBorders>
              <w:top w:val="single" w:sz="2" w:space="0" w:color="auto"/>
              <w:left w:val="single" w:sz="2" w:space="0" w:color="auto"/>
              <w:bottom w:val="single" w:sz="2" w:space="0" w:color="auto"/>
              <w:right w:val="single" w:sz="2" w:space="0" w:color="auto"/>
            </w:tcBorders>
            <w:vAlign w:val="center"/>
          </w:tcPr>
          <w:p w14:paraId="346B1DE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其他承诺</w:t>
            </w:r>
          </w:p>
        </w:tc>
        <w:tc>
          <w:tcPr>
            <w:tcW w:w="3685" w:type="dxa"/>
            <w:tcBorders>
              <w:top w:val="single" w:sz="2" w:space="0" w:color="auto"/>
              <w:left w:val="single" w:sz="2" w:space="0" w:color="auto"/>
              <w:bottom w:val="single" w:sz="2" w:space="0" w:color="auto"/>
              <w:right w:val="single" w:sz="2" w:space="0" w:color="auto"/>
            </w:tcBorders>
            <w:vAlign w:val="center"/>
          </w:tcPr>
          <w:p w14:paraId="0C6652B4"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关于发行人招股书披露瑕疵致使投资者在证券交易中遭受损失的赔偿承诺：如发行人招股说明书有虚假记载、误导性陈述或者重大遗漏，致使投资者在证券交易中遭受损失的，本人将依法赔偿投资者损失。在该等违法事实被中国证监会、证券交易所或司法机关认定后，将本着简化程序、积极协商、先行赔付、切实保障投资者特别是中小投资者利益的原则，按照投资者直接遭受的可测算的经济损失选择与投资者和解、通过第三方与投资者调解及设立投资者赔偿基金等方式积极赔偿投资者由此遭受的直接经济损失。</w:t>
            </w:r>
          </w:p>
          <w:p w14:paraId="4C7F7092" w14:textId="77777777" w:rsidR="00E32FE0" w:rsidRPr="005B5EC1" w:rsidRDefault="00000000" w:rsidP="00ED124D">
            <w:pPr>
              <w:spacing w:after="0" w:line="276" w:lineRule="auto"/>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若本人违反上述承诺，则将在发行人股东大会及中国证监会指定报刊上公开就未履行上述赔偿措施向发行人股东和社会公众投资者道歉，并在违反上述赔偿措施发生之日起</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个工作日内，停止在发行人处领取薪酬（或</w:t>
            </w:r>
            <w:r w:rsidRPr="005B5EC1">
              <w:rPr>
                <w:rFonts w:ascii="Times New Roman" w:eastAsia="宋体" w:hAnsi="Times New Roman" w:cs="Times New Roman"/>
                <w:sz w:val="18"/>
                <w:szCs w:val="18"/>
              </w:rPr>
              <w:lastRenderedPageBreak/>
              <w:t>津贴）及股东分红（如有），同时本人持有的发行人股份（如有）将不得转让，直至本人按上述承诺采取相应的赔偿措施并实施完毕时为止。</w:t>
            </w:r>
          </w:p>
        </w:tc>
        <w:tc>
          <w:tcPr>
            <w:tcW w:w="992" w:type="dxa"/>
            <w:tcBorders>
              <w:top w:val="single" w:sz="2" w:space="0" w:color="auto"/>
              <w:left w:val="single" w:sz="2" w:space="0" w:color="auto"/>
              <w:bottom w:val="single" w:sz="2" w:space="0" w:color="auto"/>
              <w:right w:val="single" w:sz="2" w:space="0" w:color="auto"/>
            </w:tcBorders>
            <w:vAlign w:val="center"/>
          </w:tcPr>
          <w:p w14:paraId="500E7F2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2014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851" w:type="dxa"/>
            <w:tcBorders>
              <w:top w:val="single" w:sz="2" w:space="0" w:color="auto"/>
              <w:left w:val="single" w:sz="2" w:space="0" w:color="auto"/>
              <w:bottom w:val="single" w:sz="2" w:space="0" w:color="auto"/>
              <w:right w:val="single" w:sz="2" w:space="0" w:color="auto"/>
            </w:tcBorders>
            <w:vAlign w:val="center"/>
          </w:tcPr>
          <w:p w14:paraId="5732085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w:t>
            </w:r>
          </w:p>
        </w:tc>
        <w:tc>
          <w:tcPr>
            <w:tcW w:w="901" w:type="dxa"/>
            <w:tcBorders>
              <w:top w:val="single" w:sz="2" w:space="0" w:color="auto"/>
              <w:left w:val="single" w:sz="2" w:space="0" w:color="auto"/>
              <w:bottom w:val="single" w:sz="2" w:space="0" w:color="auto"/>
              <w:right w:val="single" w:sz="2" w:space="0" w:color="auto"/>
            </w:tcBorders>
            <w:vAlign w:val="center"/>
          </w:tcPr>
          <w:p w14:paraId="3577ACE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正常履行中</w:t>
            </w:r>
          </w:p>
        </w:tc>
      </w:tr>
      <w:tr w:rsidR="00E32FE0" w:rsidRPr="005B5EC1" w14:paraId="51EEB213"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31FE146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承诺是否按时履行</w:t>
            </w:r>
          </w:p>
        </w:tc>
        <w:tc>
          <w:tcPr>
            <w:tcW w:w="8556" w:type="dxa"/>
            <w:gridSpan w:val="6"/>
            <w:tcBorders>
              <w:top w:val="single" w:sz="2" w:space="0" w:color="auto"/>
              <w:left w:val="single" w:sz="2" w:space="0" w:color="auto"/>
              <w:bottom w:val="single" w:sz="2" w:space="0" w:color="auto"/>
              <w:right w:val="single" w:sz="2" w:space="0" w:color="auto"/>
            </w:tcBorders>
            <w:vAlign w:val="center"/>
          </w:tcPr>
          <w:p w14:paraId="7B60F6F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23B69161" w14:textId="77777777" w:rsidTr="00ED124D">
        <w:trPr>
          <w:trHeight w:val="240"/>
        </w:trPr>
        <w:tc>
          <w:tcPr>
            <w:tcW w:w="1083" w:type="dxa"/>
            <w:tcBorders>
              <w:top w:val="single" w:sz="2" w:space="0" w:color="auto"/>
              <w:left w:val="single" w:sz="2" w:space="0" w:color="auto"/>
              <w:bottom w:val="single" w:sz="2" w:space="0" w:color="auto"/>
              <w:right w:val="single" w:sz="2" w:space="0" w:color="auto"/>
            </w:tcBorders>
            <w:shd w:val="clear" w:color="auto" w:fill="D3D3D3"/>
            <w:vAlign w:val="center"/>
          </w:tcPr>
          <w:p w14:paraId="4D326F0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如承诺超期未履行完毕的，应当详细说明未完成履行的具体原因及下一步的工作计划</w:t>
            </w:r>
          </w:p>
        </w:tc>
        <w:tc>
          <w:tcPr>
            <w:tcW w:w="8556" w:type="dxa"/>
            <w:gridSpan w:val="6"/>
            <w:tcBorders>
              <w:top w:val="single" w:sz="2" w:space="0" w:color="auto"/>
              <w:left w:val="single" w:sz="2" w:space="0" w:color="auto"/>
              <w:bottom w:val="single" w:sz="2" w:space="0" w:color="auto"/>
              <w:right w:val="single" w:sz="2" w:space="0" w:color="auto"/>
            </w:tcBorders>
            <w:vAlign w:val="center"/>
          </w:tcPr>
          <w:p w14:paraId="22DA172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r>
    </w:tbl>
    <w:p w14:paraId="2DF3ECCA" w14:textId="77777777" w:rsidR="00E32FE0" w:rsidRPr="005B5EC1" w:rsidRDefault="00000000">
      <w:pPr>
        <w:pStyle w:val="3"/>
        <w:spacing w:line="280" w:lineRule="exact"/>
        <w:jc w:val="left"/>
        <w:rPr>
          <w:rFonts w:ascii="Times New Roman" w:hAnsi="Times New Roman" w:cs="Times New Roman"/>
          <w:b/>
          <w:bCs/>
        </w:rPr>
      </w:pPr>
      <w:bookmarkStart w:id="96" w:name="_Toc988985"/>
      <w:r w:rsidRPr="005B5EC1">
        <w:rPr>
          <w:rFonts w:ascii="Times New Roman" w:hAnsi="Times New Roman" w:cs="Times New Roman"/>
          <w:b/>
          <w:bCs/>
        </w:rPr>
        <w:t>2</w:t>
      </w:r>
      <w:r w:rsidRPr="005B5EC1">
        <w:rPr>
          <w:rFonts w:ascii="Times New Roman" w:hAnsi="Times New Roman" w:cs="Times New Roman"/>
          <w:b/>
          <w:bCs/>
        </w:rPr>
        <w:t>、公司资产或项目存在盈利预测，且报告期仍处在盈利预测期间，公司就资产或项目达到原盈利预测及其原因做出说明</w:t>
      </w:r>
      <w:bookmarkEnd w:id="96"/>
    </w:p>
    <w:p w14:paraId="01CFBDD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9B31E14"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97" w:name="_Toc988986"/>
      <w:r w:rsidRPr="005B5EC1">
        <w:rPr>
          <w:rFonts w:ascii="Times New Roman" w:eastAsia="宋体" w:hAnsi="Times New Roman" w:cs="Times New Roman"/>
          <w:b/>
          <w:bCs/>
          <w:sz w:val="24"/>
          <w:szCs w:val="24"/>
        </w:rPr>
        <w:t>二、控股股东及其他关联方对上市公司的非经营性占用资金情况</w:t>
      </w:r>
      <w:bookmarkEnd w:id="97"/>
    </w:p>
    <w:p w14:paraId="07959C7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1A1533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公司报告期不存在控股股东及其他关联方对上市公司的非经营性占用资金。</w:t>
      </w:r>
    </w:p>
    <w:p w14:paraId="7502E6E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98" w:name="_Toc988987"/>
      <w:r w:rsidRPr="005B5EC1">
        <w:rPr>
          <w:rFonts w:ascii="Times New Roman" w:eastAsia="宋体" w:hAnsi="Times New Roman" w:cs="Times New Roman"/>
          <w:b/>
          <w:bCs/>
          <w:sz w:val="24"/>
          <w:szCs w:val="24"/>
        </w:rPr>
        <w:t>三、违规对外担保情况</w:t>
      </w:r>
      <w:bookmarkEnd w:id="98"/>
    </w:p>
    <w:p w14:paraId="0B604DE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898B29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公司报告期无违规对外担保情况。</w:t>
      </w:r>
    </w:p>
    <w:p w14:paraId="65081C60"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99" w:name="_Toc988988"/>
      <w:r w:rsidRPr="005B5EC1">
        <w:rPr>
          <w:rFonts w:ascii="Times New Roman" w:eastAsia="宋体" w:hAnsi="Times New Roman" w:cs="Times New Roman"/>
          <w:b/>
          <w:bCs/>
          <w:sz w:val="24"/>
          <w:szCs w:val="24"/>
        </w:rPr>
        <w:t>四、董事会对最近一期</w:t>
      </w:r>
      <w:r w:rsidRPr="005B5EC1">
        <w:rPr>
          <w:rFonts w:ascii="Times New Roman" w:eastAsia="宋体" w:hAnsi="Times New Roman" w:cs="Times New Roman"/>
          <w:b/>
          <w:bCs/>
          <w:sz w:val="24"/>
          <w:szCs w:val="24"/>
        </w:rPr>
        <w:t>“</w:t>
      </w:r>
      <w:r w:rsidRPr="005B5EC1">
        <w:rPr>
          <w:rFonts w:ascii="Times New Roman" w:eastAsia="宋体" w:hAnsi="Times New Roman" w:cs="Times New Roman"/>
          <w:b/>
          <w:bCs/>
          <w:sz w:val="24"/>
          <w:szCs w:val="24"/>
        </w:rPr>
        <w:t>非标准审计报告</w:t>
      </w:r>
      <w:r w:rsidRPr="005B5EC1">
        <w:rPr>
          <w:rFonts w:ascii="Times New Roman" w:eastAsia="宋体" w:hAnsi="Times New Roman" w:cs="Times New Roman"/>
          <w:b/>
          <w:bCs/>
          <w:sz w:val="24"/>
          <w:szCs w:val="24"/>
        </w:rPr>
        <w:t>”</w:t>
      </w:r>
      <w:r w:rsidRPr="005B5EC1">
        <w:rPr>
          <w:rFonts w:ascii="Times New Roman" w:eastAsia="宋体" w:hAnsi="Times New Roman" w:cs="Times New Roman"/>
          <w:b/>
          <w:bCs/>
          <w:sz w:val="24"/>
          <w:szCs w:val="24"/>
        </w:rPr>
        <w:t>相关情况的说明</w:t>
      </w:r>
      <w:bookmarkEnd w:id="99"/>
    </w:p>
    <w:p w14:paraId="033580B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696DCC5"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0" w:name="_Toc988989"/>
      <w:r w:rsidRPr="005B5EC1">
        <w:rPr>
          <w:rFonts w:ascii="Times New Roman" w:eastAsia="宋体" w:hAnsi="Times New Roman" w:cs="Times New Roman"/>
          <w:b/>
          <w:bCs/>
          <w:sz w:val="24"/>
          <w:szCs w:val="24"/>
        </w:rPr>
        <w:t>五、董事会、监事会、独立董事（如有）对会计师事务所本报告期</w:t>
      </w:r>
      <w:r w:rsidRPr="005B5EC1">
        <w:rPr>
          <w:rFonts w:ascii="Times New Roman" w:eastAsia="宋体" w:hAnsi="Times New Roman" w:cs="Times New Roman"/>
          <w:b/>
          <w:bCs/>
          <w:sz w:val="24"/>
          <w:szCs w:val="24"/>
        </w:rPr>
        <w:t>“</w:t>
      </w:r>
      <w:r w:rsidRPr="005B5EC1">
        <w:rPr>
          <w:rFonts w:ascii="Times New Roman" w:eastAsia="宋体" w:hAnsi="Times New Roman" w:cs="Times New Roman"/>
          <w:b/>
          <w:bCs/>
          <w:sz w:val="24"/>
          <w:szCs w:val="24"/>
        </w:rPr>
        <w:t>非标准审计报告</w:t>
      </w:r>
      <w:r w:rsidRPr="005B5EC1">
        <w:rPr>
          <w:rFonts w:ascii="Times New Roman" w:eastAsia="宋体" w:hAnsi="Times New Roman" w:cs="Times New Roman"/>
          <w:b/>
          <w:bCs/>
          <w:sz w:val="24"/>
          <w:szCs w:val="24"/>
        </w:rPr>
        <w:t>”</w:t>
      </w:r>
      <w:r w:rsidRPr="005B5EC1">
        <w:rPr>
          <w:rFonts w:ascii="Times New Roman" w:eastAsia="宋体" w:hAnsi="Times New Roman" w:cs="Times New Roman"/>
          <w:b/>
          <w:bCs/>
          <w:sz w:val="24"/>
          <w:szCs w:val="24"/>
        </w:rPr>
        <w:t>的说明</w:t>
      </w:r>
      <w:bookmarkEnd w:id="100"/>
    </w:p>
    <w:p w14:paraId="54A03C9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240971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1" w:name="_Toc988990"/>
      <w:r w:rsidRPr="005B5EC1">
        <w:rPr>
          <w:rFonts w:ascii="Times New Roman" w:eastAsia="宋体" w:hAnsi="Times New Roman" w:cs="Times New Roman"/>
          <w:b/>
          <w:bCs/>
          <w:sz w:val="24"/>
          <w:szCs w:val="24"/>
        </w:rPr>
        <w:t>六、与上年度财务报告相比，会计政策、会计估计变更或重大会计差错更正的情况说明</w:t>
      </w:r>
      <w:r w:rsidRPr="005B5EC1">
        <w:rPr>
          <w:rFonts w:ascii="Times New Roman" w:eastAsia="宋体" w:hAnsi="Times New Roman" w:cs="Times New Roman"/>
          <w:b/>
          <w:bCs/>
          <w:sz w:val="24"/>
          <w:szCs w:val="24"/>
        </w:rPr>
        <w:t xml:space="preserve"> </w:t>
      </w:r>
      <w:bookmarkEnd w:id="101"/>
    </w:p>
    <w:p w14:paraId="22F01B7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05AE8E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公司报告期无会计政策、会计估计变更或重大会计差错更正的情况。</w:t>
      </w:r>
    </w:p>
    <w:p w14:paraId="6AA651CA"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2" w:name="_Toc988991"/>
      <w:r w:rsidRPr="005B5EC1">
        <w:rPr>
          <w:rFonts w:ascii="Times New Roman" w:eastAsia="宋体" w:hAnsi="Times New Roman" w:cs="Times New Roman"/>
          <w:b/>
          <w:bCs/>
          <w:sz w:val="24"/>
          <w:szCs w:val="24"/>
        </w:rPr>
        <w:t>七、与上年度财务报告相比，合并报表范围发生变化的情况说明</w:t>
      </w:r>
      <w:bookmarkEnd w:id="102"/>
    </w:p>
    <w:p w14:paraId="099CAB1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3"/>
        <w:gridCol w:w="3213"/>
        <w:gridCol w:w="3213"/>
      </w:tblGrid>
      <w:tr w:rsidR="00AF139E" w:rsidRPr="005B5EC1" w14:paraId="1C085443" w14:textId="77777777" w:rsidTr="009A07C1">
        <w:trPr>
          <w:divId w:val="189608317"/>
          <w:trHeight w:val="510"/>
        </w:trPr>
        <w:tc>
          <w:tcPr>
            <w:tcW w:w="3213" w:type="dxa"/>
            <w:shd w:val="clear" w:color="auto" w:fill="D3D3D3"/>
            <w:tcMar>
              <w:top w:w="0" w:type="dxa"/>
              <w:left w:w="108" w:type="dxa"/>
              <w:bottom w:w="0" w:type="dxa"/>
              <w:right w:w="108" w:type="dxa"/>
            </w:tcMar>
            <w:vAlign w:val="center"/>
            <w:hideMark/>
          </w:tcPr>
          <w:p w14:paraId="5A5C8318" w14:textId="77777777" w:rsidR="00AF139E" w:rsidRPr="005B5EC1" w:rsidRDefault="00000000">
            <w:pPr>
              <w:pStyle w:val="a3"/>
              <w:spacing w:before="40" w:beforeAutospacing="0" w:after="40" w:afterAutospacing="0" w:line="240" w:lineRule="atLeast"/>
              <w:jc w:val="center"/>
              <w:rPr>
                <w:rFonts w:ascii="Times New Roman" w:hAnsi="Times New Roman" w:cs="Times New Roman"/>
                <w:sz w:val="21"/>
                <w:szCs w:val="21"/>
              </w:rPr>
            </w:pPr>
            <w:r w:rsidRPr="005B5EC1">
              <w:rPr>
                <w:rFonts w:ascii="Times New Roman" w:hAnsi="Times New Roman" w:cs="Times New Roman"/>
                <w:sz w:val="18"/>
                <w:szCs w:val="18"/>
              </w:rPr>
              <w:lastRenderedPageBreak/>
              <w:t>公司名称</w:t>
            </w:r>
          </w:p>
        </w:tc>
        <w:tc>
          <w:tcPr>
            <w:tcW w:w="3213" w:type="dxa"/>
            <w:shd w:val="clear" w:color="auto" w:fill="D3D3D3"/>
            <w:tcMar>
              <w:top w:w="0" w:type="dxa"/>
              <w:left w:w="108" w:type="dxa"/>
              <w:bottom w:w="0" w:type="dxa"/>
              <w:right w:w="108" w:type="dxa"/>
            </w:tcMar>
            <w:vAlign w:val="center"/>
            <w:hideMark/>
          </w:tcPr>
          <w:p w14:paraId="2A1E2595" w14:textId="77777777" w:rsidR="00AF139E" w:rsidRPr="005B5EC1" w:rsidRDefault="00000000">
            <w:pPr>
              <w:pStyle w:val="a3"/>
              <w:spacing w:before="40" w:beforeAutospacing="0" w:after="40" w:afterAutospacing="0" w:line="240" w:lineRule="atLeast"/>
              <w:jc w:val="center"/>
              <w:rPr>
                <w:rFonts w:ascii="Times New Roman" w:hAnsi="Times New Roman" w:cs="Times New Roman"/>
                <w:sz w:val="21"/>
                <w:szCs w:val="21"/>
              </w:rPr>
            </w:pPr>
            <w:r w:rsidRPr="005B5EC1">
              <w:rPr>
                <w:rFonts w:ascii="Times New Roman" w:hAnsi="Times New Roman" w:cs="Times New Roman"/>
                <w:sz w:val="18"/>
                <w:szCs w:val="18"/>
              </w:rPr>
              <w:t>报告期内取得和处置子公司方式</w:t>
            </w:r>
          </w:p>
        </w:tc>
        <w:tc>
          <w:tcPr>
            <w:tcW w:w="3213" w:type="dxa"/>
            <w:shd w:val="clear" w:color="auto" w:fill="D3D3D3"/>
            <w:tcMar>
              <w:top w:w="0" w:type="dxa"/>
              <w:left w:w="108" w:type="dxa"/>
              <w:bottom w:w="0" w:type="dxa"/>
              <w:right w:w="108" w:type="dxa"/>
            </w:tcMar>
            <w:vAlign w:val="center"/>
            <w:hideMark/>
          </w:tcPr>
          <w:p w14:paraId="61949440" w14:textId="77777777" w:rsidR="00AF139E" w:rsidRPr="005B5EC1" w:rsidRDefault="00000000">
            <w:pPr>
              <w:pStyle w:val="a3"/>
              <w:spacing w:before="40" w:beforeAutospacing="0" w:after="40" w:afterAutospacing="0" w:line="240" w:lineRule="atLeast"/>
              <w:jc w:val="center"/>
              <w:rPr>
                <w:rFonts w:ascii="Times New Roman" w:hAnsi="Times New Roman" w:cs="Times New Roman"/>
                <w:sz w:val="21"/>
                <w:szCs w:val="21"/>
              </w:rPr>
            </w:pPr>
            <w:r w:rsidRPr="005B5EC1">
              <w:rPr>
                <w:rFonts w:ascii="Times New Roman" w:hAnsi="Times New Roman" w:cs="Times New Roman"/>
                <w:sz w:val="18"/>
                <w:szCs w:val="18"/>
              </w:rPr>
              <w:t>对整体生产经营和业绩的影响</w:t>
            </w:r>
          </w:p>
        </w:tc>
      </w:tr>
      <w:tr w:rsidR="00AF139E" w:rsidRPr="005B5EC1" w14:paraId="6C21E0FA" w14:textId="77777777" w:rsidTr="009A07C1">
        <w:trPr>
          <w:divId w:val="189608317"/>
          <w:trHeight w:val="240"/>
        </w:trPr>
        <w:tc>
          <w:tcPr>
            <w:tcW w:w="3213" w:type="dxa"/>
            <w:tcMar>
              <w:top w:w="0" w:type="dxa"/>
              <w:left w:w="108" w:type="dxa"/>
              <w:bottom w:w="0" w:type="dxa"/>
              <w:right w:w="108" w:type="dxa"/>
            </w:tcMar>
            <w:vAlign w:val="center"/>
            <w:hideMark/>
          </w:tcPr>
          <w:p w14:paraId="06954F3B" w14:textId="77777777" w:rsidR="00AF139E" w:rsidRPr="005B5EC1" w:rsidRDefault="00000000">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巴中龙大肉食品贸易有限公司</w:t>
            </w:r>
          </w:p>
        </w:tc>
        <w:tc>
          <w:tcPr>
            <w:tcW w:w="3213" w:type="dxa"/>
            <w:tcMar>
              <w:top w:w="0" w:type="dxa"/>
              <w:left w:w="108" w:type="dxa"/>
              <w:bottom w:w="0" w:type="dxa"/>
              <w:right w:w="108" w:type="dxa"/>
            </w:tcMar>
            <w:vAlign w:val="center"/>
            <w:hideMark/>
          </w:tcPr>
          <w:p w14:paraId="290D4973" w14:textId="77777777" w:rsidR="00AF139E" w:rsidRPr="005B5EC1" w:rsidRDefault="00000000" w:rsidP="009A07C1">
            <w:pPr>
              <w:pStyle w:val="a3"/>
              <w:spacing w:before="0" w:beforeAutospacing="0" w:after="0" w:afterAutospacing="0" w:line="240" w:lineRule="atLeast"/>
              <w:jc w:val="center"/>
              <w:rPr>
                <w:rFonts w:ascii="Times New Roman" w:hAnsi="Times New Roman" w:cs="Times New Roman"/>
                <w:sz w:val="21"/>
                <w:szCs w:val="21"/>
              </w:rPr>
            </w:pPr>
            <w:r w:rsidRPr="005B5EC1">
              <w:rPr>
                <w:rFonts w:ascii="Times New Roman" w:hAnsi="Times New Roman" w:cs="Times New Roman"/>
                <w:sz w:val="18"/>
                <w:szCs w:val="18"/>
              </w:rPr>
              <w:t>新设</w:t>
            </w:r>
          </w:p>
        </w:tc>
        <w:tc>
          <w:tcPr>
            <w:tcW w:w="3213" w:type="dxa"/>
            <w:tcMar>
              <w:top w:w="0" w:type="dxa"/>
              <w:left w:w="108" w:type="dxa"/>
              <w:bottom w:w="0" w:type="dxa"/>
              <w:right w:w="108" w:type="dxa"/>
            </w:tcMar>
            <w:vAlign w:val="center"/>
            <w:hideMark/>
          </w:tcPr>
          <w:p w14:paraId="7DC79166" w14:textId="77777777" w:rsidR="00AF139E" w:rsidRPr="005B5EC1" w:rsidRDefault="00000000" w:rsidP="009A07C1">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11</w:t>
            </w:r>
            <w:r w:rsidRPr="005B5EC1">
              <w:rPr>
                <w:rFonts w:ascii="Times New Roman" w:hAnsi="Times New Roman" w:cs="Times New Roman"/>
                <w:sz w:val="18"/>
                <w:szCs w:val="18"/>
              </w:rPr>
              <w:t>月</w:t>
            </w:r>
            <w:r w:rsidRPr="005B5EC1">
              <w:rPr>
                <w:rFonts w:ascii="Times New Roman" w:hAnsi="Times New Roman" w:cs="Times New Roman"/>
                <w:sz w:val="18"/>
                <w:szCs w:val="18"/>
              </w:rPr>
              <w:t>1</w:t>
            </w:r>
            <w:r w:rsidRPr="005B5EC1">
              <w:rPr>
                <w:rFonts w:ascii="Times New Roman" w:hAnsi="Times New Roman" w:cs="Times New Roman"/>
                <w:sz w:val="18"/>
                <w:szCs w:val="18"/>
              </w:rPr>
              <w:t>日纳入合并范围</w:t>
            </w:r>
          </w:p>
        </w:tc>
      </w:tr>
      <w:tr w:rsidR="00AF139E" w:rsidRPr="005B5EC1" w14:paraId="4286B608" w14:textId="77777777" w:rsidTr="009A07C1">
        <w:trPr>
          <w:divId w:val="189608317"/>
          <w:trHeight w:val="240"/>
        </w:trPr>
        <w:tc>
          <w:tcPr>
            <w:tcW w:w="3213" w:type="dxa"/>
            <w:tcMar>
              <w:top w:w="0" w:type="dxa"/>
              <w:left w:w="108" w:type="dxa"/>
              <w:bottom w:w="0" w:type="dxa"/>
              <w:right w:w="108" w:type="dxa"/>
            </w:tcMar>
            <w:vAlign w:val="center"/>
            <w:hideMark/>
          </w:tcPr>
          <w:p w14:paraId="6AC0B873" w14:textId="77777777" w:rsidR="00AF139E" w:rsidRPr="005B5EC1" w:rsidRDefault="00000000">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莒南龙大肉食品有限公司</w:t>
            </w:r>
          </w:p>
        </w:tc>
        <w:tc>
          <w:tcPr>
            <w:tcW w:w="3213" w:type="dxa"/>
            <w:tcMar>
              <w:top w:w="0" w:type="dxa"/>
              <w:left w:w="108" w:type="dxa"/>
              <w:bottom w:w="0" w:type="dxa"/>
              <w:right w:w="108" w:type="dxa"/>
            </w:tcMar>
            <w:vAlign w:val="center"/>
            <w:hideMark/>
          </w:tcPr>
          <w:p w14:paraId="7E7107B0" w14:textId="77777777" w:rsidR="00AF139E" w:rsidRPr="005B5EC1" w:rsidRDefault="00000000" w:rsidP="009A07C1">
            <w:pPr>
              <w:pStyle w:val="a3"/>
              <w:spacing w:before="0" w:beforeAutospacing="0" w:after="0" w:afterAutospacing="0" w:line="240" w:lineRule="atLeast"/>
              <w:jc w:val="center"/>
              <w:rPr>
                <w:rFonts w:ascii="Times New Roman" w:hAnsi="Times New Roman" w:cs="Times New Roman"/>
                <w:sz w:val="21"/>
                <w:szCs w:val="21"/>
              </w:rPr>
            </w:pPr>
            <w:r w:rsidRPr="005B5EC1">
              <w:rPr>
                <w:rFonts w:ascii="Times New Roman" w:hAnsi="Times New Roman" w:cs="Times New Roman"/>
                <w:sz w:val="18"/>
                <w:szCs w:val="18"/>
              </w:rPr>
              <w:t>注销</w:t>
            </w:r>
          </w:p>
        </w:tc>
        <w:tc>
          <w:tcPr>
            <w:tcW w:w="3213" w:type="dxa"/>
            <w:tcMar>
              <w:top w:w="0" w:type="dxa"/>
              <w:left w:w="108" w:type="dxa"/>
              <w:bottom w:w="0" w:type="dxa"/>
              <w:right w:w="108" w:type="dxa"/>
            </w:tcMar>
            <w:vAlign w:val="center"/>
            <w:hideMark/>
          </w:tcPr>
          <w:p w14:paraId="5140EB10" w14:textId="77777777" w:rsidR="00AF139E" w:rsidRPr="005B5EC1" w:rsidRDefault="00000000" w:rsidP="009A07C1">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2</w:t>
            </w:r>
            <w:r w:rsidRPr="005B5EC1">
              <w:rPr>
                <w:rFonts w:ascii="Times New Roman" w:hAnsi="Times New Roman" w:cs="Times New Roman"/>
                <w:sz w:val="18"/>
                <w:szCs w:val="18"/>
              </w:rPr>
              <w:t>月</w:t>
            </w:r>
            <w:r w:rsidRPr="005B5EC1">
              <w:rPr>
                <w:rFonts w:ascii="Times New Roman" w:hAnsi="Times New Roman" w:cs="Times New Roman"/>
                <w:sz w:val="18"/>
                <w:szCs w:val="18"/>
              </w:rPr>
              <w:t>19</w:t>
            </w:r>
            <w:r w:rsidRPr="005B5EC1">
              <w:rPr>
                <w:rFonts w:ascii="Times New Roman" w:hAnsi="Times New Roman" w:cs="Times New Roman"/>
                <w:sz w:val="18"/>
                <w:szCs w:val="18"/>
              </w:rPr>
              <w:t>日注销</w:t>
            </w:r>
          </w:p>
        </w:tc>
      </w:tr>
      <w:tr w:rsidR="00AF139E" w:rsidRPr="005B5EC1" w14:paraId="7E778129" w14:textId="77777777" w:rsidTr="009A07C1">
        <w:trPr>
          <w:divId w:val="189608317"/>
          <w:trHeight w:val="240"/>
        </w:trPr>
        <w:tc>
          <w:tcPr>
            <w:tcW w:w="3213" w:type="dxa"/>
            <w:tcMar>
              <w:top w:w="0" w:type="dxa"/>
              <w:left w:w="108" w:type="dxa"/>
              <w:bottom w:w="0" w:type="dxa"/>
              <w:right w:w="108" w:type="dxa"/>
            </w:tcMar>
            <w:vAlign w:val="center"/>
            <w:hideMark/>
          </w:tcPr>
          <w:p w14:paraId="450215FD" w14:textId="77777777" w:rsidR="00AF139E" w:rsidRPr="005B5EC1" w:rsidRDefault="00000000">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北京晓食探科技有限公司</w:t>
            </w:r>
          </w:p>
        </w:tc>
        <w:tc>
          <w:tcPr>
            <w:tcW w:w="3213" w:type="dxa"/>
            <w:tcMar>
              <w:top w:w="0" w:type="dxa"/>
              <w:left w:w="108" w:type="dxa"/>
              <w:bottom w:w="0" w:type="dxa"/>
              <w:right w:w="108" w:type="dxa"/>
            </w:tcMar>
            <w:vAlign w:val="center"/>
            <w:hideMark/>
          </w:tcPr>
          <w:p w14:paraId="7C1276E1" w14:textId="77777777" w:rsidR="00AF139E" w:rsidRPr="005B5EC1" w:rsidRDefault="00000000" w:rsidP="009A07C1">
            <w:pPr>
              <w:pStyle w:val="a3"/>
              <w:spacing w:before="0" w:beforeAutospacing="0" w:after="0" w:afterAutospacing="0" w:line="240" w:lineRule="atLeast"/>
              <w:jc w:val="center"/>
              <w:rPr>
                <w:rFonts w:ascii="Times New Roman" w:hAnsi="Times New Roman" w:cs="Times New Roman"/>
                <w:sz w:val="21"/>
                <w:szCs w:val="21"/>
              </w:rPr>
            </w:pPr>
            <w:r w:rsidRPr="005B5EC1">
              <w:rPr>
                <w:rFonts w:ascii="Times New Roman" w:hAnsi="Times New Roman" w:cs="Times New Roman"/>
                <w:sz w:val="18"/>
                <w:szCs w:val="18"/>
              </w:rPr>
              <w:t>注销</w:t>
            </w:r>
          </w:p>
        </w:tc>
        <w:tc>
          <w:tcPr>
            <w:tcW w:w="3213" w:type="dxa"/>
            <w:tcMar>
              <w:top w:w="0" w:type="dxa"/>
              <w:left w:w="108" w:type="dxa"/>
              <w:bottom w:w="0" w:type="dxa"/>
              <w:right w:w="108" w:type="dxa"/>
            </w:tcMar>
            <w:vAlign w:val="center"/>
            <w:hideMark/>
          </w:tcPr>
          <w:p w14:paraId="6B678C1F" w14:textId="77777777" w:rsidR="00AF139E" w:rsidRPr="005B5EC1" w:rsidRDefault="00000000" w:rsidP="009A07C1">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2</w:t>
            </w:r>
            <w:r w:rsidRPr="005B5EC1">
              <w:rPr>
                <w:rFonts w:ascii="Times New Roman" w:hAnsi="Times New Roman" w:cs="Times New Roman"/>
                <w:sz w:val="18"/>
                <w:szCs w:val="18"/>
              </w:rPr>
              <w:t>月</w:t>
            </w:r>
            <w:r w:rsidRPr="005B5EC1">
              <w:rPr>
                <w:rFonts w:ascii="Times New Roman" w:hAnsi="Times New Roman" w:cs="Times New Roman"/>
                <w:sz w:val="18"/>
                <w:szCs w:val="18"/>
              </w:rPr>
              <w:t>27</w:t>
            </w:r>
            <w:r w:rsidRPr="005B5EC1">
              <w:rPr>
                <w:rFonts w:ascii="Times New Roman" w:hAnsi="Times New Roman" w:cs="Times New Roman"/>
                <w:sz w:val="18"/>
                <w:szCs w:val="18"/>
              </w:rPr>
              <w:t>日注销</w:t>
            </w:r>
          </w:p>
        </w:tc>
      </w:tr>
      <w:tr w:rsidR="00AF139E" w:rsidRPr="005B5EC1" w14:paraId="5E6B3E77" w14:textId="77777777" w:rsidTr="009A07C1">
        <w:trPr>
          <w:divId w:val="189608317"/>
          <w:trHeight w:val="240"/>
        </w:trPr>
        <w:tc>
          <w:tcPr>
            <w:tcW w:w="3213" w:type="dxa"/>
            <w:tcMar>
              <w:top w:w="0" w:type="dxa"/>
              <w:left w:w="108" w:type="dxa"/>
              <w:bottom w:w="0" w:type="dxa"/>
              <w:right w:w="108" w:type="dxa"/>
            </w:tcMar>
            <w:vAlign w:val="center"/>
            <w:hideMark/>
          </w:tcPr>
          <w:p w14:paraId="49A3047F" w14:textId="77777777" w:rsidR="00AF139E" w:rsidRPr="005B5EC1" w:rsidRDefault="00000000">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乳山龙大养殖有限公司</w:t>
            </w:r>
          </w:p>
        </w:tc>
        <w:tc>
          <w:tcPr>
            <w:tcW w:w="3213" w:type="dxa"/>
            <w:tcMar>
              <w:top w:w="0" w:type="dxa"/>
              <w:left w:w="108" w:type="dxa"/>
              <w:bottom w:w="0" w:type="dxa"/>
              <w:right w:w="108" w:type="dxa"/>
            </w:tcMar>
            <w:vAlign w:val="center"/>
            <w:hideMark/>
          </w:tcPr>
          <w:p w14:paraId="0DF046B2" w14:textId="77777777" w:rsidR="00AF139E" w:rsidRPr="005B5EC1" w:rsidRDefault="00000000" w:rsidP="009A07C1">
            <w:pPr>
              <w:pStyle w:val="a3"/>
              <w:spacing w:before="0" w:beforeAutospacing="0" w:after="0" w:afterAutospacing="0" w:line="240" w:lineRule="atLeast"/>
              <w:jc w:val="center"/>
              <w:rPr>
                <w:rFonts w:ascii="Times New Roman" w:hAnsi="Times New Roman" w:cs="Times New Roman"/>
                <w:sz w:val="21"/>
                <w:szCs w:val="21"/>
              </w:rPr>
            </w:pPr>
            <w:r w:rsidRPr="005B5EC1">
              <w:rPr>
                <w:rFonts w:ascii="Times New Roman" w:hAnsi="Times New Roman" w:cs="Times New Roman"/>
                <w:sz w:val="18"/>
                <w:szCs w:val="18"/>
              </w:rPr>
              <w:t>注销</w:t>
            </w:r>
          </w:p>
        </w:tc>
        <w:tc>
          <w:tcPr>
            <w:tcW w:w="3213" w:type="dxa"/>
            <w:tcMar>
              <w:top w:w="0" w:type="dxa"/>
              <w:left w:w="108" w:type="dxa"/>
              <w:bottom w:w="0" w:type="dxa"/>
              <w:right w:w="108" w:type="dxa"/>
            </w:tcMar>
            <w:vAlign w:val="center"/>
            <w:hideMark/>
          </w:tcPr>
          <w:p w14:paraId="55D4C3E0" w14:textId="77777777" w:rsidR="00AF139E" w:rsidRPr="005B5EC1" w:rsidRDefault="00000000" w:rsidP="009A07C1">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9</w:t>
            </w:r>
            <w:r w:rsidRPr="005B5EC1">
              <w:rPr>
                <w:rFonts w:ascii="Times New Roman" w:hAnsi="Times New Roman" w:cs="Times New Roman"/>
                <w:sz w:val="18"/>
                <w:szCs w:val="18"/>
              </w:rPr>
              <w:t>月</w:t>
            </w:r>
            <w:r w:rsidRPr="005B5EC1">
              <w:rPr>
                <w:rFonts w:ascii="Times New Roman" w:hAnsi="Times New Roman" w:cs="Times New Roman"/>
                <w:sz w:val="18"/>
                <w:szCs w:val="18"/>
              </w:rPr>
              <w:t>23</w:t>
            </w:r>
            <w:r w:rsidRPr="005B5EC1">
              <w:rPr>
                <w:rFonts w:ascii="Times New Roman" w:hAnsi="Times New Roman" w:cs="Times New Roman"/>
                <w:sz w:val="18"/>
                <w:szCs w:val="18"/>
              </w:rPr>
              <w:t>日注销</w:t>
            </w:r>
          </w:p>
        </w:tc>
      </w:tr>
      <w:tr w:rsidR="00AF139E" w:rsidRPr="005B5EC1" w14:paraId="1C7F6E27" w14:textId="77777777" w:rsidTr="009A07C1">
        <w:trPr>
          <w:divId w:val="189608317"/>
          <w:trHeight w:val="240"/>
        </w:trPr>
        <w:tc>
          <w:tcPr>
            <w:tcW w:w="3213" w:type="dxa"/>
            <w:tcMar>
              <w:top w:w="0" w:type="dxa"/>
              <w:left w:w="108" w:type="dxa"/>
              <w:bottom w:w="0" w:type="dxa"/>
              <w:right w:w="108" w:type="dxa"/>
            </w:tcMar>
            <w:vAlign w:val="center"/>
            <w:hideMark/>
          </w:tcPr>
          <w:p w14:paraId="5348501E" w14:textId="77777777" w:rsidR="00AF139E" w:rsidRPr="005B5EC1" w:rsidRDefault="00000000">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龙大美食（广东）食品科技有限公司</w:t>
            </w:r>
          </w:p>
        </w:tc>
        <w:tc>
          <w:tcPr>
            <w:tcW w:w="3213" w:type="dxa"/>
            <w:tcMar>
              <w:top w:w="0" w:type="dxa"/>
              <w:left w:w="108" w:type="dxa"/>
              <w:bottom w:w="0" w:type="dxa"/>
              <w:right w:w="108" w:type="dxa"/>
            </w:tcMar>
            <w:vAlign w:val="center"/>
            <w:hideMark/>
          </w:tcPr>
          <w:p w14:paraId="18367687" w14:textId="77777777" w:rsidR="00AF139E" w:rsidRPr="005B5EC1" w:rsidRDefault="00000000" w:rsidP="009A07C1">
            <w:pPr>
              <w:pStyle w:val="a3"/>
              <w:spacing w:before="0" w:beforeAutospacing="0" w:after="0" w:afterAutospacing="0" w:line="240" w:lineRule="atLeast"/>
              <w:jc w:val="center"/>
              <w:rPr>
                <w:rFonts w:ascii="Times New Roman" w:hAnsi="Times New Roman" w:cs="Times New Roman"/>
                <w:sz w:val="21"/>
                <w:szCs w:val="21"/>
              </w:rPr>
            </w:pPr>
            <w:r w:rsidRPr="005B5EC1">
              <w:rPr>
                <w:rFonts w:ascii="Times New Roman" w:hAnsi="Times New Roman" w:cs="Times New Roman"/>
                <w:sz w:val="18"/>
                <w:szCs w:val="18"/>
              </w:rPr>
              <w:t>注销</w:t>
            </w:r>
          </w:p>
        </w:tc>
        <w:tc>
          <w:tcPr>
            <w:tcW w:w="3213" w:type="dxa"/>
            <w:tcMar>
              <w:top w:w="0" w:type="dxa"/>
              <w:left w:w="108" w:type="dxa"/>
              <w:bottom w:w="0" w:type="dxa"/>
              <w:right w:w="108" w:type="dxa"/>
            </w:tcMar>
            <w:vAlign w:val="center"/>
            <w:hideMark/>
          </w:tcPr>
          <w:p w14:paraId="7C6DD488" w14:textId="77777777" w:rsidR="00AF139E" w:rsidRPr="005B5EC1" w:rsidRDefault="00000000" w:rsidP="009A07C1">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25</w:t>
            </w:r>
            <w:r w:rsidRPr="005B5EC1">
              <w:rPr>
                <w:rFonts w:ascii="Times New Roman" w:hAnsi="Times New Roman" w:cs="Times New Roman"/>
                <w:sz w:val="18"/>
                <w:szCs w:val="18"/>
              </w:rPr>
              <w:t>日注销</w:t>
            </w:r>
          </w:p>
        </w:tc>
      </w:tr>
      <w:tr w:rsidR="00AF139E" w:rsidRPr="005B5EC1" w14:paraId="3EA43F53" w14:textId="77777777" w:rsidTr="009A07C1">
        <w:trPr>
          <w:divId w:val="189608317"/>
          <w:trHeight w:val="240"/>
        </w:trPr>
        <w:tc>
          <w:tcPr>
            <w:tcW w:w="3213" w:type="dxa"/>
            <w:tcMar>
              <w:top w:w="0" w:type="dxa"/>
              <w:left w:w="108" w:type="dxa"/>
              <w:bottom w:w="0" w:type="dxa"/>
              <w:right w:w="108" w:type="dxa"/>
            </w:tcMar>
            <w:vAlign w:val="center"/>
            <w:hideMark/>
          </w:tcPr>
          <w:p w14:paraId="5FB194AD" w14:textId="77777777" w:rsidR="00AF139E" w:rsidRPr="005B5EC1" w:rsidRDefault="00000000">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通辽金泉食品有限责任公司</w:t>
            </w:r>
          </w:p>
        </w:tc>
        <w:tc>
          <w:tcPr>
            <w:tcW w:w="3213" w:type="dxa"/>
            <w:tcMar>
              <w:top w:w="0" w:type="dxa"/>
              <w:left w:w="108" w:type="dxa"/>
              <w:bottom w:w="0" w:type="dxa"/>
              <w:right w:w="108" w:type="dxa"/>
            </w:tcMar>
            <w:vAlign w:val="center"/>
            <w:hideMark/>
          </w:tcPr>
          <w:p w14:paraId="3AA187C4" w14:textId="77777777" w:rsidR="00AF139E" w:rsidRPr="005B5EC1" w:rsidRDefault="00000000" w:rsidP="009A07C1">
            <w:pPr>
              <w:pStyle w:val="a3"/>
              <w:spacing w:before="0" w:beforeAutospacing="0" w:after="0" w:afterAutospacing="0" w:line="240" w:lineRule="atLeast"/>
              <w:jc w:val="center"/>
              <w:rPr>
                <w:rFonts w:ascii="Times New Roman" w:hAnsi="Times New Roman" w:cs="Times New Roman"/>
                <w:sz w:val="21"/>
                <w:szCs w:val="21"/>
              </w:rPr>
            </w:pPr>
            <w:r w:rsidRPr="005B5EC1">
              <w:rPr>
                <w:rFonts w:ascii="Times New Roman" w:hAnsi="Times New Roman" w:cs="Times New Roman"/>
                <w:sz w:val="18"/>
                <w:szCs w:val="18"/>
              </w:rPr>
              <w:t>出售</w:t>
            </w:r>
          </w:p>
        </w:tc>
        <w:tc>
          <w:tcPr>
            <w:tcW w:w="3213" w:type="dxa"/>
            <w:tcMar>
              <w:top w:w="0" w:type="dxa"/>
              <w:left w:w="108" w:type="dxa"/>
              <w:bottom w:w="0" w:type="dxa"/>
              <w:right w:w="108" w:type="dxa"/>
            </w:tcMar>
            <w:vAlign w:val="center"/>
            <w:hideMark/>
          </w:tcPr>
          <w:p w14:paraId="61E238A7" w14:textId="77777777" w:rsidR="00AF139E" w:rsidRPr="005B5EC1" w:rsidRDefault="00000000" w:rsidP="009A07C1">
            <w:pPr>
              <w:pStyle w:val="a3"/>
              <w:spacing w:before="0" w:beforeAutospacing="0" w:after="0" w:afterAutospacing="0" w:line="240" w:lineRule="atLeast"/>
              <w:rPr>
                <w:rFonts w:ascii="Times New Roman" w:hAnsi="Times New Roman" w:cs="Times New Roman"/>
                <w:sz w:val="21"/>
                <w:szCs w:val="21"/>
              </w:rPr>
            </w:pPr>
            <w:r w:rsidRPr="005B5EC1">
              <w:rPr>
                <w:rFonts w:ascii="Times New Roman" w:hAnsi="Times New Roman" w:cs="Times New Roman"/>
                <w:sz w:val="18"/>
                <w:szCs w:val="18"/>
              </w:rPr>
              <w:t>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31</w:t>
            </w:r>
            <w:r w:rsidRPr="005B5EC1">
              <w:rPr>
                <w:rFonts w:ascii="Times New Roman" w:hAnsi="Times New Roman" w:cs="Times New Roman"/>
                <w:sz w:val="18"/>
                <w:szCs w:val="18"/>
              </w:rPr>
              <w:t>日丧失控制权</w:t>
            </w:r>
          </w:p>
        </w:tc>
      </w:tr>
    </w:tbl>
    <w:p w14:paraId="288288FF"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3" w:name="_Toc988992"/>
      <w:r w:rsidRPr="005B5EC1">
        <w:rPr>
          <w:rFonts w:ascii="Times New Roman" w:eastAsia="宋体" w:hAnsi="Times New Roman" w:cs="Times New Roman"/>
          <w:b/>
          <w:bCs/>
          <w:sz w:val="24"/>
          <w:szCs w:val="24"/>
        </w:rPr>
        <w:t>八、聘任、解聘会计师事务所情况</w:t>
      </w:r>
      <w:bookmarkEnd w:id="103"/>
    </w:p>
    <w:p w14:paraId="32CE689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现聘任的会计师事务所</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6BB07AF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38F4D6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14:paraId="1B9985D8"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众华会计师事务所（特殊普通合伙）</w:t>
            </w:r>
          </w:p>
        </w:tc>
      </w:tr>
      <w:tr w:rsidR="00E32FE0" w:rsidRPr="005B5EC1" w14:paraId="4615AB5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C6B661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境内会计师事务所报酬（万元）</w:t>
            </w:r>
          </w:p>
        </w:tc>
        <w:tc>
          <w:tcPr>
            <w:tcW w:w="4820" w:type="dxa"/>
            <w:tcBorders>
              <w:top w:val="single" w:sz="2" w:space="0" w:color="auto"/>
              <w:left w:val="single" w:sz="2" w:space="0" w:color="auto"/>
              <w:bottom w:val="single" w:sz="2" w:space="0" w:color="auto"/>
              <w:right w:val="single" w:sz="2" w:space="0" w:color="auto"/>
            </w:tcBorders>
            <w:vAlign w:val="center"/>
          </w:tcPr>
          <w:p w14:paraId="6F37ADDB"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160</w:t>
            </w:r>
          </w:p>
        </w:tc>
      </w:tr>
      <w:tr w:rsidR="00E32FE0" w:rsidRPr="005B5EC1" w14:paraId="0D63D4E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85BCB8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境内会计师事务所审计服务的连续年限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14:paraId="049CC5FB"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r>
      <w:tr w:rsidR="00E32FE0" w:rsidRPr="005B5EC1" w14:paraId="5B0A696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9EC380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境内会计师事务所注册会计师姓名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14:paraId="062F2E28"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李立生、杨学燕</w:t>
            </w:r>
          </w:p>
        </w:tc>
      </w:tr>
      <w:tr w:rsidR="00E32FE0" w:rsidRPr="005B5EC1" w14:paraId="4EF2C77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97B83F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境内会计师事务所注册会计师审计服务的连续年限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14:paraId="52818C5E"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r>
      <w:tr w:rsidR="00E32FE0" w:rsidRPr="005B5EC1" w14:paraId="47ED136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2DC025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境外会计师事务所名称（如有）</w:t>
            </w:r>
          </w:p>
        </w:tc>
        <w:tc>
          <w:tcPr>
            <w:tcW w:w="4820" w:type="dxa"/>
            <w:tcBorders>
              <w:top w:val="single" w:sz="2" w:space="0" w:color="auto"/>
              <w:left w:val="single" w:sz="2" w:space="0" w:color="auto"/>
              <w:bottom w:val="single" w:sz="2" w:space="0" w:color="auto"/>
              <w:right w:val="single" w:sz="2" w:space="0" w:color="auto"/>
            </w:tcBorders>
            <w:vAlign w:val="center"/>
          </w:tcPr>
          <w:p w14:paraId="5D52AE14"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64DA7AD5"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D0D291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境外会计师事务所报酬（万元）（如有）</w:t>
            </w:r>
          </w:p>
        </w:tc>
        <w:tc>
          <w:tcPr>
            <w:tcW w:w="4820" w:type="dxa"/>
            <w:tcBorders>
              <w:top w:val="single" w:sz="2" w:space="0" w:color="auto"/>
              <w:left w:val="single" w:sz="2" w:space="0" w:color="auto"/>
              <w:bottom w:val="single" w:sz="2" w:space="0" w:color="auto"/>
              <w:right w:val="single" w:sz="2" w:space="0" w:color="auto"/>
            </w:tcBorders>
            <w:vAlign w:val="center"/>
          </w:tcPr>
          <w:p w14:paraId="2CEEEBD8"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197DDB1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CA7348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境外会计师事务所审计服务的连续年限（如有）</w:t>
            </w:r>
          </w:p>
        </w:tc>
        <w:tc>
          <w:tcPr>
            <w:tcW w:w="4820" w:type="dxa"/>
            <w:tcBorders>
              <w:top w:val="single" w:sz="2" w:space="0" w:color="auto"/>
              <w:left w:val="single" w:sz="2" w:space="0" w:color="auto"/>
              <w:bottom w:val="single" w:sz="2" w:space="0" w:color="auto"/>
              <w:right w:val="single" w:sz="2" w:space="0" w:color="auto"/>
            </w:tcBorders>
            <w:vAlign w:val="center"/>
          </w:tcPr>
          <w:p w14:paraId="25967E73"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7D59C44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C4AEEF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境外会计师事务所注册会计师姓名（如有）</w:t>
            </w:r>
          </w:p>
        </w:tc>
        <w:tc>
          <w:tcPr>
            <w:tcW w:w="4820" w:type="dxa"/>
            <w:tcBorders>
              <w:top w:val="single" w:sz="2" w:space="0" w:color="auto"/>
              <w:left w:val="single" w:sz="2" w:space="0" w:color="auto"/>
              <w:bottom w:val="single" w:sz="2" w:space="0" w:color="auto"/>
              <w:right w:val="single" w:sz="2" w:space="0" w:color="auto"/>
            </w:tcBorders>
            <w:vAlign w:val="center"/>
          </w:tcPr>
          <w:p w14:paraId="31BEBCB2"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0F1299A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7CB491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境外会计师事务所注册会计师审计服务的连续年限（如有）</w:t>
            </w:r>
          </w:p>
        </w:tc>
        <w:tc>
          <w:tcPr>
            <w:tcW w:w="4820" w:type="dxa"/>
            <w:tcBorders>
              <w:top w:val="single" w:sz="2" w:space="0" w:color="auto"/>
              <w:left w:val="single" w:sz="2" w:space="0" w:color="auto"/>
              <w:bottom w:val="single" w:sz="2" w:space="0" w:color="auto"/>
              <w:right w:val="single" w:sz="2" w:space="0" w:color="auto"/>
            </w:tcBorders>
            <w:vAlign w:val="center"/>
          </w:tcPr>
          <w:p w14:paraId="4CC079EF" w14:textId="77777777" w:rsidR="00E32FE0" w:rsidRPr="005B5EC1" w:rsidRDefault="00000000" w:rsidP="009A07C1">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bl>
    <w:p w14:paraId="579E18C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当期是否改聘会计师事务所</w:t>
      </w:r>
    </w:p>
    <w:p w14:paraId="6729541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378C19B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聘请内部控制审计会计师事务所、财务顾问或保荐人情况</w:t>
      </w:r>
    </w:p>
    <w:p w14:paraId="14C2C0F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0E71B4E0" w14:textId="77777777" w:rsidR="00AF139E" w:rsidRPr="005B5EC1" w:rsidRDefault="00000000" w:rsidP="009A07C1">
      <w:pPr>
        <w:pStyle w:val="a3"/>
        <w:spacing w:before="0" w:beforeAutospacing="0" w:after="0" w:afterAutospacing="0" w:line="276" w:lineRule="auto"/>
        <w:ind w:firstLineChars="200" w:firstLine="358"/>
        <w:textAlignment w:val="baseline"/>
        <w:divId w:val="219168324"/>
        <w:rPr>
          <w:rFonts w:ascii="Times New Roman" w:hAnsi="Times New Roman" w:cs="Times New Roman"/>
          <w:color w:val="000000"/>
          <w:sz w:val="21"/>
          <w:szCs w:val="21"/>
        </w:rPr>
      </w:pPr>
      <w:r w:rsidRPr="005B5EC1">
        <w:rPr>
          <w:rFonts w:ascii="Times New Roman" w:hAnsi="Times New Roman" w:cs="Times New Roman"/>
          <w:color w:val="000000"/>
          <w:spacing w:val="-1"/>
          <w:sz w:val="18"/>
          <w:szCs w:val="18"/>
        </w:rPr>
        <w:t>报告期内，公司聘请聘任众华会计师事务所（特殊普通合伙）为公司财务审计机构和内控审计机构，期间支付财务审计费用</w:t>
      </w:r>
      <w:r w:rsidRPr="005B5EC1">
        <w:rPr>
          <w:rFonts w:ascii="Times New Roman" w:hAnsi="Times New Roman" w:cs="Times New Roman"/>
          <w:color w:val="000000"/>
          <w:spacing w:val="-1"/>
          <w:sz w:val="18"/>
          <w:szCs w:val="18"/>
        </w:rPr>
        <w:t>130</w:t>
      </w:r>
      <w:r w:rsidRPr="005B5EC1">
        <w:rPr>
          <w:rFonts w:ascii="Times New Roman" w:hAnsi="Times New Roman" w:cs="Times New Roman"/>
          <w:color w:val="000000"/>
          <w:spacing w:val="-1"/>
          <w:sz w:val="18"/>
          <w:szCs w:val="18"/>
        </w:rPr>
        <w:t>万元，内控审计费用</w:t>
      </w:r>
      <w:r w:rsidRPr="005B5EC1">
        <w:rPr>
          <w:rFonts w:ascii="Times New Roman" w:hAnsi="Times New Roman" w:cs="Times New Roman"/>
          <w:color w:val="000000"/>
          <w:spacing w:val="-1"/>
          <w:sz w:val="18"/>
          <w:szCs w:val="18"/>
        </w:rPr>
        <w:t>30</w:t>
      </w:r>
      <w:r w:rsidRPr="005B5EC1">
        <w:rPr>
          <w:rFonts w:ascii="Times New Roman" w:hAnsi="Times New Roman" w:cs="Times New Roman"/>
          <w:color w:val="000000"/>
          <w:spacing w:val="-1"/>
          <w:sz w:val="18"/>
          <w:szCs w:val="18"/>
        </w:rPr>
        <w:t>万元。</w:t>
      </w:r>
    </w:p>
    <w:p w14:paraId="3B34B37E"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4" w:name="_Toc988993"/>
      <w:r w:rsidRPr="005B5EC1">
        <w:rPr>
          <w:rFonts w:ascii="Times New Roman" w:eastAsia="宋体" w:hAnsi="Times New Roman" w:cs="Times New Roman"/>
          <w:b/>
          <w:bCs/>
          <w:sz w:val="24"/>
          <w:szCs w:val="24"/>
        </w:rPr>
        <w:t>九、年度报告披露后面临退市情况</w:t>
      </w:r>
      <w:bookmarkEnd w:id="104"/>
    </w:p>
    <w:p w14:paraId="6FD6B28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A8ACE84"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5" w:name="_Toc988994"/>
      <w:r w:rsidRPr="005B5EC1">
        <w:rPr>
          <w:rFonts w:ascii="Times New Roman" w:eastAsia="宋体" w:hAnsi="Times New Roman" w:cs="Times New Roman"/>
          <w:b/>
          <w:bCs/>
          <w:sz w:val="24"/>
          <w:szCs w:val="24"/>
        </w:rPr>
        <w:t>十、破产重整相关事项</w:t>
      </w:r>
      <w:bookmarkEnd w:id="105"/>
    </w:p>
    <w:p w14:paraId="5A2154B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BBC34F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公司报告期未发生破产重整相关事项。</w:t>
      </w:r>
    </w:p>
    <w:p w14:paraId="0E47E56F"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6" w:name="_Toc988995"/>
      <w:r w:rsidRPr="005B5EC1">
        <w:rPr>
          <w:rFonts w:ascii="Times New Roman" w:eastAsia="宋体" w:hAnsi="Times New Roman" w:cs="Times New Roman"/>
          <w:b/>
          <w:bCs/>
          <w:sz w:val="24"/>
          <w:szCs w:val="24"/>
        </w:rPr>
        <w:t>十一、重大诉讼、仲裁事项</w:t>
      </w:r>
      <w:bookmarkEnd w:id="106"/>
    </w:p>
    <w:p w14:paraId="77398BA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5B00FB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本报告期公司无重大诉讼、仲裁事项。</w:t>
      </w:r>
    </w:p>
    <w:p w14:paraId="7E589FCC"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7" w:name="_Toc988996"/>
      <w:r w:rsidRPr="005B5EC1">
        <w:rPr>
          <w:rFonts w:ascii="Times New Roman" w:eastAsia="宋体" w:hAnsi="Times New Roman" w:cs="Times New Roman"/>
          <w:b/>
          <w:bCs/>
          <w:sz w:val="24"/>
          <w:szCs w:val="24"/>
        </w:rPr>
        <w:lastRenderedPageBreak/>
        <w:t>十二、处罚及整改情况</w:t>
      </w:r>
      <w:bookmarkEnd w:id="107"/>
    </w:p>
    <w:p w14:paraId="28F742B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0C7CFE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公司报告期不存在处罚及整改情况。</w:t>
      </w:r>
    </w:p>
    <w:p w14:paraId="7C7EE3AB"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8" w:name="_Toc988997"/>
      <w:r w:rsidRPr="005B5EC1">
        <w:rPr>
          <w:rFonts w:ascii="Times New Roman" w:eastAsia="宋体" w:hAnsi="Times New Roman" w:cs="Times New Roman"/>
          <w:b/>
          <w:bCs/>
          <w:sz w:val="24"/>
          <w:szCs w:val="24"/>
        </w:rPr>
        <w:t>十三、公司及其控股股东、实际控制人的诚信状况</w:t>
      </w:r>
      <w:bookmarkEnd w:id="108"/>
    </w:p>
    <w:p w14:paraId="2AF11DC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F0FD1C6"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09" w:name="_Toc988998"/>
      <w:r w:rsidRPr="005B5EC1">
        <w:rPr>
          <w:rFonts w:ascii="Times New Roman" w:eastAsia="宋体" w:hAnsi="Times New Roman" w:cs="Times New Roman"/>
          <w:b/>
          <w:bCs/>
          <w:sz w:val="24"/>
          <w:szCs w:val="24"/>
        </w:rPr>
        <w:t>十四、重大关联交易</w:t>
      </w:r>
      <w:bookmarkEnd w:id="109"/>
    </w:p>
    <w:p w14:paraId="1CEF9683" w14:textId="77777777" w:rsidR="00E32FE0" w:rsidRPr="005B5EC1" w:rsidRDefault="00000000">
      <w:pPr>
        <w:pStyle w:val="3"/>
        <w:spacing w:line="280" w:lineRule="exact"/>
        <w:jc w:val="left"/>
        <w:rPr>
          <w:rFonts w:ascii="Times New Roman" w:hAnsi="Times New Roman" w:cs="Times New Roman"/>
          <w:b/>
          <w:bCs/>
        </w:rPr>
      </w:pPr>
      <w:bookmarkStart w:id="110" w:name="_Toc988999"/>
      <w:r w:rsidRPr="005B5EC1">
        <w:rPr>
          <w:rFonts w:ascii="Times New Roman" w:hAnsi="Times New Roman" w:cs="Times New Roman"/>
          <w:b/>
          <w:bCs/>
        </w:rPr>
        <w:t>1</w:t>
      </w:r>
      <w:r w:rsidRPr="005B5EC1">
        <w:rPr>
          <w:rFonts w:ascii="Times New Roman" w:hAnsi="Times New Roman" w:cs="Times New Roman"/>
          <w:b/>
          <w:bCs/>
        </w:rPr>
        <w:t>、与日常经营相关的关联交易</w:t>
      </w:r>
      <w:bookmarkEnd w:id="110"/>
    </w:p>
    <w:p w14:paraId="2E6DE38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8BF686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公司报告期未发生与日常经营相关的关联交易。</w:t>
      </w:r>
    </w:p>
    <w:p w14:paraId="7214D22A" w14:textId="77777777" w:rsidR="00E32FE0" w:rsidRPr="005B5EC1" w:rsidRDefault="00000000">
      <w:pPr>
        <w:pStyle w:val="3"/>
        <w:spacing w:line="280" w:lineRule="exact"/>
        <w:jc w:val="left"/>
        <w:rPr>
          <w:rFonts w:ascii="Times New Roman" w:hAnsi="Times New Roman" w:cs="Times New Roman"/>
          <w:b/>
          <w:bCs/>
        </w:rPr>
      </w:pPr>
      <w:bookmarkStart w:id="111" w:name="_Toc989000"/>
      <w:r w:rsidRPr="005B5EC1">
        <w:rPr>
          <w:rFonts w:ascii="Times New Roman" w:hAnsi="Times New Roman" w:cs="Times New Roman"/>
          <w:b/>
          <w:bCs/>
        </w:rPr>
        <w:t>2</w:t>
      </w:r>
      <w:r w:rsidRPr="005B5EC1">
        <w:rPr>
          <w:rFonts w:ascii="Times New Roman" w:hAnsi="Times New Roman" w:cs="Times New Roman"/>
          <w:b/>
          <w:bCs/>
        </w:rPr>
        <w:t>、资产或股权收购、出售发生的关联交易</w:t>
      </w:r>
      <w:bookmarkEnd w:id="111"/>
    </w:p>
    <w:p w14:paraId="23CF8F8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CC28BC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公司报告期未发生资产或股权收购、出售的关联交易。</w:t>
      </w:r>
    </w:p>
    <w:p w14:paraId="7E785728" w14:textId="77777777" w:rsidR="00E32FE0" w:rsidRPr="005B5EC1" w:rsidRDefault="00000000">
      <w:pPr>
        <w:pStyle w:val="3"/>
        <w:spacing w:line="280" w:lineRule="exact"/>
        <w:jc w:val="left"/>
        <w:rPr>
          <w:rFonts w:ascii="Times New Roman" w:hAnsi="Times New Roman" w:cs="Times New Roman"/>
          <w:b/>
          <w:bCs/>
        </w:rPr>
      </w:pPr>
      <w:bookmarkStart w:id="112" w:name="_Toc989001"/>
      <w:r w:rsidRPr="005B5EC1">
        <w:rPr>
          <w:rFonts w:ascii="Times New Roman" w:hAnsi="Times New Roman" w:cs="Times New Roman"/>
          <w:b/>
          <w:bCs/>
        </w:rPr>
        <w:t>3</w:t>
      </w:r>
      <w:r w:rsidRPr="005B5EC1">
        <w:rPr>
          <w:rFonts w:ascii="Times New Roman" w:hAnsi="Times New Roman" w:cs="Times New Roman"/>
          <w:b/>
          <w:bCs/>
        </w:rPr>
        <w:t>、共同对外投资的关联交易</w:t>
      </w:r>
      <w:bookmarkEnd w:id="112"/>
    </w:p>
    <w:p w14:paraId="69B4970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01317B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公司报告期未发生共同对外投资的关联交易。</w:t>
      </w:r>
    </w:p>
    <w:p w14:paraId="0781094B" w14:textId="77777777" w:rsidR="00E32FE0" w:rsidRPr="005B5EC1" w:rsidRDefault="00000000">
      <w:pPr>
        <w:pStyle w:val="3"/>
        <w:spacing w:line="280" w:lineRule="exact"/>
        <w:jc w:val="left"/>
        <w:rPr>
          <w:rFonts w:ascii="Times New Roman" w:hAnsi="Times New Roman" w:cs="Times New Roman"/>
          <w:b/>
          <w:bCs/>
        </w:rPr>
      </w:pPr>
      <w:bookmarkStart w:id="113" w:name="_Toc989002"/>
      <w:r w:rsidRPr="005B5EC1">
        <w:rPr>
          <w:rFonts w:ascii="Times New Roman" w:hAnsi="Times New Roman" w:cs="Times New Roman"/>
          <w:b/>
          <w:bCs/>
        </w:rPr>
        <w:t>4</w:t>
      </w:r>
      <w:r w:rsidRPr="005B5EC1">
        <w:rPr>
          <w:rFonts w:ascii="Times New Roman" w:hAnsi="Times New Roman" w:cs="Times New Roman"/>
          <w:b/>
          <w:bCs/>
        </w:rPr>
        <w:t>、关联债权债务往来</w:t>
      </w:r>
      <w:bookmarkEnd w:id="113"/>
    </w:p>
    <w:p w14:paraId="7C4E3ED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0CE7C1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公司报告期不存在关联债权债务往来。</w:t>
      </w:r>
    </w:p>
    <w:p w14:paraId="6C7BC6C9" w14:textId="77777777" w:rsidR="00E32FE0" w:rsidRPr="005B5EC1" w:rsidRDefault="00000000">
      <w:pPr>
        <w:pStyle w:val="3"/>
        <w:spacing w:line="280" w:lineRule="exact"/>
        <w:jc w:val="left"/>
        <w:rPr>
          <w:rFonts w:ascii="Times New Roman" w:hAnsi="Times New Roman" w:cs="Times New Roman"/>
          <w:b/>
          <w:bCs/>
        </w:rPr>
      </w:pPr>
      <w:bookmarkStart w:id="114" w:name="_Toc989003"/>
      <w:r w:rsidRPr="005B5EC1">
        <w:rPr>
          <w:rFonts w:ascii="Times New Roman" w:hAnsi="Times New Roman" w:cs="Times New Roman"/>
          <w:b/>
          <w:bCs/>
        </w:rPr>
        <w:t>5</w:t>
      </w:r>
      <w:r w:rsidRPr="005B5EC1">
        <w:rPr>
          <w:rFonts w:ascii="Times New Roman" w:hAnsi="Times New Roman" w:cs="Times New Roman"/>
          <w:b/>
          <w:bCs/>
        </w:rPr>
        <w:t>、与存在关联关系的财务公司的往来情况</w:t>
      </w:r>
      <w:bookmarkEnd w:id="114"/>
    </w:p>
    <w:p w14:paraId="638608F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8123CE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公司与存在关联关系的财务公司与关联方之间不存在存款、贷款、授信或其他金融业务。</w:t>
      </w:r>
    </w:p>
    <w:p w14:paraId="5EB72F9A" w14:textId="77777777" w:rsidR="00E32FE0" w:rsidRPr="005B5EC1" w:rsidRDefault="00000000">
      <w:pPr>
        <w:pStyle w:val="3"/>
        <w:spacing w:line="280" w:lineRule="exact"/>
        <w:jc w:val="left"/>
        <w:rPr>
          <w:rFonts w:ascii="Times New Roman" w:hAnsi="Times New Roman" w:cs="Times New Roman"/>
          <w:b/>
          <w:bCs/>
        </w:rPr>
      </w:pPr>
      <w:bookmarkStart w:id="115" w:name="_Toc989004"/>
      <w:r w:rsidRPr="005B5EC1">
        <w:rPr>
          <w:rFonts w:ascii="Times New Roman" w:hAnsi="Times New Roman" w:cs="Times New Roman"/>
          <w:b/>
          <w:bCs/>
        </w:rPr>
        <w:t>6</w:t>
      </w:r>
      <w:r w:rsidRPr="005B5EC1">
        <w:rPr>
          <w:rFonts w:ascii="Times New Roman" w:hAnsi="Times New Roman" w:cs="Times New Roman"/>
          <w:b/>
          <w:bCs/>
        </w:rPr>
        <w:t>、公司控股的财务公司与关联方的往来情况</w:t>
      </w:r>
      <w:bookmarkEnd w:id="115"/>
    </w:p>
    <w:p w14:paraId="34A9FDF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87FB59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公司控股的财务公司与关联方之间不存在存款、贷款、授信或其他金融业务。</w:t>
      </w:r>
    </w:p>
    <w:p w14:paraId="5666D7D8" w14:textId="77777777" w:rsidR="00E32FE0" w:rsidRPr="005B5EC1" w:rsidRDefault="00000000">
      <w:pPr>
        <w:pStyle w:val="3"/>
        <w:spacing w:line="280" w:lineRule="exact"/>
        <w:jc w:val="left"/>
        <w:rPr>
          <w:rFonts w:ascii="Times New Roman" w:hAnsi="Times New Roman" w:cs="Times New Roman"/>
          <w:b/>
          <w:bCs/>
        </w:rPr>
      </w:pPr>
      <w:bookmarkStart w:id="116" w:name="_Toc989005"/>
      <w:r w:rsidRPr="005B5EC1">
        <w:rPr>
          <w:rFonts w:ascii="Times New Roman" w:hAnsi="Times New Roman" w:cs="Times New Roman"/>
          <w:b/>
          <w:bCs/>
        </w:rPr>
        <w:t>7</w:t>
      </w:r>
      <w:r w:rsidRPr="005B5EC1">
        <w:rPr>
          <w:rFonts w:ascii="Times New Roman" w:hAnsi="Times New Roman" w:cs="Times New Roman"/>
          <w:b/>
          <w:bCs/>
        </w:rPr>
        <w:t>、其他重大关联交易</w:t>
      </w:r>
      <w:bookmarkEnd w:id="116"/>
    </w:p>
    <w:p w14:paraId="42735FE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F32B9A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公司报告期无其他重大关联交易。</w:t>
      </w:r>
    </w:p>
    <w:p w14:paraId="3808C689"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17" w:name="_Toc989006"/>
      <w:r w:rsidRPr="005B5EC1">
        <w:rPr>
          <w:rFonts w:ascii="Times New Roman" w:eastAsia="宋体" w:hAnsi="Times New Roman" w:cs="Times New Roman"/>
          <w:b/>
          <w:bCs/>
          <w:sz w:val="24"/>
          <w:szCs w:val="24"/>
        </w:rPr>
        <w:lastRenderedPageBreak/>
        <w:t>十五、重大合同及其履行情况</w:t>
      </w:r>
      <w:bookmarkEnd w:id="117"/>
    </w:p>
    <w:p w14:paraId="43B53635" w14:textId="77777777" w:rsidR="00E32FE0" w:rsidRPr="005B5EC1" w:rsidRDefault="00000000">
      <w:pPr>
        <w:pStyle w:val="3"/>
        <w:spacing w:line="280" w:lineRule="exact"/>
        <w:jc w:val="left"/>
        <w:rPr>
          <w:rFonts w:ascii="Times New Roman" w:hAnsi="Times New Roman" w:cs="Times New Roman"/>
          <w:b/>
          <w:bCs/>
        </w:rPr>
      </w:pPr>
      <w:bookmarkStart w:id="118" w:name="_Toc989007"/>
      <w:r w:rsidRPr="005B5EC1">
        <w:rPr>
          <w:rFonts w:ascii="Times New Roman" w:hAnsi="Times New Roman" w:cs="Times New Roman"/>
          <w:b/>
          <w:bCs/>
        </w:rPr>
        <w:t>1</w:t>
      </w:r>
      <w:r w:rsidRPr="005B5EC1">
        <w:rPr>
          <w:rFonts w:ascii="Times New Roman" w:hAnsi="Times New Roman" w:cs="Times New Roman"/>
          <w:b/>
          <w:bCs/>
        </w:rPr>
        <w:t>、托管、承包、租赁事项情况</w:t>
      </w:r>
      <w:bookmarkEnd w:id="118"/>
    </w:p>
    <w:p w14:paraId="19ED713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119" w:name="_Toc989008"/>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托管情况</w:t>
      </w:r>
      <w:bookmarkEnd w:id="119"/>
    </w:p>
    <w:p w14:paraId="451C016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5E6F74E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托管情况说明</w:t>
      </w:r>
    </w:p>
    <w:p w14:paraId="74E4DEF7" w14:textId="77777777" w:rsidR="00AF139E" w:rsidRPr="005B5EC1" w:rsidRDefault="00000000" w:rsidP="00A749CF">
      <w:pPr>
        <w:pStyle w:val="a3"/>
        <w:spacing w:before="0" w:beforeAutospacing="0" w:after="0" w:afterAutospacing="0" w:line="276" w:lineRule="auto"/>
        <w:ind w:firstLineChars="200" w:firstLine="360"/>
        <w:jc w:val="both"/>
        <w:divId w:val="1305237944"/>
        <w:rPr>
          <w:rFonts w:ascii="Times New Roman" w:hAnsi="Times New Roman" w:cs="Times New Roman"/>
          <w:sz w:val="18"/>
          <w:szCs w:val="18"/>
        </w:rPr>
      </w:pP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公司与控股股东蓝润发展下属全资子公司五仓农牧集团有限公司因生猪养殖业务存在同业竞争。公司就控股股东及实际控制人避免同业竞争承诺事项于</w:t>
      </w:r>
      <w:r w:rsidRPr="005B5EC1">
        <w:rPr>
          <w:rFonts w:ascii="Times New Roman" w:hAnsi="Times New Roman" w:cs="Times New Roman"/>
          <w:sz w:val="18"/>
          <w:szCs w:val="18"/>
        </w:rPr>
        <w:t xml:space="preserve"> 2023</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1</w:t>
      </w:r>
      <w:r w:rsidRPr="005B5EC1">
        <w:rPr>
          <w:rFonts w:ascii="Times New Roman" w:hAnsi="Times New Roman" w:cs="Times New Roman"/>
          <w:sz w:val="18"/>
          <w:szCs w:val="18"/>
        </w:rPr>
        <w:t>日召开第五届董事会第十九次会议，审议通过了《关于公司控股股东及实际控制人避免同业竞争承诺延期履行的议案》，同意控股股东及实际控制人对避免同业竞争承诺事项进行延期，并在解决同业竞争之前，控股股东将以股权托管的方式将五仓农牧股权委托公司代为管理。根据上述延期方案，公司董事会审议通过了《关于签署股权托管协议暨关联交易的议案》，同意控股股东将五仓农牧的股权委托给公司代为管理，直至相关资产注入上市公司或转让给无关联第三方，并签署《股权托管协议》。协议约定，托管期间，委托方应就委托管理期间受托方提供的委托管理服务向受托方支付委托管理费，委托管理费的计算方式为：</w:t>
      </w:r>
      <w:r w:rsidRPr="005B5EC1">
        <w:rPr>
          <w:rFonts w:ascii="Times New Roman" w:hAnsi="Times New Roman" w:cs="Times New Roman"/>
          <w:sz w:val="18"/>
          <w:szCs w:val="18"/>
        </w:rPr>
        <w:t>10</w:t>
      </w:r>
      <w:r w:rsidRPr="005B5EC1">
        <w:rPr>
          <w:rFonts w:ascii="Times New Roman" w:hAnsi="Times New Roman" w:cs="Times New Roman"/>
          <w:sz w:val="18"/>
          <w:szCs w:val="18"/>
        </w:rPr>
        <w:t>万元人民币</w:t>
      </w:r>
      <w:r w:rsidRPr="005B5EC1">
        <w:rPr>
          <w:rFonts w:ascii="Times New Roman" w:hAnsi="Times New Roman" w:cs="Times New Roman"/>
          <w:sz w:val="18"/>
          <w:szCs w:val="18"/>
        </w:rPr>
        <w:t>/</w:t>
      </w:r>
      <w:r w:rsidRPr="005B5EC1">
        <w:rPr>
          <w:rFonts w:ascii="Times New Roman" w:hAnsi="Times New Roman" w:cs="Times New Roman"/>
          <w:sz w:val="18"/>
          <w:szCs w:val="18"/>
        </w:rPr>
        <w:t>年。具体内容详见《山东龙大美食股份有限公司关于签署股权托管协议暨关联交易的公告》（公告编号</w:t>
      </w:r>
      <w:r w:rsidRPr="005B5EC1">
        <w:rPr>
          <w:rFonts w:ascii="Times New Roman" w:hAnsi="Times New Roman" w:cs="Times New Roman"/>
          <w:sz w:val="18"/>
          <w:szCs w:val="18"/>
        </w:rPr>
        <w:t>2023-092</w:t>
      </w:r>
      <w:r w:rsidRPr="005B5EC1">
        <w:rPr>
          <w:rFonts w:ascii="Times New Roman" w:hAnsi="Times New Roman" w:cs="Times New Roman"/>
          <w:sz w:val="18"/>
          <w:szCs w:val="18"/>
        </w:rPr>
        <w:t>）。</w:t>
      </w:r>
    </w:p>
    <w:p w14:paraId="0B4A9F2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为公司带来的损益达到公司报告期利润总额</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以上的项目</w:t>
      </w:r>
    </w:p>
    <w:p w14:paraId="48C81A3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FA1BC2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公司报告期不存在为公司带来的损益达到公司报告期利润总额</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以上的托管项目。</w:t>
      </w:r>
    </w:p>
    <w:p w14:paraId="3ABB91F6"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120" w:name="_Toc989009"/>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承包情况</w:t>
      </w:r>
      <w:bookmarkEnd w:id="120"/>
    </w:p>
    <w:p w14:paraId="48DB5EE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2D4001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公司报告期不存在承包情况。</w:t>
      </w:r>
    </w:p>
    <w:p w14:paraId="3A14FD4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121" w:name="_Toc989010"/>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租赁情况</w:t>
      </w:r>
      <w:bookmarkEnd w:id="121"/>
    </w:p>
    <w:p w14:paraId="52445A3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346B5C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公司报告期不存在租赁情况。</w:t>
      </w:r>
    </w:p>
    <w:p w14:paraId="6AB817B6" w14:textId="77777777" w:rsidR="00E32FE0" w:rsidRPr="005B5EC1" w:rsidRDefault="00000000">
      <w:pPr>
        <w:pStyle w:val="3"/>
        <w:spacing w:line="280" w:lineRule="exact"/>
        <w:jc w:val="left"/>
        <w:rPr>
          <w:rFonts w:ascii="Times New Roman" w:hAnsi="Times New Roman" w:cs="Times New Roman"/>
          <w:b/>
          <w:bCs/>
        </w:rPr>
      </w:pPr>
      <w:bookmarkStart w:id="122" w:name="_Toc989011"/>
      <w:r w:rsidRPr="005B5EC1">
        <w:rPr>
          <w:rFonts w:ascii="Times New Roman" w:hAnsi="Times New Roman" w:cs="Times New Roman"/>
          <w:b/>
          <w:bCs/>
        </w:rPr>
        <w:t>2</w:t>
      </w:r>
      <w:r w:rsidRPr="005B5EC1">
        <w:rPr>
          <w:rFonts w:ascii="Times New Roman" w:hAnsi="Times New Roman" w:cs="Times New Roman"/>
          <w:b/>
          <w:bCs/>
        </w:rPr>
        <w:t>、重大担保</w:t>
      </w:r>
      <w:bookmarkEnd w:id="122"/>
    </w:p>
    <w:p w14:paraId="3372967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4E02CB36"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单位：万元</w:t>
      </w:r>
    </w:p>
    <w:tbl>
      <w:tblPr>
        <w:tblW w:w="9778" w:type="dxa"/>
        <w:tblInd w:w="-1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28" w:type="dxa"/>
          <w:right w:w="28" w:type="dxa"/>
        </w:tblCellMar>
        <w:tblLook w:val="04A0" w:firstRow="1" w:lastRow="0" w:firstColumn="1" w:lastColumn="0" w:noHBand="0" w:noVBand="1"/>
      </w:tblPr>
      <w:tblGrid>
        <w:gridCol w:w="1014"/>
        <w:gridCol w:w="1538"/>
        <w:gridCol w:w="567"/>
        <w:gridCol w:w="1559"/>
        <w:gridCol w:w="709"/>
        <w:gridCol w:w="1134"/>
        <w:gridCol w:w="567"/>
        <w:gridCol w:w="567"/>
        <w:gridCol w:w="992"/>
        <w:gridCol w:w="567"/>
        <w:gridCol w:w="564"/>
      </w:tblGrid>
      <w:tr w:rsidR="00E32FE0" w:rsidRPr="005B5EC1" w14:paraId="55CF04CD" w14:textId="77777777" w:rsidTr="002A6312">
        <w:trPr>
          <w:trHeight w:val="240"/>
        </w:trPr>
        <w:tc>
          <w:tcPr>
            <w:tcW w:w="9778"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5C3AC61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公司及其子公司对外担保情况（不包括对子公司的担保）</w:t>
            </w:r>
          </w:p>
        </w:tc>
      </w:tr>
      <w:tr w:rsidR="00FB57C3" w:rsidRPr="005B5EC1" w14:paraId="1E885C1C"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shd w:val="clear" w:color="auto" w:fill="D3D3D3"/>
            <w:vAlign w:val="center"/>
          </w:tcPr>
          <w:p w14:paraId="01F8042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担保对象名称</w:t>
            </w:r>
          </w:p>
        </w:tc>
        <w:tc>
          <w:tcPr>
            <w:tcW w:w="1538" w:type="dxa"/>
            <w:tcBorders>
              <w:top w:val="single" w:sz="2" w:space="0" w:color="auto"/>
              <w:left w:val="single" w:sz="2" w:space="0" w:color="auto"/>
              <w:bottom w:val="single" w:sz="2" w:space="0" w:color="auto"/>
              <w:right w:val="single" w:sz="2" w:space="0" w:color="auto"/>
            </w:tcBorders>
            <w:shd w:val="clear" w:color="auto" w:fill="D3D3D3"/>
            <w:vAlign w:val="center"/>
          </w:tcPr>
          <w:p w14:paraId="22C3A0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担保额度相关公告披露日期</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45F092D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担保额度</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93EDC4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实际发生日期</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B95B89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实际担保金额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9D7F53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担保类型</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CE70FD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担保物（如有）</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775711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反担保情况（如有）</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624950D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担保期</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31AE79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是否履行完毕</w:t>
            </w:r>
          </w:p>
        </w:tc>
        <w:tc>
          <w:tcPr>
            <w:tcW w:w="564" w:type="dxa"/>
            <w:tcBorders>
              <w:top w:val="single" w:sz="2" w:space="0" w:color="auto"/>
              <w:left w:val="single" w:sz="2" w:space="0" w:color="auto"/>
              <w:bottom w:val="single" w:sz="2" w:space="0" w:color="auto"/>
              <w:right w:val="single" w:sz="2" w:space="0" w:color="auto"/>
            </w:tcBorders>
            <w:shd w:val="clear" w:color="auto" w:fill="D3D3D3"/>
            <w:vAlign w:val="center"/>
          </w:tcPr>
          <w:p w14:paraId="0D6CB5D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是否为关联方担保</w:t>
            </w:r>
          </w:p>
        </w:tc>
      </w:tr>
      <w:tr w:rsidR="00E32FE0" w:rsidRPr="005B5EC1" w14:paraId="5428DF52" w14:textId="77777777" w:rsidTr="002A6312">
        <w:trPr>
          <w:trHeight w:val="240"/>
        </w:trPr>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0426CB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报告期内审批的对外担保额度合计（</w:t>
            </w:r>
            <w:r w:rsidRPr="005B5EC1">
              <w:rPr>
                <w:rFonts w:ascii="Times New Roman" w:eastAsia="宋体" w:hAnsi="Times New Roman" w:cs="Times New Roman"/>
                <w:sz w:val="18"/>
                <w:szCs w:val="18"/>
              </w:rPr>
              <w:t>A1</w:t>
            </w:r>
            <w:r w:rsidRPr="005B5EC1">
              <w:rPr>
                <w:rFonts w:ascii="Times New Roman" w:eastAsia="宋体" w:hAnsi="Times New Roman" w:cs="Times New Roman"/>
                <w:sz w:val="18"/>
                <w:szCs w:val="18"/>
              </w:rPr>
              <w:t>）</w:t>
            </w: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3F50D04A" w14:textId="77777777" w:rsidR="00E32FE0" w:rsidRPr="005B5EC1" w:rsidRDefault="00000000" w:rsidP="002A631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A5388D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报告期内对外担保实际发生额合计（</w:t>
            </w:r>
            <w:r w:rsidRPr="005B5EC1">
              <w:rPr>
                <w:rFonts w:ascii="Times New Roman" w:eastAsia="宋体" w:hAnsi="Times New Roman" w:cs="Times New Roman"/>
                <w:sz w:val="18"/>
                <w:szCs w:val="18"/>
              </w:rPr>
              <w:t>A2</w:t>
            </w:r>
            <w:r w:rsidRPr="005B5EC1">
              <w:rPr>
                <w:rFonts w:ascii="Times New Roman" w:eastAsia="宋体" w:hAnsi="Times New Roman" w:cs="Times New Roman"/>
                <w:sz w:val="18"/>
                <w:szCs w:val="18"/>
              </w:rPr>
              <w:t>）</w:t>
            </w:r>
          </w:p>
        </w:tc>
        <w:tc>
          <w:tcPr>
            <w:tcW w:w="3257" w:type="dxa"/>
            <w:gridSpan w:val="5"/>
            <w:tcBorders>
              <w:top w:val="single" w:sz="2" w:space="0" w:color="auto"/>
              <w:left w:val="single" w:sz="2" w:space="0" w:color="auto"/>
              <w:bottom w:val="single" w:sz="2" w:space="0" w:color="auto"/>
              <w:right w:val="single" w:sz="2" w:space="0" w:color="auto"/>
            </w:tcBorders>
            <w:vAlign w:val="center"/>
          </w:tcPr>
          <w:p w14:paraId="11B47CEA" w14:textId="77777777" w:rsidR="00E32FE0" w:rsidRPr="005B5EC1" w:rsidRDefault="00000000" w:rsidP="002A631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6F9FC746" w14:textId="77777777" w:rsidTr="002A6312">
        <w:trPr>
          <w:trHeight w:val="240"/>
        </w:trPr>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F0C1D1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报告期末已审批的对外担保额度合计（</w:t>
            </w:r>
            <w:r w:rsidRPr="005B5EC1">
              <w:rPr>
                <w:rFonts w:ascii="Times New Roman" w:eastAsia="宋体" w:hAnsi="Times New Roman" w:cs="Times New Roman"/>
                <w:sz w:val="18"/>
                <w:szCs w:val="18"/>
              </w:rPr>
              <w:t>A3</w:t>
            </w:r>
            <w:r w:rsidRPr="005B5EC1">
              <w:rPr>
                <w:rFonts w:ascii="Times New Roman" w:eastAsia="宋体" w:hAnsi="Times New Roman" w:cs="Times New Roman"/>
                <w:sz w:val="18"/>
                <w:szCs w:val="18"/>
              </w:rPr>
              <w:t>）</w:t>
            </w: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4EC5B095" w14:textId="77777777" w:rsidR="00E32FE0" w:rsidRPr="005B5EC1" w:rsidRDefault="00000000" w:rsidP="002A631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114362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报告期末实际对外担保余额合计（</w:t>
            </w:r>
            <w:r w:rsidRPr="005B5EC1">
              <w:rPr>
                <w:rFonts w:ascii="Times New Roman" w:eastAsia="宋体" w:hAnsi="Times New Roman" w:cs="Times New Roman"/>
                <w:sz w:val="18"/>
                <w:szCs w:val="18"/>
              </w:rPr>
              <w:t>A4</w:t>
            </w:r>
            <w:r w:rsidRPr="005B5EC1">
              <w:rPr>
                <w:rFonts w:ascii="Times New Roman" w:eastAsia="宋体" w:hAnsi="Times New Roman" w:cs="Times New Roman"/>
                <w:sz w:val="18"/>
                <w:szCs w:val="18"/>
              </w:rPr>
              <w:t>）</w:t>
            </w:r>
          </w:p>
        </w:tc>
        <w:tc>
          <w:tcPr>
            <w:tcW w:w="3257" w:type="dxa"/>
            <w:gridSpan w:val="5"/>
            <w:tcBorders>
              <w:top w:val="single" w:sz="2" w:space="0" w:color="auto"/>
              <w:left w:val="single" w:sz="2" w:space="0" w:color="auto"/>
              <w:bottom w:val="single" w:sz="2" w:space="0" w:color="auto"/>
              <w:right w:val="single" w:sz="2" w:space="0" w:color="auto"/>
            </w:tcBorders>
            <w:vAlign w:val="center"/>
          </w:tcPr>
          <w:p w14:paraId="4F6EFAFE" w14:textId="77777777" w:rsidR="00E32FE0" w:rsidRPr="005B5EC1" w:rsidRDefault="00000000" w:rsidP="002A631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01BF4A6E" w14:textId="77777777" w:rsidTr="002A6312">
        <w:trPr>
          <w:trHeight w:val="240"/>
        </w:trPr>
        <w:tc>
          <w:tcPr>
            <w:tcW w:w="9778"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5FACC2F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公司对子公司的担保情况</w:t>
            </w:r>
          </w:p>
        </w:tc>
      </w:tr>
      <w:tr w:rsidR="00FB57C3" w:rsidRPr="005B5EC1" w14:paraId="70289B0A"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shd w:val="clear" w:color="auto" w:fill="D3D3D3"/>
            <w:vAlign w:val="center"/>
          </w:tcPr>
          <w:p w14:paraId="22971E4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担保对象名称</w:t>
            </w:r>
          </w:p>
        </w:tc>
        <w:tc>
          <w:tcPr>
            <w:tcW w:w="1538" w:type="dxa"/>
            <w:tcBorders>
              <w:top w:val="single" w:sz="2" w:space="0" w:color="auto"/>
              <w:left w:val="single" w:sz="2" w:space="0" w:color="auto"/>
              <w:bottom w:val="single" w:sz="2" w:space="0" w:color="auto"/>
              <w:right w:val="single" w:sz="2" w:space="0" w:color="auto"/>
            </w:tcBorders>
            <w:shd w:val="clear" w:color="auto" w:fill="D3D3D3"/>
            <w:vAlign w:val="center"/>
          </w:tcPr>
          <w:p w14:paraId="1A70514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担保额度相关公告披露日期</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1E9C01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担保额度</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5F7C1DC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实际发生日期</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78E73A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实际担保金额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EF838F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担保类型</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43AD5CE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担保物（如有）</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CD0E9C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反担保情况（如有）</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5A60A9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担保期</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6DF0B71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是否履行完毕</w:t>
            </w:r>
          </w:p>
        </w:tc>
        <w:tc>
          <w:tcPr>
            <w:tcW w:w="564" w:type="dxa"/>
            <w:tcBorders>
              <w:top w:val="single" w:sz="2" w:space="0" w:color="auto"/>
              <w:left w:val="single" w:sz="2" w:space="0" w:color="auto"/>
              <w:bottom w:val="single" w:sz="2" w:space="0" w:color="auto"/>
              <w:right w:val="single" w:sz="2" w:space="0" w:color="auto"/>
            </w:tcBorders>
            <w:shd w:val="clear" w:color="auto" w:fill="D3D3D3"/>
            <w:vAlign w:val="center"/>
          </w:tcPr>
          <w:p w14:paraId="46ACD9B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是否为关联方担保</w:t>
            </w:r>
          </w:p>
        </w:tc>
      </w:tr>
      <w:tr w:rsidR="00FB57C3" w:rsidRPr="005B5EC1" w14:paraId="565DFCF5"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60D0C7D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烟台龙大养殖有限公司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4490659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29638C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559" w:type="dxa"/>
            <w:tcBorders>
              <w:top w:val="single" w:sz="2" w:space="0" w:color="auto"/>
              <w:left w:val="single" w:sz="2" w:space="0" w:color="auto"/>
              <w:bottom w:val="single" w:sz="2" w:space="0" w:color="auto"/>
              <w:right w:val="single" w:sz="2" w:space="0" w:color="auto"/>
            </w:tcBorders>
            <w:vAlign w:val="center"/>
          </w:tcPr>
          <w:p w14:paraId="080E26B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1EFA89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3,600</w:t>
            </w:r>
          </w:p>
        </w:tc>
        <w:tc>
          <w:tcPr>
            <w:tcW w:w="1134" w:type="dxa"/>
            <w:tcBorders>
              <w:top w:val="single" w:sz="2" w:space="0" w:color="auto"/>
              <w:left w:val="single" w:sz="2" w:space="0" w:color="auto"/>
              <w:bottom w:val="single" w:sz="2" w:space="0" w:color="auto"/>
              <w:right w:val="single" w:sz="2" w:space="0" w:color="auto"/>
            </w:tcBorders>
            <w:vAlign w:val="center"/>
          </w:tcPr>
          <w:p w14:paraId="0222D97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DFC3C7D"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0A92DA1"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54836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2023.11.07-2024.05.07</w:t>
            </w:r>
          </w:p>
        </w:tc>
        <w:tc>
          <w:tcPr>
            <w:tcW w:w="567" w:type="dxa"/>
            <w:tcBorders>
              <w:top w:val="single" w:sz="2" w:space="0" w:color="auto"/>
              <w:left w:val="single" w:sz="2" w:space="0" w:color="auto"/>
              <w:bottom w:val="single" w:sz="2" w:space="0" w:color="auto"/>
              <w:right w:val="single" w:sz="2" w:space="0" w:color="auto"/>
            </w:tcBorders>
            <w:vAlign w:val="center"/>
          </w:tcPr>
          <w:p w14:paraId="0E4DA1C2"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5343429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8C1A5CC"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6EBE30F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烟台龙大养殖有限公司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116A995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189EF2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559" w:type="dxa"/>
            <w:tcBorders>
              <w:top w:val="single" w:sz="2" w:space="0" w:color="auto"/>
              <w:left w:val="single" w:sz="2" w:space="0" w:color="auto"/>
              <w:bottom w:val="single" w:sz="2" w:space="0" w:color="auto"/>
              <w:right w:val="single" w:sz="2" w:space="0" w:color="auto"/>
            </w:tcBorders>
            <w:vAlign w:val="center"/>
          </w:tcPr>
          <w:p w14:paraId="63A7B23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36D7B3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2,400</w:t>
            </w:r>
          </w:p>
        </w:tc>
        <w:tc>
          <w:tcPr>
            <w:tcW w:w="1134" w:type="dxa"/>
            <w:tcBorders>
              <w:top w:val="single" w:sz="2" w:space="0" w:color="auto"/>
              <w:left w:val="single" w:sz="2" w:space="0" w:color="auto"/>
              <w:bottom w:val="single" w:sz="2" w:space="0" w:color="auto"/>
              <w:right w:val="single" w:sz="2" w:space="0" w:color="auto"/>
            </w:tcBorders>
            <w:vAlign w:val="center"/>
          </w:tcPr>
          <w:p w14:paraId="0A1BE70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B7A1A41"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64E2A59"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FBB603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2023.11.06-2024.05.06</w:t>
            </w:r>
          </w:p>
        </w:tc>
        <w:tc>
          <w:tcPr>
            <w:tcW w:w="567" w:type="dxa"/>
            <w:tcBorders>
              <w:top w:val="single" w:sz="2" w:space="0" w:color="auto"/>
              <w:left w:val="single" w:sz="2" w:space="0" w:color="auto"/>
              <w:bottom w:val="single" w:sz="2" w:space="0" w:color="auto"/>
              <w:right w:val="single" w:sz="2" w:space="0" w:color="auto"/>
            </w:tcBorders>
            <w:vAlign w:val="center"/>
          </w:tcPr>
          <w:p w14:paraId="1265F2B3"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6C1C67A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68AAAEE6"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802500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烟台龙大养殖有限公司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6BC63E3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F4CC97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559" w:type="dxa"/>
            <w:tcBorders>
              <w:top w:val="single" w:sz="2" w:space="0" w:color="auto"/>
              <w:left w:val="single" w:sz="2" w:space="0" w:color="auto"/>
              <w:bottom w:val="single" w:sz="2" w:space="0" w:color="auto"/>
              <w:right w:val="single" w:sz="2" w:space="0" w:color="auto"/>
            </w:tcBorders>
            <w:vAlign w:val="center"/>
          </w:tcPr>
          <w:p w14:paraId="2FDA018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97A227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3D89EBF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F2DC19C"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96972EF"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D6B1F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2024.05.07-2025.05.04</w:t>
            </w:r>
          </w:p>
        </w:tc>
        <w:tc>
          <w:tcPr>
            <w:tcW w:w="567" w:type="dxa"/>
            <w:tcBorders>
              <w:top w:val="single" w:sz="2" w:space="0" w:color="auto"/>
              <w:left w:val="single" w:sz="2" w:space="0" w:color="auto"/>
              <w:bottom w:val="single" w:sz="2" w:space="0" w:color="auto"/>
              <w:right w:val="single" w:sz="2" w:space="0" w:color="auto"/>
            </w:tcBorders>
            <w:vAlign w:val="center"/>
          </w:tcPr>
          <w:p w14:paraId="41913D9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7BF45D42"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3087A6B"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704AC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烟台龙大饲料有限公司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095CBF3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620961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6B2AECE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8CE95F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585BBB9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2382C5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0096D41"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4B12F2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2023.06.27-2024.06.25</w:t>
            </w:r>
          </w:p>
        </w:tc>
        <w:tc>
          <w:tcPr>
            <w:tcW w:w="567" w:type="dxa"/>
            <w:tcBorders>
              <w:top w:val="single" w:sz="2" w:space="0" w:color="auto"/>
              <w:left w:val="single" w:sz="2" w:space="0" w:color="auto"/>
              <w:bottom w:val="single" w:sz="2" w:space="0" w:color="auto"/>
              <w:right w:val="single" w:sz="2" w:space="0" w:color="auto"/>
            </w:tcBorders>
            <w:vAlign w:val="center"/>
          </w:tcPr>
          <w:p w14:paraId="6C6BC602"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7D9833C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665A5761"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074D3C3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烟台龙大饲料有限公司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90B6ED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6A8AAD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950</w:t>
            </w:r>
          </w:p>
        </w:tc>
        <w:tc>
          <w:tcPr>
            <w:tcW w:w="1559" w:type="dxa"/>
            <w:tcBorders>
              <w:top w:val="single" w:sz="2" w:space="0" w:color="auto"/>
              <w:left w:val="single" w:sz="2" w:space="0" w:color="auto"/>
              <w:bottom w:val="single" w:sz="2" w:space="0" w:color="auto"/>
              <w:right w:val="single" w:sz="2" w:space="0" w:color="auto"/>
            </w:tcBorders>
            <w:vAlign w:val="center"/>
          </w:tcPr>
          <w:p w14:paraId="0FAEC76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29</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F25B22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950</w:t>
            </w:r>
          </w:p>
        </w:tc>
        <w:tc>
          <w:tcPr>
            <w:tcW w:w="1134" w:type="dxa"/>
            <w:tcBorders>
              <w:top w:val="single" w:sz="2" w:space="0" w:color="auto"/>
              <w:left w:val="single" w:sz="2" w:space="0" w:color="auto"/>
              <w:bottom w:val="single" w:sz="2" w:space="0" w:color="auto"/>
              <w:right w:val="single" w:sz="2" w:space="0" w:color="auto"/>
            </w:tcBorders>
            <w:vAlign w:val="center"/>
          </w:tcPr>
          <w:p w14:paraId="24318C2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BDA1D78"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9A936A6"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BA23EA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2023.08.29-2024.08.24</w:t>
            </w:r>
          </w:p>
        </w:tc>
        <w:tc>
          <w:tcPr>
            <w:tcW w:w="567" w:type="dxa"/>
            <w:tcBorders>
              <w:top w:val="single" w:sz="2" w:space="0" w:color="auto"/>
              <w:left w:val="single" w:sz="2" w:space="0" w:color="auto"/>
              <w:bottom w:val="single" w:sz="2" w:space="0" w:color="auto"/>
              <w:right w:val="single" w:sz="2" w:space="0" w:color="auto"/>
            </w:tcBorders>
            <w:vAlign w:val="center"/>
          </w:tcPr>
          <w:p w14:paraId="6A4B011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5A75701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9FDE5EE"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2D71E7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烟台龙大饲料有限公司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01B7DF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5F57F5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900</w:t>
            </w:r>
          </w:p>
        </w:tc>
        <w:tc>
          <w:tcPr>
            <w:tcW w:w="1559" w:type="dxa"/>
            <w:tcBorders>
              <w:top w:val="single" w:sz="2" w:space="0" w:color="auto"/>
              <w:left w:val="single" w:sz="2" w:space="0" w:color="auto"/>
              <w:bottom w:val="single" w:sz="2" w:space="0" w:color="auto"/>
              <w:right w:val="single" w:sz="2" w:space="0" w:color="auto"/>
            </w:tcBorders>
            <w:vAlign w:val="center"/>
          </w:tcPr>
          <w:p w14:paraId="3623299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DFF4F6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900</w:t>
            </w:r>
          </w:p>
        </w:tc>
        <w:tc>
          <w:tcPr>
            <w:tcW w:w="1134" w:type="dxa"/>
            <w:tcBorders>
              <w:top w:val="single" w:sz="2" w:space="0" w:color="auto"/>
              <w:left w:val="single" w:sz="2" w:space="0" w:color="auto"/>
              <w:bottom w:val="single" w:sz="2" w:space="0" w:color="auto"/>
              <w:right w:val="single" w:sz="2" w:space="0" w:color="auto"/>
            </w:tcBorders>
            <w:vAlign w:val="center"/>
          </w:tcPr>
          <w:p w14:paraId="4696E16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2551763F"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1321C37"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A712ED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2024.08.22-2025.08.21</w:t>
            </w:r>
          </w:p>
        </w:tc>
        <w:tc>
          <w:tcPr>
            <w:tcW w:w="567" w:type="dxa"/>
            <w:tcBorders>
              <w:top w:val="single" w:sz="2" w:space="0" w:color="auto"/>
              <w:left w:val="single" w:sz="2" w:space="0" w:color="auto"/>
              <w:bottom w:val="single" w:sz="2" w:space="0" w:color="auto"/>
              <w:right w:val="single" w:sz="2" w:space="0" w:color="auto"/>
            </w:tcBorders>
            <w:vAlign w:val="center"/>
          </w:tcPr>
          <w:p w14:paraId="231EC52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6E7F055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6251AE59"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C6A9BD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烟台龙大饲料有限公司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60E8C8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D651C8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0B03692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CE6441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48CF7D1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AFF1840"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75225DF"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5838E9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2024.04.19-2025.04.08</w:t>
            </w:r>
          </w:p>
        </w:tc>
        <w:tc>
          <w:tcPr>
            <w:tcW w:w="567" w:type="dxa"/>
            <w:tcBorders>
              <w:top w:val="single" w:sz="2" w:space="0" w:color="auto"/>
              <w:left w:val="single" w:sz="2" w:space="0" w:color="auto"/>
              <w:bottom w:val="single" w:sz="2" w:space="0" w:color="auto"/>
              <w:right w:val="single" w:sz="2" w:space="0" w:color="auto"/>
            </w:tcBorders>
            <w:vAlign w:val="center"/>
          </w:tcPr>
          <w:p w14:paraId="530201A2"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0F05887C"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5F433C5"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29A7A1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烟台龙大饲料有限公司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B4B15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A7B485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6692F06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E1D34E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3184209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34E33F69"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D0470F8"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E6E9B0E" w14:textId="4D3A34FB"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w:t>
            </w:r>
            <w:r w:rsidR="00135897">
              <w:rPr>
                <w:rFonts w:ascii="Times New Roman" w:eastAsia="宋体" w:hAnsi="Times New Roman" w:cs="Times New Roman" w:hint="eastAsia"/>
                <w:sz w:val="18"/>
                <w:szCs w:val="18"/>
              </w:rPr>
              <w:t>2</w:t>
            </w:r>
            <w:r w:rsidRPr="005B5EC1">
              <w:rPr>
                <w:rFonts w:ascii="Times New Roman" w:eastAsia="宋体" w:hAnsi="Times New Roman" w:cs="Times New Roman"/>
                <w:sz w:val="18"/>
                <w:szCs w:val="18"/>
              </w:rPr>
              <w:t>4.12.13-2025.12.10</w:t>
            </w:r>
          </w:p>
        </w:tc>
        <w:tc>
          <w:tcPr>
            <w:tcW w:w="567" w:type="dxa"/>
            <w:tcBorders>
              <w:top w:val="single" w:sz="2" w:space="0" w:color="auto"/>
              <w:left w:val="single" w:sz="2" w:space="0" w:color="auto"/>
              <w:bottom w:val="single" w:sz="2" w:space="0" w:color="auto"/>
              <w:right w:val="single" w:sz="2" w:space="0" w:color="auto"/>
            </w:tcBorders>
            <w:vAlign w:val="center"/>
          </w:tcPr>
          <w:p w14:paraId="743F546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3C96F2F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41E1C38"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0472C2F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41AE52A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7A4963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559" w:type="dxa"/>
            <w:tcBorders>
              <w:top w:val="single" w:sz="2" w:space="0" w:color="auto"/>
              <w:left w:val="single" w:sz="2" w:space="0" w:color="auto"/>
              <w:bottom w:val="single" w:sz="2" w:space="0" w:color="auto"/>
              <w:right w:val="single" w:sz="2" w:space="0" w:color="auto"/>
            </w:tcBorders>
            <w:vAlign w:val="center"/>
          </w:tcPr>
          <w:p w14:paraId="6024CBB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EA8541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1AAE048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20F0FF6C"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8838B2E"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97F3F5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2023.07.19-2024.01.19</w:t>
            </w:r>
          </w:p>
        </w:tc>
        <w:tc>
          <w:tcPr>
            <w:tcW w:w="567" w:type="dxa"/>
            <w:tcBorders>
              <w:top w:val="single" w:sz="2" w:space="0" w:color="auto"/>
              <w:left w:val="single" w:sz="2" w:space="0" w:color="auto"/>
              <w:bottom w:val="single" w:sz="2" w:space="0" w:color="auto"/>
              <w:right w:val="single" w:sz="2" w:space="0" w:color="auto"/>
            </w:tcBorders>
            <w:vAlign w:val="center"/>
          </w:tcPr>
          <w:p w14:paraId="31AE18C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7EF9E6F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5609AF1"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22D7AA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45C7C24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1B759EB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4,000</w:t>
            </w:r>
          </w:p>
        </w:tc>
        <w:tc>
          <w:tcPr>
            <w:tcW w:w="1559" w:type="dxa"/>
            <w:tcBorders>
              <w:top w:val="single" w:sz="2" w:space="0" w:color="auto"/>
              <w:left w:val="single" w:sz="2" w:space="0" w:color="auto"/>
              <w:bottom w:val="single" w:sz="2" w:space="0" w:color="auto"/>
              <w:right w:val="single" w:sz="2" w:space="0" w:color="auto"/>
            </w:tcBorders>
            <w:vAlign w:val="center"/>
          </w:tcPr>
          <w:p w14:paraId="0A56F32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4B9FD3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4,000</w:t>
            </w:r>
          </w:p>
        </w:tc>
        <w:tc>
          <w:tcPr>
            <w:tcW w:w="1134" w:type="dxa"/>
            <w:tcBorders>
              <w:top w:val="single" w:sz="2" w:space="0" w:color="auto"/>
              <w:left w:val="single" w:sz="2" w:space="0" w:color="auto"/>
              <w:bottom w:val="single" w:sz="2" w:space="0" w:color="auto"/>
              <w:right w:val="single" w:sz="2" w:space="0" w:color="auto"/>
            </w:tcBorders>
            <w:vAlign w:val="center"/>
          </w:tcPr>
          <w:p w14:paraId="2E3545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CC8B8D1"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B66FF58"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95EAF8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2023.07.20-2024.01.20</w:t>
            </w:r>
          </w:p>
        </w:tc>
        <w:tc>
          <w:tcPr>
            <w:tcW w:w="567" w:type="dxa"/>
            <w:tcBorders>
              <w:top w:val="single" w:sz="2" w:space="0" w:color="auto"/>
              <w:left w:val="single" w:sz="2" w:space="0" w:color="auto"/>
              <w:bottom w:val="single" w:sz="2" w:space="0" w:color="auto"/>
              <w:right w:val="single" w:sz="2" w:space="0" w:color="auto"/>
            </w:tcBorders>
            <w:vAlign w:val="center"/>
          </w:tcPr>
          <w:p w14:paraId="507FCE3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5216F27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7CE931E"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624F5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02FD5D4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CF01E2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32C24C5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2F8561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6C0C77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3553D822"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C975DE6"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5FA40B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2023.05.12-2024.05.09</w:t>
            </w:r>
          </w:p>
        </w:tc>
        <w:tc>
          <w:tcPr>
            <w:tcW w:w="567" w:type="dxa"/>
            <w:tcBorders>
              <w:top w:val="single" w:sz="2" w:space="0" w:color="auto"/>
              <w:left w:val="single" w:sz="2" w:space="0" w:color="auto"/>
              <w:bottom w:val="single" w:sz="2" w:space="0" w:color="auto"/>
              <w:right w:val="single" w:sz="2" w:space="0" w:color="auto"/>
            </w:tcBorders>
            <w:vAlign w:val="center"/>
          </w:tcPr>
          <w:p w14:paraId="6C90446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759DF50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70EA103F"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AEEC3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14DF80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D41CB2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559" w:type="dxa"/>
            <w:tcBorders>
              <w:top w:val="single" w:sz="2" w:space="0" w:color="auto"/>
              <w:left w:val="single" w:sz="2" w:space="0" w:color="auto"/>
              <w:bottom w:val="single" w:sz="2" w:space="0" w:color="auto"/>
              <w:right w:val="single" w:sz="2" w:space="0" w:color="auto"/>
            </w:tcBorders>
            <w:vAlign w:val="center"/>
          </w:tcPr>
          <w:p w14:paraId="401B2DA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DB2FFA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0706E5B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2EA85A81"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BA4CE59"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C8CEA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2024.01.22-2024.07.22</w:t>
            </w:r>
          </w:p>
        </w:tc>
        <w:tc>
          <w:tcPr>
            <w:tcW w:w="567" w:type="dxa"/>
            <w:tcBorders>
              <w:top w:val="single" w:sz="2" w:space="0" w:color="auto"/>
              <w:left w:val="single" w:sz="2" w:space="0" w:color="auto"/>
              <w:bottom w:val="single" w:sz="2" w:space="0" w:color="auto"/>
              <w:right w:val="single" w:sz="2" w:space="0" w:color="auto"/>
            </w:tcBorders>
            <w:vAlign w:val="center"/>
          </w:tcPr>
          <w:p w14:paraId="551686F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5C457D70"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BF982F4"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E7E23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827540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7D089E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4,000</w:t>
            </w:r>
          </w:p>
        </w:tc>
        <w:tc>
          <w:tcPr>
            <w:tcW w:w="1559" w:type="dxa"/>
            <w:tcBorders>
              <w:top w:val="single" w:sz="2" w:space="0" w:color="auto"/>
              <w:left w:val="single" w:sz="2" w:space="0" w:color="auto"/>
              <w:bottom w:val="single" w:sz="2" w:space="0" w:color="auto"/>
              <w:right w:val="single" w:sz="2" w:space="0" w:color="auto"/>
            </w:tcBorders>
            <w:vAlign w:val="center"/>
          </w:tcPr>
          <w:p w14:paraId="6646730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7B88C4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4,000</w:t>
            </w:r>
          </w:p>
        </w:tc>
        <w:tc>
          <w:tcPr>
            <w:tcW w:w="1134" w:type="dxa"/>
            <w:tcBorders>
              <w:top w:val="single" w:sz="2" w:space="0" w:color="auto"/>
              <w:left w:val="single" w:sz="2" w:space="0" w:color="auto"/>
              <w:bottom w:val="single" w:sz="2" w:space="0" w:color="auto"/>
              <w:right w:val="single" w:sz="2" w:space="0" w:color="auto"/>
            </w:tcBorders>
            <w:vAlign w:val="center"/>
          </w:tcPr>
          <w:p w14:paraId="3DEAF98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A73998A"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FD639BF"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8721C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2024.01.24-2024.07.23</w:t>
            </w:r>
          </w:p>
        </w:tc>
        <w:tc>
          <w:tcPr>
            <w:tcW w:w="567" w:type="dxa"/>
            <w:tcBorders>
              <w:top w:val="single" w:sz="2" w:space="0" w:color="auto"/>
              <w:left w:val="single" w:sz="2" w:space="0" w:color="auto"/>
              <w:bottom w:val="single" w:sz="2" w:space="0" w:color="auto"/>
              <w:right w:val="single" w:sz="2" w:space="0" w:color="auto"/>
            </w:tcBorders>
            <w:vAlign w:val="center"/>
          </w:tcPr>
          <w:p w14:paraId="6CBDD743"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49F80C3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ED71CDC"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E21B6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E7014A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1CD5D7A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52BF4BA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FC7318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67C396F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582EE19"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AF51EA9"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8A5EA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2024.05.15-2025.05.14</w:t>
            </w:r>
          </w:p>
        </w:tc>
        <w:tc>
          <w:tcPr>
            <w:tcW w:w="567" w:type="dxa"/>
            <w:tcBorders>
              <w:top w:val="single" w:sz="2" w:space="0" w:color="auto"/>
              <w:left w:val="single" w:sz="2" w:space="0" w:color="auto"/>
              <w:bottom w:val="single" w:sz="2" w:space="0" w:color="auto"/>
              <w:right w:val="single" w:sz="2" w:space="0" w:color="auto"/>
            </w:tcBorders>
            <w:vAlign w:val="center"/>
          </w:tcPr>
          <w:p w14:paraId="20185D3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61BCB0C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E70F178"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D7AF7D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182DD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481149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2,700</w:t>
            </w:r>
          </w:p>
        </w:tc>
        <w:tc>
          <w:tcPr>
            <w:tcW w:w="1559" w:type="dxa"/>
            <w:tcBorders>
              <w:top w:val="single" w:sz="2" w:space="0" w:color="auto"/>
              <w:left w:val="single" w:sz="2" w:space="0" w:color="auto"/>
              <w:bottom w:val="single" w:sz="2" w:space="0" w:color="auto"/>
              <w:right w:val="single" w:sz="2" w:space="0" w:color="auto"/>
            </w:tcBorders>
            <w:vAlign w:val="center"/>
          </w:tcPr>
          <w:p w14:paraId="6700C86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41479C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2,700</w:t>
            </w:r>
          </w:p>
        </w:tc>
        <w:tc>
          <w:tcPr>
            <w:tcW w:w="1134" w:type="dxa"/>
            <w:tcBorders>
              <w:top w:val="single" w:sz="2" w:space="0" w:color="auto"/>
              <w:left w:val="single" w:sz="2" w:space="0" w:color="auto"/>
              <w:bottom w:val="single" w:sz="2" w:space="0" w:color="auto"/>
              <w:right w:val="single" w:sz="2" w:space="0" w:color="auto"/>
            </w:tcBorders>
            <w:vAlign w:val="center"/>
          </w:tcPr>
          <w:p w14:paraId="408F70E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9EBF416"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BFFCE7A"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FA0FA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2024.08.01-2025.01.22</w:t>
            </w:r>
          </w:p>
        </w:tc>
        <w:tc>
          <w:tcPr>
            <w:tcW w:w="567" w:type="dxa"/>
            <w:tcBorders>
              <w:top w:val="single" w:sz="2" w:space="0" w:color="auto"/>
              <w:left w:val="single" w:sz="2" w:space="0" w:color="auto"/>
              <w:bottom w:val="single" w:sz="2" w:space="0" w:color="auto"/>
              <w:right w:val="single" w:sz="2" w:space="0" w:color="auto"/>
            </w:tcBorders>
            <w:vAlign w:val="center"/>
          </w:tcPr>
          <w:p w14:paraId="4DA4EB5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4AE5015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1F73D05"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DEC6F6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青岛新胜锦食品商贸有限公司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27A579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A80581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68C112D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1FCDF2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6D09D0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2C93AFCF"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8CC5D5C"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3265F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2023.07.31-2024.07.28</w:t>
            </w:r>
          </w:p>
        </w:tc>
        <w:tc>
          <w:tcPr>
            <w:tcW w:w="567" w:type="dxa"/>
            <w:tcBorders>
              <w:top w:val="single" w:sz="2" w:space="0" w:color="auto"/>
              <w:left w:val="single" w:sz="2" w:space="0" w:color="auto"/>
              <w:bottom w:val="single" w:sz="2" w:space="0" w:color="auto"/>
              <w:right w:val="single" w:sz="2" w:space="0" w:color="auto"/>
            </w:tcBorders>
            <w:vAlign w:val="center"/>
          </w:tcPr>
          <w:p w14:paraId="42174EE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133ACDD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08C210F"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4ECBE1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94520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C002F7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3E292C8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C9D805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515199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270C13B"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AB1C8E0"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1742E6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2024.12.13-2025.12.10</w:t>
            </w:r>
          </w:p>
        </w:tc>
        <w:tc>
          <w:tcPr>
            <w:tcW w:w="567" w:type="dxa"/>
            <w:tcBorders>
              <w:top w:val="single" w:sz="2" w:space="0" w:color="auto"/>
              <w:left w:val="single" w:sz="2" w:space="0" w:color="auto"/>
              <w:bottom w:val="single" w:sz="2" w:space="0" w:color="auto"/>
              <w:right w:val="single" w:sz="2" w:space="0" w:color="auto"/>
            </w:tcBorders>
            <w:vAlign w:val="center"/>
          </w:tcPr>
          <w:p w14:paraId="312567DC"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030E241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2B483AA"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ADD22F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0092C7B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1A040EC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14,000</w:t>
            </w:r>
          </w:p>
        </w:tc>
        <w:tc>
          <w:tcPr>
            <w:tcW w:w="1559" w:type="dxa"/>
            <w:tcBorders>
              <w:top w:val="single" w:sz="2" w:space="0" w:color="auto"/>
              <w:left w:val="single" w:sz="2" w:space="0" w:color="auto"/>
              <w:bottom w:val="single" w:sz="2" w:space="0" w:color="auto"/>
              <w:right w:val="single" w:sz="2" w:space="0" w:color="auto"/>
            </w:tcBorders>
            <w:vAlign w:val="center"/>
          </w:tcPr>
          <w:p w14:paraId="28B869C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5BDAE3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3,500</w:t>
            </w:r>
          </w:p>
        </w:tc>
        <w:tc>
          <w:tcPr>
            <w:tcW w:w="1134" w:type="dxa"/>
            <w:tcBorders>
              <w:top w:val="single" w:sz="2" w:space="0" w:color="auto"/>
              <w:left w:val="single" w:sz="2" w:space="0" w:color="auto"/>
              <w:bottom w:val="single" w:sz="2" w:space="0" w:color="auto"/>
              <w:right w:val="single" w:sz="2" w:space="0" w:color="auto"/>
            </w:tcBorders>
            <w:vAlign w:val="center"/>
          </w:tcPr>
          <w:p w14:paraId="18D19D2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3C85EA08"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8701616"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F0C3A6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2023.07.10-2024.01.10</w:t>
            </w:r>
          </w:p>
        </w:tc>
        <w:tc>
          <w:tcPr>
            <w:tcW w:w="567" w:type="dxa"/>
            <w:tcBorders>
              <w:top w:val="single" w:sz="2" w:space="0" w:color="auto"/>
              <w:left w:val="single" w:sz="2" w:space="0" w:color="auto"/>
              <w:bottom w:val="single" w:sz="2" w:space="0" w:color="auto"/>
              <w:right w:val="single" w:sz="2" w:space="0" w:color="auto"/>
            </w:tcBorders>
            <w:vAlign w:val="center"/>
          </w:tcPr>
          <w:p w14:paraId="1328AD20"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1A86714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1FC0809"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22BE68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7938883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8CF5DE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16526DB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347D68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25FECD9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3B220920"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3C4E05A"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2DF9A5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2023.09.25-2024.02.26</w:t>
            </w:r>
          </w:p>
        </w:tc>
        <w:tc>
          <w:tcPr>
            <w:tcW w:w="567" w:type="dxa"/>
            <w:tcBorders>
              <w:top w:val="single" w:sz="2" w:space="0" w:color="auto"/>
              <w:left w:val="single" w:sz="2" w:space="0" w:color="auto"/>
              <w:bottom w:val="single" w:sz="2" w:space="0" w:color="auto"/>
              <w:right w:val="single" w:sz="2" w:space="0" w:color="auto"/>
            </w:tcBorders>
            <w:vAlign w:val="center"/>
          </w:tcPr>
          <w:p w14:paraId="6731A81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77097C8C"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2062F9B"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CCD20C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6470490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2ADF1B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14,000</w:t>
            </w:r>
          </w:p>
        </w:tc>
        <w:tc>
          <w:tcPr>
            <w:tcW w:w="1559" w:type="dxa"/>
            <w:tcBorders>
              <w:top w:val="single" w:sz="2" w:space="0" w:color="auto"/>
              <w:left w:val="single" w:sz="2" w:space="0" w:color="auto"/>
              <w:bottom w:val="single" w:sz="2" w:space="0" w:color="auto"/>
              <w:right w:val="single" w:sz="2" w:space="0" w:color="auto"/>
            </w:tcBorders>
            <w:vAlign w:val="center"/>
          </w:tcPr>
          <w:p w14:paraId="261E324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29</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F7C786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1,400</w:t>
            </w:r>
          </w:p>
        </w:tc>
        <w:tc>
          <w:tcPr>
            <w:tcW w:w="1134" w:type="dxa"/>
            <w:tcBorders>
              <w:top w:val="single" w:sz="2" w:space="0" w:color="auto"/>
              <w:left w:val="single" w:sz="2" w:space="0" w:color="auto"/>
              <w:bottom w:val="single" w:sz="2" w:space="0" w:color="auto"/>
              <w:right w:val="single" w:sz="2" w:space="0" w:color="auto"/>
            </w:tcBorders>
            <w:vAlign w:val="center"/>
          </w:tcPr>
          <w:p w14:paraId="15231B3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ED8287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594E6AC"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C622A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2023.11.29-2024.05.29</w:t>
            </w:r>
          </w:p>
        </w:tc>
        <w:tc>
          <w:tcPr>
            <w:tcW w:w="567" w:type="dxa"/>
            <w:tcBorders>
              <w:top w:val="single" w:sz="2" w:space="0" w:color="auto"/>
              <w:left w:val="single" w:sz="2" w:space="0" w:color="auto"/>
              <w:bottom w:val="single" w:sz="2" w:space="0" w:color="auto"/>
              <w:right w:val="single" w:sz="2" w:space="0" w:color="auto"/>
            </w:tcBorders>
            <w:vAlign w:val="center"/>
          </w:tcPr>
          <w:p w14:paraId="5CF6FF1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0AA4095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B8F6095"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25D3C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DE9C97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CE3A47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14,000</w:t>
            </w:r>
          </w:p>
        </w:tc>
        <w:tc>
          <w:tcPr>
            <w:tcW w:w="1559" w:type="dxa"/>
            <w:tcBorders>
              <w:top w:val="single" w:sz="2" w:space="0" w:color="auto"/>
              <w:left w:val="single" w:sz="2" w:space="0" w:color="auto"/>
              <w:bottom w:val="single" w:sz="2" w:space="0" w:color="auto"/>
              <w:right w:val="single" w:sz="2" w:space="0" w:color="auto"/>
            </w:tcBorders>
            <w:vAlign w:val="center"/>
          </w:tcPr>
          <w:p w14:paraId="7428495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8922A6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3,500</w:t>
            </w:r>
          </w:p>
        </w:tc>
        <w:tc>
          <w:tcPr>
            <w:tcW w:w="1134" w:type="dxa"/>
            <w:tcBorders>
              <w:top w:val="single" w:sz="2" w:space="0" w:color="auto"/>
              <w:left w:val="single" w:sz="2" w:space="0" w:color="auto"/>
              <w:bottom w:val="single" w:sz="2" w:space="0" w:color="auto"/>
              <w:right w:val="single" w:sz="2" w:space="0" w:color="auto"/>
            </w:tcBorders>
            <w:vAlign w:val="center"/>
          </w:tcPr>
          <w:p w14:paraId="2A719A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3371AC8"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40B57D3"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2352C7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2024.01.11-2024.07.11</w:t>
            </w:r>
          </w:p>
        </w:tc>
        <w:tc>
          <w:tcPr>
            <w:tcW w:w="567" w:type="dxa"/>
            <w:tcBorders>
              <w:top w:val="single" w:sz="2" w:space="0" w:color="auto"/>
              <w:left w:val="single" w:sz="2" w:space="0" w:color="auto"/>
              <w:bottom w:val="single" w:sz="2" w:space="0" w:color="auto"/>
              <w:right w:val="single" w:sz="2" w:space="0" w:color="auto"/>
            </w:tcBorders>
            <w:vAlign w:val="center"/>
          </w:tcPr>
          <w:p w14:paraId="5CF6CF6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037E9E6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AD3FFF6"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679107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D78907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54C42F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5,000</w:t>
            </w:r>
          </w:p>
        </w:tc>
        <w:tc>
          <w:tcPr>
            <w:tcW w:w="1559" w:type="dxa"/>
            <w:tcBorders>
              <w:top w:val="single" w:sz="2" w:space="0" w:color="auto"/>
              <w:left w:val="single" w:sz="2" w:space="0" w:color="auto"/>
              <w:bottom w:val="single" w:sz="2" w:space="0" w:color="auto"/>
              <w:right w:val="single" w:sz="2" w:space="0" w:color="auto"/>
            </w:tcBorders>
            <w:vAlign w:val="center"/>
          </w:tcPr>
          <w:p w14:paraId="09B2982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383416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1,500</w:t>
            </w:r>
          </w:p>
        </w:tc>
        <w:tc>
          <w:tcPr>
            <w:tcW w:w="1134" w:type="dxa"/>
            <w:tcBorders>
              <w:top w:val="single" w:sz="2" w:space="0" w:color="auto"/>
              <w:left w:val="single" w:sz="2" w:space="0" w:color="auto"/>
              <w:bottom w:val="single" w:sz="2" w:space="0" w:color="auto"/>
              <w:right w:val="single" w:sz="2" w:space="0" w:color="auto"/>
            </w:tcBorders>
            <w:vAlign w:val="center"/>
          </w:tcPr>
          <w:p w14:paraId="7D71836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6CA1475"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17F757E"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1CB23F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2024.05.28-2024.11.28</w:t>
            </w:r>
          </w:p>
        </w:tc>
        <w:tc>
          <w:tcPr>
            <w:tcW w:w="567" w:type="dxa"/>
            <w:tcBorders>
              <w:top w:val="single" w:sz="2" w:space="0" w:color="auto"/>
              <w:left w:val="single" w:sz="2" w:space="0" w:color="auto"/>
              <w:bottom w:val="single" w:sz="2" w:space="0" w:color="auto"/>
              <w:right w:val="single" w:sz="2" w:space="0" w:color="auto"/>
            </w:tcBorders>
            <w:vAlign w:val="center"/>
          </w:tcPr>
          <w:p w14:paraId="492F6F4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3BCBF71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FEA7979"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20F2D7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w:t>
            </w:r>
            <w:r w:rsidRPr="005B5EC1">
              <w:rPr>
                <w:rFonts w:ascii="Times New Roman" w:eastAsia="宋体" w:hAnsi="Times New Roman" w:cs="Times New Roman"/>
                <w:sz w:val="18"/>
                <w:szCs w:val="18"/>
              </w:rPr>
              <w:lastRenderedPageBreak/>
              <w:t>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B50622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5D190C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5,000</w:t>
            </w:r>
          </w:p>
        </w:tc>
        <w:tc>
          <w:tcPr>
            <w:tcW w:w="1559" w:type="dxa"/>
            <w:tcBorders>
              <w:top w:val="single" w:sz="2" w:space="0" w:color="auto"/>
              <w:left w:val="single" w:sz="2" w:space="0" w:color="auto"/>
              <w:bottom w:val="single" w:sz="2" w:space="0" w:color="auto"/>
              <w:right w:val="single" w:sz="2" w:space="0" w:color="auto"/>
            </w:tcBorders>
            <w:vAlign w:val="center"/>
          </w:tcPr>
          <w:p w14:paraId="13AB5D9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03207A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0A5D5CE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w:t>
            </w:r>
            <w:r w:rsidRPr="005B5EC1">
              <w:rPr>
                <w:rFonts w:ascii="Times New Roman" w:eastAsia="宋体" w:hAnsi="Times New Roman" w:cs="Times New Roman"/>
                <w:sz w:val="18"/>
                <w:szCs w:val="18"/>
              </w:rPr>
              <w:lastRenderedPageBreak/>
              <w:t>证</w:t>
            </w:r>
          </w:p>
        </w:tc>
        <w:tc>
          <w:tcPr>
            <w:tcW w:w="567" w:type="dxa"/>
            <w:tcBorders>
              <w:top w:val="single" w:sz="2" w:space="0" w:color="auto"/>
              <w:left w:val="single" w:sz="2" w:space="0" w:color="auto"/>
              <w:bottom w:val="single" w:sz="2" w:space="0" w:color="auto"/>
              <w:right w:val="single" w:sz="2" w:space="0" w:color="auto"/>
            </w:tcBorders>
            <w:vAlign w:val="center"/>
          </w:tcPr>
          <w:p w14:paraId="3AC2CB36"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DFAABA9"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498527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2024.07.12-</w:t>
            </w:r>
            <w:r w:rsidRPr="005B5EC1">
              <w:rPr>
                <w:rFonts w:ascii="Times New Roman" w:eastAsia="宋体" w:hAnsi="Times New Roman" w:cs="Times New Roman"/>
                <w:sz w:val="18"/>
                <w:szCs w:val="18"/>
              </w:rPr>
              <w:lastRenderedPageBreak/>
              <w:t>2025.07.12</w:t>
            </w:r>
          </w:p>
        </w:tc>
        <w:tc>
          <w:tcPr>
            <w:tcW w:w="567" w:type="dxa"/>
            <w:tcBorders>
              <w:top w:val="single" w:sz="2" w:space="0" w:color="auto"/>
              <w:left w:val="single" w:sz="2" w:space="0" w:color="auto"/>
              <w:bottom w:val="single" w:sz="2" w:space="0" w:color="auto"/>
              <w:right w:val="single" w:sz="2" w:space="0" w:color="auto"/>
            </w:tcBorders>
            <w:vAlign w:val="center"/>
          </w:tcPr>
          <w:p w14:paraId="12A000B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否</w:t>
            </w:r>
          </w:p>
        </w:tc>
        <w:tc>
          <w:tcPr>
            <w:tcW w:w="564" w:type="dxa"/>
            <w:tcBorders>
              <w:top w:val="single" w:sz="2" w:space="0" w:color="auto"/>
              <w:left w:val="single" w:sz="2" w:space="0" w:color="auto"/>
              <w:bottom w:val="single" w:sz="2" w:space="0" w:color="auto"/>
              <w:right w:val="single" w:sz="2" w:space="0" w:color="auto"/>
            </w:tcBorders>
            <w:vAlign w:val="center"/>
          </w:tcPr>
          <w:p w14:paraId="1F4908FC"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AFE5EA2"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142ED3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F9299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62A5E7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5,000</w:t>
            </w:r>
          </w:p>
        </w:tc>
        <w:tc>
          <w:tcPr>
            <w:tcW w:w="1559" w:type="dxa"/>
            <w:tcBorders>
              <w:top w:val="single" w:sz="2" w:space="0" w:color="auto"/>
              <w:left w:val="single" w:sz="2" w:space="0" w:color="auto"/>
              <w:bottom w:val="single" w:sz="2" w:space="0" w:color="auto"/>
              <w:right w:val="single" w:sz="2" w:space="0" w:color="auto"/>
            </w:tcBorders>
            <w:vAlign w:val="center"/>
          </w:tcPr>
          <w:p w14:paraId="4276059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4C16B5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4B3EC6C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25BF37E"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C98FBA5"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3FABE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2024.12.02-2025.06.02</w:t>
            </w:r>
          </w:p>
        </w:tc>
        <w:tc>
          <w:tcPr>
            <w:tcW w:w="567" w:type="dxa"/>
            <w:tcBorders>
              <w:top w:val="single" w:sz="2" w:space="0" w:color="auto"/>
              <w:left w:val="single" w:sz="2" w:space="0" w:color="auto"/>
              <w:bottom w:val="single" w:sz="2" w:space="0" w:color="auto"/>
              <w:right w:val="single" w:sz="2" w:space="0" w:color="auto"/>
            </w:tcBorders>
            <w:vAlign w:val="center"/>
          </w:tcPr>
          <w:p w14:paraId="75740B4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7FE2CDC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5B004E0"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4B813E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83454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AACBF8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603C8D8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14</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E0EA56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62EC11B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570AD9E"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EC13DD9"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66E713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2024.03.14-2025.03.14</w:t>
            </w:r>
          </w:p>
        </w:tc>
        <w:tc>
          <w:tcPr>
            <w:tcW w:w="567" w:type="dxa"/>
            <w:tcBorders>
              <w:top w:val="single" w:sz="2" w:space="0" w:color="auto"/>
              <w:left w:val="single" w:sz="2" w:space="0" w:color="auto"/>
              <w:bottom w:val="single" w:sz="2" w:space="0" w:color="auto"/>
              <w:right w:val="single" w:sz="2" w:space="0" w:color="auto"/>
            </w:tcBorders>
            <w:vAlign w:val="center"/>
          </w:tcPr>
          <w:p w14:paraId="05F949F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4796F7D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5BC9BE1"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4CB7B73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山东龙大美食贸易有限公司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EFC17B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826887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294D436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41F6C8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134" w:type="dxa"/>
            <w:tcBorders>
              <w:top w:val="single" w:sz="2" w:space="0" w:color="auto"/>
              <w:left w:val="single" w:sz="2" w:space="0" w:color="auto"/>
              <w:bottom w:val="single" w:sz="2" w:space="0" w:color="auto"/>
              <w:right w:val="single" w:sz="2" w:space="0" w:color="auto"/>
            </w:tcBorders>
            <w:vAlign w:val="center"/>
          </w:tcPr>
          <w:p w14:paraId="14946EE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D6EB22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AB4C0FB"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35C35F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2024.12.20-2025.12.10</w:t>
            </w:r>
          </w:p>
        </w:tc>
        <w:tc>
          <w:tcPr>
            <w:tcW w:w="567" w:type="dxa"/>
            <w:tcBorders>
              <w:top w:val="single" w:sz="2" w:space="0" w:color="auto"/>
              <w:left w:val="single" w:sz="2" w:space="0" w:color="auto"/>
              <w:bottom w:val="single" w:sz="2" w:space="0" w:color="auto"/>
              <w:right w:val="single" w:sz="2" w:space="0" w:color="auto"/>
            </w:tcBorders>
            <w:vAlign w:val="center"/>
          </w:tcPr>
          <w:p w14:paraId="438F74A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717B641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DD0BA18"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4FB4DD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莱阳龙瑞食品有限公司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68A5649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C11997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559" w:type="dxa"/>
            <w:tcBorders>
              <w:top w:val="single" w:sz="2" w:space="0" w:color="auto"/>
              <w:left w:val="single" w:sz="2" w:space="0" w:color="auto"/>
              <w:bottom w:val="single" w:sz="2" w:space="0" w:color="auto"/>
              <w:right w:val="single" w:sz="2" w:space="0" w:color="auto"/>
            </w:tcBorders>
            <w:vAlign w:val="center"/>
          </w:tcPr>
          <w:p w14:paraId="3A38B66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CB98CC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655A19C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C9B3085"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8A1409F"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D38F99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2023.06.26-2024.06.25</w:t>
            </w:r>
          </w:p>
        </w:tc>
        <w:tc>
          <w:tcPr>
            <w:tcW w:w="567" w:type="dxa"/>
            <w:tcBorders>
              <w:top w:val="single" w:sz="2" w:space="0" w:color="auto"/>
              <w:left w:val="single" w:sz="2" w:space="0" w:color="auto"/>
              <w:bottom w:val="single" w:sz="2" w:space="0" w:color="auto"/>
              <w:right w:val="single" w:sz="2" w:space="0" w:color="auto"/>
            </w:tcBorders>
            <w:vAlign w:val="center"/>
          </w:tcPr>
          <w:p w14:paraId="6DCBE9F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42DCDB2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98B5DAF"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B7FEA6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莱阳龙瑞食品有限公司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55080C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C68584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1,100</w:t>
            </w:r>
          </w:p>
        </w:tc>
        <w:tc>
          <w:tcPr>
            <w:tcW w:w="1559" w:type="dxa"/>
            <w:tcBorders>
              <w:top w:val="single" w:sz="2" w:space="0" w:color="auto"/>
              <w:left w:val="single" w:sz="2" w:space="0" w:color="auto"/>
              <w:bottom w:val="single" w:sz="2" w:space="0" w:color="auto"/>
              <w:right w:val="single" w:sz="2" w:space="0" w:color="auto"/>
            </w:tcBorders>
            <w:vAlign w:val="center"/>
          </w:tcPr>
          <w:p w14:paraId="7A10B3A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DC7F4B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990</w:t>
            </w:r>
          </w:p>
        </w:tc>
        <w:tc>
          <w:tcPr>
            <w:tcW w:w="1134" w:type="dxa"/>
            <w:tcBorders>
              <w:top w:val="single" w:sz="2" w:space="0" w:color="auto"/>
              <w:left w:val="single" w:sz="2" w:space="0" w:color="auto"/>
              <w:bottom w:val="single" w:sz="2" w:space="0" w:color="auto"/>
              <w:right w:val="single" w:sz="2" w:space="0" w:color="auto"/>
            </w:tcBorders>
            <w:vAlign w:val="center"/>
          </w:tcPr>
          <w:p w14:paraId="2B04DAF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451FE23"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88F89F1"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5AB948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2021.11.30-2024.11.01</w:t>
            </w:r>
          </w:p>
        </w:tc>
        <w:tc>
          <w:tcPr>
            <w:tcW w:w="567" w:type="dxa"/>
            <w:tcBorders>
              <w:top w:val="single" w:sz="2" w:space="0" w:color="auto"/>
              <w:left w:val="single" w:sz="2" w:space="0" w:color="auto"/>
              <w:bottom w:val="single" w:sz="2" w:space="0" w:color="auto"/>
              <w:right w:val="single" w:sz="2" w:space="0" w:color="auto"/>
            </w:tcBorders>
            <w:vAlign w:val="center"/>
          </w:tcPr>
          <w:p w14:paraId="226DDEC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6C093D8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6302865F"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295C8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莱阳龙瑞食品有限公司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727C3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B7E5BD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559" w:type="dxa"/>
            <w:tcBorders>
              <w:top w:val="single" w:sz="2" w:space="0" w:color="auto"/>
              <w:left w:val="single" w:sz="2" w:space="0" w:color="auto"/>
              <w:bottom w:val="single" w:sz="2" w:space="0" w:color="auto"/>
              <w:right w:val="single" w:sz="2" w:space="0" w:color="auto"/>
            </w:tcBorders>
            <w:vAlign w:val="center"/>
          </w:tcPr>
          <w:p w14:paraId="0996228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FB712D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0D5BC4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4918496"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D983D05"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469AA1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2024.04.11-2025.04.08</w:t>
            </w:r>
          </w:p>
        </w:tc>
        <w:tc>
          <w:tcPr>
            <w:tcW w:w="567" w:type="dxa"/>
            <w:tcBorders>
              <w:top w:val="single" w:sz="2" w:space="0" w:color="auto"/>
              <w:left w:val="single" w:sz="2" w:space="0" w:color="auto"/>
              <w:bottom w:val="single" w:sz="2" w:space="0" w:color="auto"/>
              <w:right w:val="single" w:sz="2" w:space="0" w:color="auto"/>
            </w:tcBorders>
            <w:vAlign w:val="center"/>
          </w:tcPr>
          <w:p w14:paraId="24AEA320"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5AB4BEA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A06F9C3"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2E9E0D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莱阳龙瑞食品有限公司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1162D13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1701582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559" w:type="dxa"/>
            <w:tcBorders>
              <w:top w:val="single" w:sz="2" w:space="0" w:color="auto"/>
              <w:left w:val="single" w:sz="2" w:space="0" w:color="auto"/>
              <w:bottom w:val="single" w:sz="2" w:space="0" w:color="auto"/>
              <w:right w:val="single" w:sz="2" w:space="0" w:color="auto"/>
            </w:tcBorders>
            <w:vAlign w:val="center"/>
          </w:tcPr>
          <w:p w14:paraId="299F2E2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ABA562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3988C52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F013E77"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DC64361"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A13CC8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2024.12.20-2025.12.10</w:t>
            </w:r>
          </w:p>
        </w:tc>
        <w:tc>
          <w:tcPr>
            <w:tcW w:w="567" w:type="dxa"/>
            <w:tcBorders>
              <w:top w:val="single" w:sz="2" w:space="0" w:color="auto"/>
              <w:left w:val="single" w:sz="2" w:space="0" w:color="auto"/>
              <w:bottom w:val="single" w:sz="2" w:space="0" w:color="auto"/>
              <w:right w:val="single" w:sz="2" w:space="0" w:color="auto"/>
            </w:tcBorders>
            <w:vAlign w:val="center"/>
          </w:tcPr>
          <w:p w14:paraId="24998333"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304B0B8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68A628A"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08A88A0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江苏龙大沁侬食品有限公司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44C30BE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9AB5D1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559" w:type="dxa"/>
            <w:tcBorders>
              <w:top w:val="single" w:sz="2" w:space="0" w:color="auto"/>
              <w:left w:val="single" w:sz="2" w:space="0" w:color="auto"/>
              <w:bottom w:val="single" w:sz="2" w:space="0" w:color="auto"/>
              <w:right w:val="single" w:sz="2" w:space="0" w:color="auto"/>
            </w:tcBorders>
            <w:vAlign w:val="center"/>
          </w:tcPr>
          <w:p w14:paraId="0E1F884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ABC2A3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4,585.02</w:t>
            </w:r>
          </w:p>
        </w:tc>
        <w:tc>
          <w:tcPr>
            <w:tcW w:w="1134" w:type="dxa"/>
            <w:tcBorders>
              <w:top w:val="single" w:sz="2" w:space="0" w:color="auto"/>
              <w:left w:val="single" w:sz="2" w:space="0" w:color="auto"/>
              <w:bottom w:val="single" w:sz="2" w:space="0" w:color="auto"/>
              <w:right w:val="single" w:sz="2" w:space="0" w:color="auto"/>
            </w:tcBorders>
            <w:vAlign w:val="center"/>
          </w:tcPr>
          <w:p w14:paraId="4FAB733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F6EED06"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D87F14B"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340BCA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2024.02.06-2027.02.06</w:t>
            </w:r>
          </w:p>
        </w:tc>
        <w:tc>
          <w:tcPr>
            <w:tcW w:w="567" w:type="dxa"/>
            <w:tcBorders>
              <w:top w:val="single" w:sz="2" w:space="0" w:color="auto"/>
              <w:left w:val="single" w:sz="2" w:space="0" w:color="auto"/>
              <w:bottom w:val="single" w:sz="2" w:space="0" w:color="auto"/>
              <w:right w:val="single" w:sz="2" w:space="0" w:color="auto"/>
            </w:tcBorders>
            <w:vAlign w:val="center"/>
          </w:tcPr>
          <w:p w14:paraId="2592873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015B4C4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BD47758"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5F30FB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江苏龙大沁侬食品有限公司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78ADCA2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E325D3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2,900</w:t>
            </w:r>
          </w:p>
        </w:tc>
        <w:tc>
          <w:tcPr>
            <w:tcW w:w="1559" w:type="dxa"/>
            <w:tcBorders>
              <w:top w:val="single" w:sz="2" w:space="0" w:color="auto"/>
              <w:left w:val="single" w:sz="2" w:space="0" w:color="auto"/>
              <w:bottom w:val="single" w:sz="2" w:space="0" w:color="auto"/>
              <w:right w:val="single" w:sz="2" w:space="0" w:color="auto"/>
            </w:tcBorders>
            <w:vAlign w:val="center"/>
          </w:tcPr>
          <w:p w14:paraId="2D2E7A5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B175AE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7A06415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D051A6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7D2574E"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B6C112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2023.05.25-2028.05.23</w:t>
            </w:r>
          </w:p>
        </w:tc>
        <w:tc>
          <w:tcPr>
            <w:tcW w:w="567" w:type="dxa"/>
            <w:tcBorders>
              <w:top w:val="single" w:sz="2" w:space="0" w:color="auto"/>
              <w:left w:val="single" w:sz="2" w:space="0" w:color="auto"/>
              <w:bottom w:val="single" w:sz="2" w:space="0" w:color="auto"/>
              <w:right w:val="single" w:sz="2" w:space="0" w:color="auto"/>
            </w:tcBorders>
            <w:vAlign w:val="center"/>
          </w:tcPr>
          <w:p w14:paraId="0BDB838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7F52856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65E5176"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40F323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江苏龙大沁侬食品有限公司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4AB8838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39A3A4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2,900</w:t>
            </w:r>
          </w:p>
        </w:tc>
        <w:tc>
          <w:tcPr>
            <w:tcW w:w="1559" w:type="dxa"/>
            <w:tcBorders>
              <w:top w:val="single" w:sz="2" w:space="0" w:color="auto"/>
              <w:left w:val="single" w:sz="2" w:space="0" w:color="auto"/>
              <w:bottom w:val="single" w:sz="2" w:space="0" w:color="auto"/>
              <w:right w:val="single" w:sz="2" w:space="0" w:color="auto"/>
            </w:tcBorders>
            <w:vAlign w:val="center"/>
          </w:tcPr>
          <w:p w14:paraId="6EBB12D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9CE491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2,700</w:t>
            </w:r>
          </w:p>
        </w:tc>
        <w:tc>
          <w:tcPr>
            <w:tcW w:w="1134" w:type="dxa"/>
            <w:tcBorders>
              <w:top w:val="single" w:sz="2" w:space="0" w:color="auto"/>
              <w:left w:val="single" w:sz="2" w:space="0" w:color="auto"/>
              <w:bottom w:val="single" w:sz="2" w:space="0" w:color="auto"/>
              <w:right w:val="single" w:sz="2" w:space="0" w:color="auto"/>
            </w:tcBorders>
            <w:vAlign w:val="center"/>
          </w:tcPr>
          <w:p w14:paraId="19D633B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98A0CAE"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01540F5"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A69D75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2023.05.25-2028.05.23</w:t>
            </w:r>
          </w:p>
        </w:tc>
        <w:tc>
          <w:tcPr>
            <w:tcW w:w="567" w:type="dxa"/>
            <w:tcBorders>
              <w:top w:val="single" w:sz="2" w:space="0" w:color="auto"/>
              <w:left w:val="single" w:sz="2" w:space="0" w:color="auto"/>
              <w:bottom w:val="single" w:sz="2" w:space="0" w:color="auto"/>
              <w:right w:val="single" w:sz="2" w:space="0" w:color="auto"/>
            </w:tcBorders>
            <w:vAlign w:val="center"/>
          </w:tcPr>
          <w:p w14:paraId="2977D4E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752EFAF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28708B6"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0B67E83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C4489B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C63A4A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559" w:type="dxa"/>
            <w:tcBorders>
              <w:top w:val="single" w:sz="2" w:space="0" w:color="auto"/>
              <w:left w:val="single" w:sz="2" w:space="0" w:color="auto"/>
              <w:bottom w:val="single" w:sz="2" w:space="0" w:color="auto"/>
              <w:right w:val="single" w:sz="2" w:space="0" w:color="auto"/>
            </w:tcBorders>
            <w:vAlign w:val="center"/>
          </w:tcPr>
          <w:p w14:paraId="75B10BA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4184C0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2,750</w:t>
            </w:r>
          </w:p>
        </w:tc>
        <w:tc>
          <w:tcPr>
            <w:tcW w:w="1134" w:type="dxa"/>
            <w:tcBorders>
              <w:top w:val="single" w:sz="2" w:space="0" w:color="auto"/>
              <w:left w:val="single" w:sz="2" w:space="0" w:color="auto"/>
              <w:bottom w:val="single" w:sz="2" w:space="0" w:color="auto"/>
              <w:right w:val="single" w:sz="2" w:space="0" w:color="auto"/>
            </w:tcBorders>
            <w:vAlign w:val="center"/>
          </w:tcPr>
          <w:p w14:paraId="532A4E7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911DAFE"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D0B03FC"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AA4BFD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2023.07.11-2024.01.11</w:t>
            </w:r>
          </w:p>
        </w:tc>
        <w:tc>
          <w:tcPr>
            <w:tcW w:w="567" w:type="dxa"/>
            <w:tcBorders>
              <w:top w:val="single" w:sz="2" w:space="0" w:color="auto"/>
              <w:left w:val="single" w:sz="2" w:space="0" w:color="auto"/>
              <w:bottom w:val="single" w:sz="2" w:space="0" w:color="auto"/>
              <w:right w:val="single" w:sz="2" w:space="0" w:color="auto"/>
            </w:tcBorders>
            <w:vAlign w:val="center"/>
          </w:tcPr>
          <w:p w14:paraId="6D60D7D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37458EE0"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F7C3B58"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165DFB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0C44792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9E7A4F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559" w:type="dxa"/>
            <w:tcBorders>
              <w:top w:val="single" w:sz="2" w:space="0" w:color="auto"/>
              <w:left w:val="single" w:sz="2" w:space="0" w:color="auto"/>
              <w:bottom w:val="single" w:sz="2" w:space="0" w:color="auto"/>
              <w:right w:val="single" w:sz="2" w:space="0" w:color="auto"/>
            </w:tcBorders>
            <w:vAlign w:val="center"/>
          </w:tcPr>
          <w:p w14:paraId="06B006C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A01980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3,249.95</w:t>
            </w:r>
          </w:p>
        </w:tc>
        <w:tc>
          <w:tcPr>
            <w:tcW w:w="1134" w:type="dxa"/>
            <w:tcBorders>
              <w:top w:val="single" w:sz="2" w:space="0" w:color="auto"/>
              <w:left w:val="single" w:sz="2" w:space="0" w:color="auto"/>
              <w:bottom w:val="single" w:sz="2" w:space="0" w:color="auto"/>
              <w:right w:val="single" w:sz="2" w:space="0" w:color="auto"/>
            </w:tcBorders>
            <w:vAlign w:val="center"/>
          </w:tcPr>
          <w:p w14:paraId="1A31145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7E51282"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A03F013"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41DE37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2023.07.17-2024.01.17</w:t>
            </w:r>
          </w:p>
        </w:tc>
        <w:tc>
          <w:tcPr>
            <w:tcW w:w="567" w:type="dxa"/>
            <w:tcBorders>
              <w:top w:val="single" w:sz="2" w:space="0" w:color="auto"/>
              <w:left w:val="single" w:sz="2" w:space="0" w:color="auto"/>
              <w:bottom w:val="single" w:sz="2" w:space="0" w:color="auto"/>
              <w:right w:val="single" w:sz="2" w:space="0" w:color="auto"/>
            </w:tcBorders>
            <w:vAlign w:val="center"/>
          </w:tcPr>
          <w:p w14:paraId="69AD236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3233FCF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BF63382"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BFD47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EAD03F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E7E0E5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559" w:type="dxa"/>
            <w:tcBorders>
              <w:top w:val="single" w:sz="2" w:space="0" w:color="auto"/>
              <w:left w:val="single" w:sz="2" w:space="0" w:color="auto"/>
              <w:bottom w:val="single" w:sz="2" w:space="0" w:color="auto"/>
              <w:right w:val="single" w:sz="2" w:space="0" w:color="auto"/>
            </w:tcBorders>
            <w:vAlign w:val="center"/>
          </w:tcPr>
          <w:p w14:paraId="04F92A3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5D5A7E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5096D83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5F11ED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E387FFC"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892BFA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2023.09.21-2024.03.21</w:t>
            </w:r>
          </w:p>
        </w:tc>
        <w:tc>
          <w:tcPr>
            <w:tcW w:w="567" w:type="dxa"/>
            <w:tcBorders>
              <w:top w:val="single" w:sz="2" w:space="0" w:color="auto"/>
              <w:left w:val="single" w:sz="2" w:space="0" w:color="auto"/>
              <w:bottom w:val="single" w:sz="2" w:space="0" w:color="auto"/>
              <w:right w:val="single" w:sz="2" w:space="0" w:color="auto"/>
            </w:tcBorders>
            <w:vAlign w:val="center"/>
          </w:tcPr>
          <w:p w14:paraId="60CEA8E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73338EB2"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5B25AE8"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4F22CAF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04D1E75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3A4942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7,000</w:t>
            </w:r>
          </w:p>
        </w:tc>
        <w:tc>
          <w:tcPr>
            <w:tcW w:w="1559" w:type="dxa"/>
            <w:tcBorders>
              <w:top w:val="single" w:sz="2" w:space="0" w:color="auto"/>
              <w:left w:val="single" w:sz="2" w:space="0" w:color="auto"/>
              <w:bottom w:val="single" w:sz="2" w:space="0" w:color="auto"/>
              <w:right w:val="single" w:sz="2" w:space="0" w:color="auto"/>
            </w:tcBorders>
            <w:vAlign w:val="center"/>
          </w:tcPr>
          <w:p w14:paraId="5BD461B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DB4FF7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23B8961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B6232D6"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1453714"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75EAD2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2023.03.20-2024.03.20</w:t>
            </w:r>
          </w:p>
        </w:tc>
        <w:tc>
          <w:tcPr>
            <w:tcW w:w="567" w:type="dxa"/>
            <w:tcBorders>
              <w:top w:val="single" w:sz="2" w:space="0" w:color="auto"/>
              <w:left w:val="single" w:sz="2" w:space="0" w:color="auto"/>
              <w:bottom w:val="single" w:sz="2" w:space="0" w:color="auto"/>
              <w:right w:val="single" w:sz="2" w:space="0" w:color="auto"/>
            </w:tcBorders>
            <w:vAlign w:val="center"/>
          </w:tcPr>
          <w:p w14:paraId="662524B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39FEF96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776B8743"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656272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2282D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A6D160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5,000</w:t>
            </w:r>
          </w:p>
        </w:tc>
        <w:tc>
          <w:tcPr>
            <w:tcW w:w="1559" w:type="dxa"/>
            <w:tcBorders>
              <w:top w:val="single" w:sz="2" w:space="0" w:color="auto"/>
              <w:left w:val="single" w:sz="2" w:space="0" w:color="auto"/>
              <w:bottom w:val="single" w:sz="2" w:space="0" w:color="auto"/>
              <w:right w:val="single" w:sz="2" w:space="0" w:color="auto"/>
            </w:tcBorders>
            <w:vAlign w:val="center"/>
          </w:tcPr>
          <w:p w14:paraId="75F2A54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14</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8BC022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4,999.5</w:t>
            </w:r>
          </w:p>
        </w:tc>
        <w:tc>
          <w:tcPr>
            <w:tcW w:w="1134" w:type="dxa"/>
            <w:tcBorders>
              <w:top w:val="single" w:sz="2" w:space="0" w:color="auto"/>
              <w:left w:val="single" w:sz="2" w:space="0" w:color="auto"/>
              <w:bottom w:val="single" w:sz="2" w:space="0" w:color="auto"/>
              <w:right w:val="single" w:sz="2" w:space="0" w:color="auto"/>
            </w:tcBorders>
            <w:vAlign w:val="center"/>
          </w:tcPr>
          <w:p w14:paraId="5FABEFE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21E76DC"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5C2B3E2"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97BB66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2024.03.14-2024.09.14</w:t>
            </w:r>
          </w:p>
        </w:tc>
        <w:tc>
          <w:tcPr>
            <w:tcW w:w="567" w:type="dxa"/>
            <w:tcBorders>
              <w:top w:val="single" w:sz="2" w:space="0" w:color="auto"/>
              <w:left w:val="single" w:sz="2" w:space="0" w:color="auto"/>
              <w:bottom w:val="single" w:sz="2" w:space="0" w:color="auto"/>
              <w:right w:val="single" w:sz="2" w:space="0" w:color="auto"/>
            </w:tcBorders>
            <w:vAlign w:val="center"/>
          </w:tcPr>
          <w:p w14:paraId="7A1143F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03693D9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6E2113AA"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331204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EAF54D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755FC3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559" w:type="dxa"/>
            <w:tcBorders>
              <w:top w:val="single" w:sz="2" w:space="0" w:color="auto"/>
              <w:left w:val="single" w:sz="2" w:space="0" w:color="auto"/>
              <w:bottom w:val="single" w:sz="2" w:space="0" w:color="auto"/>
              <w:right w:val="single" w:sz="2" w:space="0" w:color="auto"/>
            </w:tcBorders>
            <w:vAlign w:val="center"/>
          </w:tcPr>
          <w:p w14:paraId="68B8BFF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2A92A3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7EC659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A5AC617"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76E321B"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984EFC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2024.03.25-2024.09.25</w:t>
            </w:r>
          </w:p>
        </w:tc>
        <w:tc>
          <w:tcPr>
            <w:tcW w:w="567" w:type="dxa"/>
            <w:tcBorders>
              <w:top w:val="single" w:sz="2" w:space="0" w:color="auto"/>
              <w:left w:val="single" w:sz="2" w:space="0" w:color="auto"/>
              <w:bottom w:val="single" w:sz="2" w:space="0" w:color="auto"/>
              <w:right w:val="single" w:sz="2" w:space="0" w:color="auto"/>
            </w:tcBorders>
            <w:vAlign w:val="center"/>
          </w:tcPr>
          <w:p w14:paraId="0BF07BF2"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23CF98A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0B40EE2"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05FC536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C18469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A592D8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7,000</w:t>
            </w:r>
          </w:p>
        </w:tc>
        <w:tc>
          <w:tcPr>
            <w:tcW w:w="1559" w:type="dxa"/>
            <w:tcBorders>
              <w:top w:val="single" w:sz="2" w:space="0" w:color="auto"/>
              <w:left w:val="single" w:sz="2" w:space="0" w:color="auto"/>
              <w:bottom w:val="single" w:sz="2" w:space="0" w:color="auto"/>
              <w:right w:val="single" w:sz="2" w:space="0" w:color="auto"/>
            </w:tcBorders>
            <w:vAlign w:val="center"/>
          </w:tcPr>
          <w:p w14:paraId="1A356F7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F02CC2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134" w:type="dxa"/>
            <w:tcBorders>
              <w:top w:val="single" w:sz="2" w:space="0" w:color="auto"/>
              <w:left w:val="single" w:sz="2" w:space="0" w:color="auto"/>
              <w:bottom w:val="single" w:sz="2" w:space="0" w:color="auto"/>
              <w:right w:val="single" w:sz="2" w:space="0" w:color="auto"/>
            </w:tcBorders>
            <w:vAlign w:val="center"/>
          </w:tcPr>
          <w:p w14:paraId="795EC16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32F0A20"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EA448F6"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F8FEF5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2024.03.26-2025.03.18</w:t>
            </w:r>
          </w:p>
        </w:tc>
        <w:tc>
          <w:tcPr>
            <w:tcW w:w="567" w:type="dxa"/>
            <w:tcBorders>
              <w:top w:val="single" w:sz="2" w:space="0" w:color="auto"/>
              <w:left w:val="single" w:sz="2" w:space="0" w:color="auto"/>
              <w:bottom w:val="single" w:sz="2" w:space="0" w:color="auto"/>
              <w:right w:val="single" w:sz="2" w:space="0" w:color="auto"/>
            </w:tcBorders>
            <w:vAlign w:val="center"/>
          </w:tcPr>
          <w:p w14:paraId="4FDCCA4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64489CC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B12697F"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6ABC69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6EEB4E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E9EA2D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5,000</w:t>
            </w:r>
          </w:p>
        </w:tc>
        <w:tc>
          <w:tcPr>
            <w:tcW w:w="1559" w:type="dxa"/>
            <w:tcBorders>
              <w:top w:val="single" w:sz="2" w:space="0" w:color="auto"/>
              <w:left w:val="single" w:sz="2" w:space="0" w:color="auto"/>
              <w:bottom w:val="single" w:sz="2" w:space="0" w:color="auto"/>
              <w:right w:val="single" w:sz="2" w:space="0" w:color="auto"/>
            </w:tcBorders>
            <w:vAlign w:val="center"/>
          </w:tcPr>
          <w:p w14:paraId="16D8D57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14</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780F54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2,750</w:t>
            </w:r>
          </w:p>
        </w:tc>
        <w:tc>
          <w:tcPr>
            <w:tcW w:w="1134" w:type="dxa"/>
            <w:tcBorders>
              <w:top w:val="single" w:sz="2" w:space="0" w:color="auto"/>
              <w:left w:val="single" w:sz="2" w:space="0" w:color="auto"/>
              <w:bottom w:val="single" w:sz="2" w:space="0" w:color="auto"/>
              <w:right w:val="single" w:sz="2" w:space="0" w:color="auto"/>
            </w:tcBorders>
            <w:vAlign w:val="center"/>
          </w:tcPr>
          <w:p w14:paraId="494EFC4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63165A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0153EB6"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A13A8F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2024.10.14-2025.04.14</w:t>
            </w:r>
          </w:p>
        </w:tc>
        <w:tc>
          <w:tcPr>
            <w:tcW w:w="567" w:type="dxa"/>
            <w:tcBorders>
              <w:top w:val="single" w:sz="2" w:space="0" w:color="auto"/>
              <w:left w:val="single" w:sz="2" w:space="0" w:color="auto"/>
              <w:bottom w:val="single" w:sz="2" w:space="0" w:color="auto"/>
              <w:right w:val="single" w:sz="2" w:space="0" w:color="auto"/>
            </w:tcBorders>
            <w:vAlign w:val="center"/>
          </w:tcPr>
          <w:p w14:paraId="4F45748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369346D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0D36924"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C66057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10ECF9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E1C535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5,000</w:t>
            </w:r>
          </w:p>
        </w:tc>
        <w:tc>
          <w:tcPr>
            <w:tcW w:w="1559" w:type="dxa"/>
            <w:tcBorders>
              <w:top w:val="single" w:sz="2" w:space="0" w:color="auto"/>
              <w:left w:val="single" w:sz="2" w:space="0" w:color="auto"/>
              <w:bottom w:val="single" w:sz="2" w:space="0" w:color="auto"/>
              <w:right w:val="single" w:sz="2" w:space="0" w:color="auto"/>
            </w:tcBorders>
            <w:vAlign w:val="center"/>
          </w:tcPr>
          <w:p w14:paraId="4FB66A6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41DC36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2,249.5</w:t>
            </w:r>
          </w:p>
        </w:tc>
        <w:tc>
          <w:tcPr>
            <w:tcW w:w="1134" w:type="dxa"/>
            <w:tcBorders>
              <w:top w:val="single" w:sz="2" w:space="0" w:color="auto"/>
              <w:left w:val="single" w:sz="2" w:space="0" w:color="auto"/>
              <w:bottom w:val="single" w:sz="2" w:space="0" w:color="auto"/>
              <w:right w:val="single" w:sz="2" w:space="0" w:color="auto"/>
            </w:tcBorders>
            <w:vAlign w:val="center"/>
          </w:tcPr>
          <w:p w14:paraId="24DEC85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1B7D393"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43C6373"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BC023B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2024.10.21-2025.04.21</w:t>
            </w:r>
          </w:p>
        </w:tc>
        <w:tc>
          <w:tcPr>
            <w:tcW w:w="567" w:type="dxa"/>
            <w:tcBorders>
              <w:top w:val="single" w:sz="2" w:space="0" w:color="auto"/>
              <w:left w:val="single" w:sz="2" w:space="0" w:color="auto"/>
              <w:bottom w:val="single" w:sz="2" w:space="0" w:color="auto"/>
              <w:right w:val="single" w:sz="2" w:space="0" w:color="auto"/>
            </w:tcBorders>
            <w:vAlign w:val="center"/>
          </w:tcPr>
          <w:p w14:paraId="0526333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2588814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B7F09FE"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49754B5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w:t>
            </w:r>
            <w:r w:rsidRPr="005B5EC1">
              <w:rPr>
                <w:rFonts w:ascii="Times New Roman" w:eastAsia="宋体" w:hAnsi="Times New Roman" w:cs="Times New Roman"/>
                <w:sz w:val="18"/>
                <w:szCs w:val="18"/>
              </w:rPr>
              <w:lastRenderedPageBreak/>
              <w:t>限公司</w:t>
            </w:r>
          </w:p>
        </w:tc>
        <w:tc>
          <w:tcPr>
            <w:tcW w:w="1538" w:type="dxa"/>
            <w:tcBorders>
              <w:top w:val="single" w:sz="2" w:space="0" w:color="auto"/>
              <w:left w:val="single" w:sz="2" w:space="0" w:color="auto"/>
              <w:bottom w:val="single" w:sz="2" w:space="0" w:color="auto"/>
              <w:right w:val="single" w:sz="2" w:space="0" w:color="auto"/>
            </w:tcBorders>
            <w:vAlign w:val="center"/>
          </w:tcPr>
          <w:p w14:paraId="33D82A7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6E1DEB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2229D0E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93FC6C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134" w:type="dxa"/>
            <w:tcBorders>
              <w:top w:val="single" w:sz="2" w:space="0" w:color="auto"/>
              <w:left w:val="single" w:sz="2" w:space="0" w:color="auto"/>
              <w:bottom w:val="single" w:sz="2" w:space="0" w:color="auto"/>
              <w:right w:val="single" w:sz="2" w:space="0" w:color="auto"/>
            </w:tcBorders>
            <w:vAlign w:val="center"/>
          </w:tcPr>
          <w:p w14:paraId="5EBA3F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2A1A3EFE"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BEF5297"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7404D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2024.07.10-2025.01.10</w:t>
            </w:r>
          </w:p>
        </w:tc>
        <w:tc>
          <w:tcPr>
            <w:tcW w:w="567" w:type="dxa"/>
            <w:tcBorders>
              <w:top w:val="single" w:sz="2" w:space="0" w:color="auto"/>
              <w:left w:val="single" w:sz="2" w:space="0" w:color="auto"/>
              <w:bottom w:val="single" w:sz="2" w:space="0" w:color="auto"/>
              <w:right w:val="single" w:sz="2" w:space="0" w:color="auto"/>
            </w:tcBorders>
            <w:vAlign w:val="center"/>
          </w:tcPr>
          <w:p w14:paraId="38DD03B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11E4A448"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97DE1C4"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3AF12B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0E6DCE3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29</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58D2F1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559" w:type="dxa"/>
            <w:tcBorders>
              <w:top w:val="single" w:sz="2" w:space="0" w:color="auto"/>
              <w:left w:val="single" w:sz="2" w:space="0" w:color="auto"/>
              <w:bottom w:val="single" w:sz="2" w:space="0" w:color="auto"/>
              <w:right w:val="single" w:sz="2" w:space="0" w:color="auto"/>
            </w:tcBorders>
            <w:vAlign w:val="center"/>
          </w:tcPr>
          <w:p w14:paraId="3454125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84F978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4074D15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C8EB789"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A23FBED"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184A8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2024.09.30-2025.03.30</w:t>
            </w:r>
          </w:p>
        </w:tc>
        <w:tc>
          <w:tcPr>
            <w:tcW w:w="567" w:type="dxa"/>
            <w:tcBorders>
              <w:top w:val="single" w:sz="2" w:space="0" w:color="auto"/>
              <w:left w:val="single" w:sz="2" w:space="0" w:color="auto"/>
              <w:bottom w:val="single" w:sz="2" w:space="0" w:color="auto"/>
              <w:right w:val="single" w:sz="2" w:space="0" w:color="auto"/>
            </w:tcBorders>
            <w:vAlign w:val="center"/>
          </w:tcPr>
          <w:p w14:paraId="5938D5A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74695F6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73566B84"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D4ACC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799B1D0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EB686D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4B60B1F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79816D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w:t>
            </w:r>
          </w:p>
        </w:tc>
        <w:tc>
          <w:tcPr>
            <w:tcW w:w="1134" w:type="dxa"/>
            <w:tcBorders>
              <w:top w:val="single" w:sz="2" w:space="0" w:color="auto"/>
              <w:left w:val="single" w:sz="2" w:space="0" w:color="auto"/>
              <w:bottom w:val="single" w:sz="2" w:space="0" w:color="auto"/>
              <w:right w:val="single" w:sz="2" w:space="0" w:color="auto"/>
            </w:tcBorders>
            <w:vAlign w:val="center"/>
          </w:tcPr>
          <w:p w14:paraId="00B1F6B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652FA43"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857BB1F"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8B2974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2023.09.27-2024.09.26</w:t>
            </w:r>
          </w:p>
        </w:tc>
        <w:tc>
          <w:tcPr>
            <w:tcW w:w="567" w:type="dxa"/>
            <w:tcBorders>
              <w:top w:val="single" w:sz="2" w:space="0" w:color="auto"/>
              <w:left w:val="single" w:sz="2" w:space="0" w:color="auto"/>
              <w:bottom w:val="single" w:sz="2" w:space="0" w:color="auto"/>
              <w:right w:val="single" w:sz="2" w:space="0" w:color="auto"/>
            </w:tcBorders>
            <w:vAlign w:val="center"/>
          </w:tcPr>
          <w:p w14:paraId="5663A610"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47E6910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E498160"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567AD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0567912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137C06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02DC532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96FF4F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w:t>
            </w:r>
          </w:p>
        </w:tc>
        <w:tc>
          <w:tcPr>
            <w:tcW w:w="1134" w:type="dxa"/>
            <w:tcBorders>
              <w:top w:val="single" w:sz="2" w:space="0" w:color="auto"/>
              <w:left w:val="single" w:sz="2" w:space="0" w:color="auto"/>
              <w:bottom w:val="single" w:sz="2" w:space="0" w:color="auto"/>
              <w:right w:val="single" w:sz="2" w:space="0" w:color="auto"/>
            </w:tcBorders>
            <w:vAlign w:val="center"/>
          </w:tcPr>
          <w:p w14:paraId="371649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D052E0F"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AC4E16B"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E08BC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2023.09.27-2024.09.26</w:t>
            </w:r>
          </w:p>
        </w:tc>
        <w:tc>
          <w:tcPr>
            <w:tcW w:w="567" w:type="dxa"/>
            <w:tcBorders>
              <w:top w:val="single" w:sz="2" w:space="0" w:color="auto"/>
              <w:left w:val="single" w:sz="2" w:space="0" w:color="auto"/>
              <w:bottom w:val="single" w:sz="2" w:space="0" w:color="auto"/>
              <w:right w:val="single" w:sz="2" w:space="0" w:color="auto"/>
            </w:tcBorders>
            <w:vAlign w:val="center"/>
          </w:tcPr>
          <w:p w14:paraId="602DE97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5C6232F3"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44EB365"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4F5055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66DA765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5FA564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4FCD7D0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94219B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w:t>
            </w:r>
          </w:p>
        </w:tc>
        <w:tc>
          <w:tcPr>
            <w:tcW w:w="1134" w:type="dxa"/>
            <w:tcBorders>
              <w:top w:val="single" w:sz="2" w:space="0" w:color="auto"/>
              <w:left w:val="single" w:sz="2" w:space="0" w:color="auto"/>
              <w:bottom w:val="single" w:sz="2" w:space="0" w:color="auto"/>
              <w:right w:val="single" w:sz="2" w:space="0" w:color="auto"/>
            </w:tcBorders>
            <w:vAlign w:val="center"/>
          </w:tcPr>
          <w:p w14:paraId="17E210E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6AE111A"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ED30755"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0CD2F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2023.09.27-2024.09.26</w:t>
            </w:r>
          </w:p>
        </w:tc>
        <w:tc>
          <w:tcPr>
            <w:tcW w:w="567" w:type="dxa"/>
            <w:tcBorders>
              <w:top w:val="single" w:sz="2" w:space="0" w:color="auto"/>
              <w:left w:val="single" w:sz="2" w:space="0" w:color="auto"/>
              <w:bottom w:val="single" w:sz="2" w:space="0" w:color="auto"/>
              <w:right w:val="single" w:sz="2" w:space="0" w:color="auto"/>
            </w:tcBorders>
            <w:vAlign w:val="center"/>
          </w:tcPr>
          <w:p w14:paraId="4AA449C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1BAFDA1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6B15C9EB"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A44FA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63383A8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F29328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6A84C38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24D10F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w:t>
            </w:r>
          </w:p>
        </w:tc>
        <w:tc>
          <w:tcPr>
            <w:tcW w:w="1134" w:type="dxa"/>
            <w:tcBorders>
              <w:top w:val="single" w:sz="2" w:space="0" w:color="auto"/>
              <w:left w:val="single" w:sz="2" w:space="0" w:color="auto"/>
              <w:bottom w:val="single" w:sz="2" w:space="0" w:color="auto"/>
              <w:right w:val="single" w:sz="2" w:space="0" w:color="auto"/>
            </w:tcBorders>
            <w:vAlign w:val="center"/>
          </w:tcPr>
          <w:p w14:paraId="618FC8A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411F6CD"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0360D89"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4B20C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2023.09.27-2024.09.26</w:t>
            </w:r>
          </w:p>
        </w:tc>
        <w:tc>
          <w:tcPr>
            <w:tcW w:w="567" w:type="dxa"/>
            <w:tcBorders>
              <w:top w:val="single" w:sz="2" w:space="0" w:color="auto"/>
              <w:left w:val="single" w:sz="2" w:space="0" w:color="auto"/>
              <w:bottom w:val="single" w:sz="2" w:space="0" w:color="auto"/>
              <w:right w:val="single" w:sz="2" w:space="0" w:color="auto"/>
            </w:tcBorders>
            <w:vAlign w:val="center"/>
          </w:tcPr>
          <w:p w14:paraId="4D8E9D0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732B9C3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7C73911"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DF01CA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F881C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3B04DB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559" w:type="dxa"/>
            <w:tcBorders>
              <w:top w:val="single" w:sz="2" w:space="0" w:color="auto"/>
              <w:left w:val="single" w:sz="2" w:space="0" w:color="auto"/>
              <w:bottom w:val="single" w:sz="2" w:space="0" w:color="auto"/>
              <w:right w:val="single" w:sz="2" w:space="0" w:color="auto"/>
            </w:tcBorders>
            <w:vAlign w:val="center"/>
          </w:tcPr>
          <w:p w14:paraId="7DA335F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95AD4B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840</w:t>
            </w:r>
          </w:p>
        </w:tc>
        <w:tc>
          <w:tcPr>
            <w:tcW w:w="1134" w:type="dxa"/>
            <w:tcBorders>
              <w:top w:val="single" w:sz="2" w:space="0" w:color="auto"/>
              <w:left w:val="single" w:sz="2" w:space="0" w:color="auto"/>
              <w:bottom w:val="single" w:sz="2" w:space="0" w:color="auto"/>
              <w:right w:val="single" w:sz="2" w:space="0" w:color="auto"/>
            </w:tcBorders>
            <w:vAlign w:val="center"/>
          </w:tcPr>
          <w:p w14:paraId="2C9F7E7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DC3A386"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5653507"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6B0365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2023.09.27-2024.09.26</w:t>
            </w:r>
          </w:p>
        </w:tc>
        <w:tc>
          <w:tcPr>
            <w:tcW w:w="567" w:type="dxa"/>
            <w:tcBorders>
              <w:top w:val="single" w:sz="2" w:space="0" w:color="auto"/>
              <w:left w:val="single" w:sz="2" w:space="0" w:color="auto"/>
              <w:bottom w:val="single" w:sz="2" w:space="0" w:color="auto"/>
              <w:right w:val="single" w:sz="2" w:space="0" w:color="auto"/>
            </w:tcBorders>
            <w:vAlign w:val="center"/>
          </w:tcPr>
          <w:p w14:paraId="51229268"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36578CF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79E2B34F"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0E525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41DCA8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9269FB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35,000</w:t>
            </w:r>
          </w:p>
        </w:tc>
        <w:tc>
          <w:tcPr>
            <w:tcW w:w="1559" w:type="dxa"/>
            <w:tcBorders>
              <w:top w:val="single" w:sz="2" w:space="0" w:color="auto"/>
              <w:left w:val="single" w:sz="2" w:space="0" w:color="auto"/>
              <w:bottom w:val="single" w:sz="2" w:space="0" w:color="auto"/>
              <w:right w:val="single" w:sz="2" w:space="0" w:color="auto"/>
            </w:tcBorders>
            <w:vAlign w:val="center"/>
          </w:tcPr>
          <w:p w14:paraId="69C9BF1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BB3C09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35,000</w:t>
            </w:r>
          </w:p>
        </w:tc>
        <w:tc>
          <w:tcPr>
            <w:tcW w:w="1134" w:type="dxa"/>
            <w:tcBorders>
              <w:top w:val="single" w:sz="2" w:space="0" w:color="auto"/>
              <w:left w:val="single" w:sz="2" w:space="0" w:color="auto"/>
              <w:bottom w:val="single" w:sz="2" w:space="0" w:color="auto"/>
              <w:right w:val="single" w:sz="2" w:space="0" w:color="auto"/>
            </w:tcBorders>
            <w:vAlign w:val="center"/>
          </w:tcPr>
          <w:p w14:paraId="39F17E9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093016A"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2A9F1B6"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CAAA16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2023.10.25-2024.10.24</w:t>
            </w:r>
          </w:p>
        </w:tc>
        <w:tc>
          <w:tcPr>
            <w:tcW w:w="567" w:type="dxa"/>
            <w:tcBorders>
              <w:top w:val="single" w:sz="2" w:space="0" w:color="auto"/>
              <w:left w:val="single" w:sz="2" w:space="0" w:color="auto"/>
              <w:bottom w:val="single" w:sz="2" w:space="0" w:color="auto"/>
              <w:right w:val="single" w:sz="2" w:space="0" w:color="auto"/>
            </w:tcBorders>
            <w:vAlign w:val="center"/>
          </w:tcPr>
          <w:p w14:paraId="68FF641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28AFC343"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03E463C"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0905D2F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F7B0B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22</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E76CE1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35,000</w:t>
            </w:r>
          </w:p>
        </w:tc>
        <w:tc>
          <w:tcPr>
            <w:tcW w:w="1559" w:type="dxa"/>
            <w:tcBorders>
              <w:top w:val="single" w:sz="2" w:space="0" w:color="auto"/>
              <w:left w:val="single" w:sz="2" w:space="0" w:color="auto"/>
              <w:bottom w:val="single" w:sz="2" w:space="0" w:color="auto"/>
              <w:right w:val="single" w:sz="2" w:space="0" w:color="auto"/>
            </w:tcBorders>
            <w:vAlign w:val="center"/>
          </w:tcPr>
          <w:p w14:paraId="5ECCB56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E57E5B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35,000</w:t>
            </w:r>
          </w:p>
        </w:tc>
        <w:tc>
          <w:tcPr>
            <w:tcW w:w="1134" w:type="dxa"/>
            <w:tcBorders>
              <w:top w:val="single" w:sz="2" w:space="0" w:color="auto"/>
              <w:left w:val="single" w:sz="2" w:space="0" w:color="auto"/>
              <w:bottom w:val="single" w:sz="2" w:space="0" w:color="auto"/>
              <w:right w:val="single" w:sz="2" w:space="0" w:color="auto"/>
            </w:tcBorders>
            <w:vAlign w:val="center"/>
          </w:tcPr>
          <w:p w14:paraId="3D1396C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338B7A3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8DBDBAF"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58784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2024.10.23-2025.10.21</w:t>
            </w:r>
          </w:p>
        </w:tc>
        <w:tc>
          <w:tcPr>
            <w:tcW w:w="567" w:type="dxa"/>
            <w:tcBorders>
              <w:top w:val="single" w:sz="2" w:space="0" w:color="auto"/>
              <w:left w:val="single" w:sz="2" w:space="0" w:color="auto"/>
              <w:bottom w:val="single" w:sz="2" w:space="0" w:color="auto"/>
              <w:right w:val="single" w:sz="2" w:space="0" w:color="auto"/>
            </w:tcBorders>
            <w:vAlign w:val="center"/>
          </w:tcPr>
          <w:p w14:paraId="6AEB022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54BF0C0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DD92AD4"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0193A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2F082A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FD096B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559" w:type="dxa"/>
            <w:tcBorders>
              <w:top w:val="single" w:sz="2" w:space="0" w:color="auto"/>
              <w:left w:val="single" w:sz="2" w:space="0" w:color="auto"/>
              <w:bottom w:val="single" w:sz="2" w:space="0" w:color="auto"/>
              <w:right w:val="single" w:sz="2" w:space="0" w:color="auto"/>
            </w:tcBorders>
            <w:vAlign w:val="center"/>
          </w:tcPr>
          <w:p w14:paraId="3032826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29</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CC0C15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29C61B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3013D8A9"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46B8F22"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D5EC69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2024.01.29-2025.01.20</w:t>
            </w:r>
          </w:p>
        </w:tc>
        <w:tc>
          <w:tcPr>
            <w:tcW w:w="567" w:type="dxa"/>
            <w:tcBorders>
              <w:top w:val="single" w:sz="2" w:space="0" w:color="auto"/>
              <w:left w:val="single" w:sz="2" w:space="0" w:color="auto"/>
              <w:bottom w:val="single" w:sz="2" w:space="0" w:color="auto"/>
              <w:right w:val="single" w:sz="2" w:space="0" w:color="auto"/>
            </w:tcBorders>
            <w:vAlign w:val="center"/>
          </w:tcPr>
          <w:p w14:paraId="27F68F3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38E1E9F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7C94DDF6"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F4CE42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63D97D8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9B1FB0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2BF780C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11502B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2E1673A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2E5EF46E"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BD3ECFE"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C3775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2023.07.25-2024.07.24</w:t>
            </w:r>
          </w:p>
        </w:tc>
        <w:tc>
          <w:tcPr>
            <w:tcW w:w="567" w:type="dxa"/>
            <w:tcBorders>
              <w:top w:val="single" w:sz="2" w:space="0" w:color="auto"/>
              <w:left w:val="single" w:sz="2" w:space="0" w:color="auto"/>
              <w:bottom w:val="single" w:sz="2" w:space="0" w:color="auto"/>
              <w:right w:val="single" w:sz="2" w:space="0" w:color="auto"/>
            </w:tcBorders>
            <w:vAlign w:val="center"/>
          </w:tcPr>
          <w:p w14:paraId="569A4C8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7876B1E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694A4BF8"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61412C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7B21A2E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4744C5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0CA0A0C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9440A7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125174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9E8AE3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E6FEC1D"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6C1EB9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2023.07.27-2024.07.26</w:t>
            </w:r>
          </w:p>
        </w:tc>
        <w:tc>
          <w:tcPr>
            <w:tcW w:w="567" w:type="dxa"/>
            <w:tcBorders>
              <w:top w:val="single" w:sz="2" w:space="0" w:color="auto"/>
              <w:left w:val="single" w:sz="2" w:space="0" w:color="auto"/>
              <w:bottom w:val="single" w:sz="2" w:space="0" w:color="auto"/>
              <w:right w:val="single" w:sz="2" w:space="0" w:color="auto"/>
            </w:tcBorders>
            <w:vAlign w:val="center"/>
          </w:tcPr>
          <w:p w14:paraId="48784F5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4A88484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61B4B600"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62516A6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686C785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45189E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67245D2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915784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47B42BF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607530F"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20A465C"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F39FE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2023.08.02-2024.08.01</w:t>
            </w:r>
          </w:p>
        </w:tc>
        <w:tc>
          <w:tcPr>
            <w:tcW w:w="567" w:type="dxa"/>
            <w:tcBorders>
              <w:top w:val="single" w:sz="2" w:space="0" w:color="auto"/>
              <w:left w:val="single" w:sz="2" w:space="0" w:color="auto"/>
              <w:bottom w:val="single" w:sz="2" w:space="0" w:color="auto"/>
              <w:right w:val="single" w:sz="2" w:space="0" w:color="auto"/>
            </w:tcBorders>
            <w:vAlign w:val="center"/>
          </w:tcPr>
          <w:p w14:paraId="0ED52A1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22BDAD7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AE45CF3"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6CB6FC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43123BF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D94006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21E0185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D122F1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2DA5B1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887A57C"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6E44FA1"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FCF953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2023.08.04-2024.08.03</w:t>
            </w:r>
          </w:p>
        </w:tc>
        <w:tc>
          <w:tcPr>
            <w:tcW w:w="567" w:type="dxa"/>
            <w:tcBorders>
              <w:top w:val="single" w:sz="2" w:space="0" w:color="auto"/>
              <w:left w:val="single" w:sz="2" w:space="0" w:color="auto"/>
              <w:bottom w:val="single" w:sz="2" w:space="0" w:color="auto"/>
              <w:right w:val="single" w:sz="2" w:space="0" w:color="auto"/>
            </w:tcBorders>
            <w:vAlign w:val="center"/>
          </w:tcPr>
          <w:p w14:paraId="699BAAD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13F5770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0B431CE"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5CEB77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660F3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07983B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30BED00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3409B5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0094A5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1A22A4F"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53E1456"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99EDAF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2024.10.09-2025.10.09</w:t>
            </w:r>
          </w:p>
        </w:tc>
        <w:tc>
          <w:tcPr>
            <w:tcW w:w="567" w:type="dxa"/>
            <w:tcBorders>
              <w:top w:val="single" w:sz="2" w:space="0" w:color="auto"/>
              <w:left w:val="single" w:sz="2" w:space="0" w:color="auto"/>
              <w:bottom w:val="single" w:sz="2" w:space="0" w:color="auto"/>
              <w:right w:val="single" w:sz="2" w:space="0" w:color="auto"/>
            </w:tcBorders>
            <w:vAlign w:val="center"/>
          </w:tcPr>
          <w:p w14:paraId="3E42362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0D235D0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49C2E31"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BE76D0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84E5A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0E224A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6EA5ED4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E8C438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1607C61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347732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718FF8D"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510850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2023.10.25-2024.10.24</w:t>
            </w:r>
          </w:p>
        </w:tc>
        <w:tc>
          <w:tcPr>
            <w:tcW w:w="567" w:type="dxa"/>
            <w:tcBorders>
              <w:top w:val="single" w:sz="2" w:space="0" w:color="auto"/>
              <w:left w:val="single" w:sz="2" w:space="0" w:color="auto"/>
              <w:bottom w:val="single" w:sz="2" w:space="0" w:color="auto"/>
              <w:right w:val="single" w:sz="2" w:space="0" w:color="auto"/>
            </w:tcBorders>
            <w:vAlign w:val="center"/>
          </w:tcPr>
          <w:p w14:paraId="65CC88A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72A44FF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4809FA8"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6A4CCA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4B4C7EC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0A9980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153918C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A798AC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33CCC18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128AFA8"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0E79D8B"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093AB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2023.10.28-2024.10.27</w:t>
            </w:r>
          </w:p>
        </w:tc>
        <w:tc>
          <w:tcPr>
            <w:tcW w:w="567" w:type="dxa"/>
            <w:tcBorders>
              <w:top w:val="single" w:sz="2" w:space="0" w:color="auto"/>
              <w:left w:val="single" w:sz="2" w:space="0" w:color="auto"/>
              <w:bottom w:val="single" w:sz="2" w:space="0" w:color="auto"/>
              <w:right w:val="single" w:sz="2" w:space="0" w:color="auto"/>
            </w:tcBorders>
            <w:vAlign w:val="center"/>
          </w:tcPr>
          <w:p w14:paraId="6C21449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5351CF0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6986CC8"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579AE8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82910E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1A79B5E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4A430AF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907C51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500</w:t>
            </w:r>
          </w:p>
        </w:tc>
        <w:tc>
          <w:tcPr>
            <w:tcW w:w="1134" w:type="dxa"/>
            <w:tcBorders>
              <w:top w:val="single" w:sz="2" w:space="0" w:color="auto"/>
              <w:left w:val="single" w:sz="2" w:space="0" w:color="auto"/>
              <w:bottom w:val="single" w:sz="2" w:space="0" w:color="auto"/>
              <w:right w:val="single" w:sz="2" w:space="0" w:color="auto"/>
            </w:tcBorders>
            <w:vAlign w:val="center"/>
          </w:tcPr>
          <w:p w14:paraId="0A20379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101F6A6"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36000C5"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50A3D7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2023.10.31-2024.10.30</w:t>
            </w:r>
          </w:p>
        </w:tc>
        <w:tc>
          <w:tcPr>
            <w:tcW w:w="567" w:type="dxa"/>
            <w:tcBorders>
              <w:top w:val="single" w:sz="2" w:space="0" w:color="auto"/>
              <w:left w:val="single" w:sz="2" w:space="0" w:color="auto"/>
              <w:bottom w:val="single" w:sz="2" w:space="0" w:color="auto"/>
              <w:right w:val="single" w:sz="2" w:space="0" w:color="auto"/>
            </w:tcBorders>
            <w:vAlign w:val="center"/>
          </w:tcPr>
          <w:p w14:paraId="54E4C50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6767DD0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421FED9"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091F07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9C243A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1CAAD38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6080FAA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F1C4C4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400</w:t>
            </w:r>
          </w:p>
        </w:tc>
        <w:tc>
          <w:tcPr>
            <w:tcW w:w="1134" w:type="dxa"/>
            <w:tcBorders>
              <w:top w:val="single" w:sz="2" w:space="0" w:color="auto"/>
              <w:left w:val="single" w:sz="2" w:space="0" w:color="auto"/>
              <w:bottom w:val="single" w:sz="2" w:space="0" w:color="auto"/>
              <w:right w:val="single" w:sz="2" w:space="0" w:color="auto"/>
            </w:tcBorders>
            <w:vAlign w:val="center"/>
          </w:tcPr>
          <w:p w14:paraId="0BA827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CF87C1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3BCF390"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2D8D5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2024.10.09-2025.08.18</w:t>
            </w:r>
          </w:p>
        </w:tc>
        <w:tc>
          <w:tcPr>
            <w:tcW w:w="567" w:type="dxa"/>
            <w:tcBorders>
              <w:top w:val="single" w:sz="2" w:space="0" w:color="auto"/>
              <w:left w:val="single" w:sz="2" w:space="0" w:color="auto"/>
              <w:bottom w:val="single" w:sz="2" w:space="0" w:color="auto"/>
              <w:right w:val="single" w:sz="2" w:space="0" w:color="auto"/>
            </w:tcBorders>
            <w:vAlign w:val="center"/>
          </w:tcPr>
          <w:p w14:paraId="4384330C"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41A72422"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86BAAFE"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673AA42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w:t>
            </w:r>
            <w:r w:rsidRPr="005B5EC1">
              <w:rPr>
                <w:rFonts w:ascii="Times New Roman" w:eastAsia="宋体" w:hAnsi="Times New Roman" w:cs="Times New Roman"/>
                <w:sz w:val="18"/>
                <w:szCs w:val="18"/>
              </w:rPr>
              <w:lastRenderedPageBreak/>
              <w:t>公司</w:t>
            </w:r>
          </w:p>
        </w:tc>
        <w:tc>
          <w:tcPr>
            <w:tcW w:w="1538" w:type="dxa"/>
            <w:tcBorders>
              <w:top w:val="single" w:sz="2" w:space="0" w:color="auto"/>
              <w:left w:val="single" w:sz="2" w:space="0" w:color="auto"/>
              <w:bottom w:val="single" w:sz="2" w:space="0" w:color="auto"/>
              <w:right w:val="single" w:sz="2" w:space="0" w:color="auto"/>
            </w:tcBorders>
            <w:vAlign w:val="center"/>
          </w:tcPr>
          <w:p w14:paraId="4FB80D1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2D9EEA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5DA6A18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C900F8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w:t>
            </w:r>
          </w:p>
        </w:tc>
        <w:tc>
          <w:tcPr>
            <w:tcW w:w="1134" w:type="dxa"/>
            <w:tcBorders>
              <w:top w:val="single" w:sz="2" w:space="0" w:color="auto"/>
              <w:left w:val="single" w:sz="2" w:space="0" w:color="auto"/>
              <w:bottom w:val="single" w:sz="2" w:space="0" w:color="auto"/>
              <w:right w:val="single" w:sz="2" w:space="0" w:color="auto"/>
            </w:tcBorders>
            <w:vAlign w:val="center"/>
          </w:tcPr>
          <w:p w14:paraId="1DB0E3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26239BF7"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F23090E"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E1F2C0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2024.10.10-2025.08.18</w:t>
            </w:r>
          </w:p>
        </w:tc>
        <w:tc>
          <w:tcPr>
            <w:tcW w:w="567" w:type="dxa"/>
            <w:tcBorders>
              <w:top w:val="single" w:sz="2" w:space="0" w:color="auto"/>
              <w:left w:val="single" w:sz="2" w:space="0" w:color="auto"/>
              <w:bottom w:val="single" w:sz="2" w:space="0" w:color="auto"/>
              <w:right w:val="single" w:sz="2" w:space="0" w:color="auto"/>
            </w:tcBorders>
            <w:vAlign w:val="center"/>
          </w:tcPr>
          <w:p w14:paraId="4CE8455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05B8AA58"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3D59EB3"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58B8E8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05E7394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128DB5E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61885FF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7D5988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w:t>
            </w:r>
          </w:p>
        </w:tc>
        <w:tc>
          <w:tcPr>
            <w:tcW w:w="1134" w:type="dxa"/>
            <w:tcBorders>
              <w:top w:val="single" w:sz="2" w:space="0" w:color="auto"/>
              <w:left w:val="single" w:sz="2" w:space="0" w:color="auto"/>
              <w:bottom w:val="single" w:sz="2" w:space="0" w:color="auto"/>
              <w:right w:val="single" w:sz="2" w:space="0" w:color="auto"/>
            </w:tcBorders>
            <w:vAlign w:val="center"/>
          </w:tcPr>
          <w:p w14:paraId="6848AC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6FBC170"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338B111"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0EDA8A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2024.10.24-2025.08.18</w:t>
            </w:r>
          </w:p>
        </w:tc>
        <w:tc>
          <w:tcPr>
            <w:tcW w:w="567" w:type="dxa"/>
            <w:tcBorders>
              <w:top w:val="single" w:sz="2" w:space="0" w:color="auto"/>
              <w:left w:val="single" w:sz="2" w:space="0" w:color="auto"/>
              <w:bottom w:val="single" w:sz="2" w:space="0" w:color="auto"/>
              <w:right w:val="single" w:sz="2" w:space="0" w:color="auto"/>
            </w:tcBorders>
            <w:vAlign w:val="center"/>
          </w:tcPr>
          <w:p w14:paraId="686CC3F8"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2FA6FA1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DA7C739"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535F80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2798E9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C612E5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273AE15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8E3D9D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7828E4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3C088A1"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C466939"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43F76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2024.10.25-2025.08.18</w:t>
            </w:r>
          </w:p>
        </w:tc>
        <w:tc>
          <w:tcPr>
            <w:tcW w:w="567" w:type="dxa"/>
            <w:tcBorders>
              <w:top w:val="single" w:sz="2" w:space="0" w:color="auto"/>
              <w:left w:val="single" w:sz="2" w:space="0" w:color="auto"/>
              <w:bottom w:val="single" w:sz="2" w:space="0" w:color="auto"/>
              <w:right w:val="single" w:sz="2" w:space="0" w:color="auto"/>
            </w:tcBorders>
            <w:vAlign w:val="center"/>
          </w:tcPr>
          <w:p w14:paraId="21A9D2C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0B0799E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EACCAFF"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6892B82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FAFF0A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BB04F3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35DC10A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677B38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w:t>
            </w:r>
          </w:p>
        </w:tc>
        <w:tc>
          <w:tcPr>
            <w:tcW w:w="1134" w:type="dxa"/>
            <w:tcBorders>
              <w:top w:val="single" w:sz="2" w:space="0" w:color="auto"/>
              <w:left w:val="single" w:sz="2" w:space="0" w:color="auto"/>
              <w:bottom w:val="single" w:sz="2" w:space="0" w:color="auto"/>
              <w:right w:val="single" w:sz="2" w:space="0" w:color="auto"/>
            </w:tcBorders>
            <w:vAlign w:val="center"/>
          </w:tcPr>
          <w:p w14:paraId="492E37B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D1CA893"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F7BC641"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A715D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2024.10.28-2025.08.18</w:t>
            </w:r>
          </w:p>
        </w:tc>
        <w:tc>
          <w:tcPr>
            <w:tcW w:w="567" w:type="dxa"/>
            <w:tcBorders>
              <w:top w:val="single" w:sz="2" w:space="0" w:color="auto"/>
              <w:left w:val="single" w:sz="2" w:space="0" w:color="auto"/>
              <w:bottom w:val="single" w:sz="2" w:space="0" w:color="auto"/>
              <w:right w:val="single" w:sz="2" w:space="0" w:color="auto"/>
            </w:tcBorders>
            <w:vAlign w:val="center"/>
          </w:tcPr>
          <w:p w14:paraId="1A20499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63B4EB1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9EC2FCD"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5F45E1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7ACAA7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B7BFE6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6EDB90E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29</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852E5C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1F46DB4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C577C6C"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34D3392"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3C037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2024.10.29-2025.08.18</w:t>
            </w:r>
          </w:p>
        </w:tc>
        <w:tc>
          <w:tcPr>
            <w:tcW w:w="567" w:type="dxa"/>
            <w:tcBorders>
              <w:top w:val="single" w:sz="2" w:space="0" w:color="auto"/>
              <w:left w:val="single" w:sz="2" w:space="0" w:color="auto"/>
              <w:bottom w:val="single" w:sz="2" w:space="0" w:color="auto"/>
              <w:right w:val="single" w:sz="2" w:space="0" w:color="auto"/>
            </w:tcBorders>
            <w:vAlign w:val="center"/>
          </w:tcPr>
          <w:p w14:paraId="000E390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3CAED34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7ED78AF2"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4F286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72DB4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F68791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15F9C3D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9DAE55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w:t>
            </w:r>
          </w:p>
        </w:tc>
        <w:tc>
          <w:tcPr>
            <w:tcW w:w="1134" w:type="dxa"/>
            <w:tcBorders>
              <w:top w:val="single" w:sz="2" w:space="0" w:color="auto"/>
              <w:left w:val="single" w:sz="2" w:space="0" w:color="auto"/>
              <w:bottom w:val="single" w:sz="2" w:space="0" w:color="auto"/>
              <w:right w:val="single" w:sz="2" w:space="0" w:color="auto"/>
            </w:tcBorders>
            <w:vAlign w:val="center"/>
          </w:tcPr>
          <w:p w14:paraId="4D9D63C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2A0A4222"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697CE98"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8DD78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2024.11.01-2025.08.18</w:t>
            </w:r>
          </w:p>
        </w:tc>
        <w:tc>
          <w:tcPr>
            <w:tcW w:w="567" w:type="dxa"/>
            <w:tcBorders>
              <w:top w:val="single" w:sz="2" w:space="0" w:color="auto"/>
              <w:left w:val="single" w:sz="2" w:space="0" w:color="auto"/>
              <w:bottom w:val="single" w:sz="2" w:space="0" w:color="auto"/>
              <w:right w:val="single" w:sz="2" w:space="0" w:color="auto"/>
            </w:tcBorders>
            <w:vAlign w:val="center"/>
          </w:tcPr>
          <w:p w14:paraId="1366C98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694E607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6A40B4B"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DFA5E5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79016C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69CBBA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05D87F2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D9250C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513103A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066346C"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BF5FEC2"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73B250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2024.11.02-2025.08.18</w:t>
            </w:r>
          </w:p>
        </w:tc>
        <w:tc>
          <w:tcPr>
            <w:tcW w:w="567" w:type="dxa"/>
            <w:tcBorders>
              <w:top w:val="single" w:sz="2" w:space="0" w:color="auto"/>
              <w:left w:val="single" w:sz="2" w:space="0" w:color="auto"/>
              <w:bottom w:val="single" w:sz="2" w:space="0" w:color="auto"/>
              <w:right w:val="single" w:sz="2" w:space="0" w:color="auto"/>
            </w:tcBorders>
            <w:vAlign w:val="center"/>
          </w:tcPr>
          <w:p w14:paraId="730955FC"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4834A4D3"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74D5EC1E"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E52118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D76C3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038E6E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61FE9D8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FEE490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400</w:t>
            </w:r>
          </w:p>
        </w:tc>
        <w:tc>
          <w:tcPr>
            <w:tcW w:w="1134" w:type="dxa"/>
            <w:tcBorders>
              <w:top w:val="single" w:sz="2" w:space="0" w:color="auto"/>
              <w:left w:val="single" w:sz="2" w:space="0" w:color="auto"/>
              <w:bottom w:val="single" w:sz="2" w:space="0" w:color="auto"/>
              <w:right w:val="single" w:sz="2" w:space="0" w:color="auto"/>
            </w:tcBorders>
            <w:vAlign w:val="center"/>
          </w:tcPr>
          <w:p w14:paraId="7374EE4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67E61E7D"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22C95A1"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374EA6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2024.07.25-2025.07.24</w:t>
            </w:r>
          </w:p>
        </w:tc>
        <w:tc>
          <w:tcPr>
            <w:tcW w:w="567" w:type="dxa"/>
            <w:tcBorders>
              <w:top w:val="single" w:sz="2" w:space="0" w:color="auto"/>
              <w:left w:val="single" w:sz="2" w:space="0" w:color="auto"/>
              <w:bottom w:val="single" w:sz="2" w:space="0" w:color="auto"/>
              <w:right w:val="single" w:sz="2" w:space="0" w:color="auto"/>
            </w:tcBorders>
            <w:vAlign w:val="center"/>
          </w:tcPr>
          <w:p w14:paraId="37512BA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40040238"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9B5B551"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4DD029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45D7847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8013BB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625DCD8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3A378D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w:t>
            </w:r>
          </w:p>
        </w:tc>
        <w:tc>
          <w:tcPr>
            <w:tcW w:w="1134" w:type="dxa"/>
            <w:tcBorders>
              <w:top w:val="single" w:sz="2" w:space="0" w:color="auto"/>
              <w:left w:val="single" w:sz="2" w:space="0" w:color="auto"/>
              <w:bottom w:val="single" w:sz="2" w:space="0" w:color="auto"/>
              <w:right w:val="single" w:sz="2" w:space="0" w:color="auto"/>
            </w:tcBorders>
            <w:vAlign w:val="center"/>
          </w:tcPr>
          <w:p w14:paraId="7160533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764F671"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74F0CF8"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EB137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2024.07.26-2025.07.25</w:t>
            </w:r>
          </w:p>
        </w:tc>
        <w:tc>
          <w:tcPr>
            <w:tcW w:w="567" w:type="dxa"/>
            <w:tcBorders>
              <w:top w:val="single" w:sz="2" w:space="0" w:color="auto"/>
              <w:left w:val="single" w:sz="2" w:space="0" w:color="auto"/>
              <w:bottom w:val="single" w:sz="2" w:space="0" w:color="auto"/>
              <w:right w:val="single" w:sz="2" w:space="0" w:color="auto"/>
            </w:tcBorders>
            <w:vAlign w:val="center"/>
          </w:tcPr>
          <w:p w14:paraId="7FA14BB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69E2B7E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3FB247C"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0AF9B83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91C32D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9D7A31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2099B28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29</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361DB5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w:t>
            </w:r>
          </w:p>
        </w:tc>
        <w:tc>
          <w:tcPr>
            <w:tcW w:w="1134" w:type="dxa"/>
            <w:tcBorders>
              <w:top w:val="single" w:sz="2" w:space="0" w:color="auto"/>
              <w:left w:val="single" w:sz="2" w:space="0" w:color="auto"/>
              <w:bottom w:val="single" w:sz="2" w:space="0" w:color="auto"/>
              <w:right w:val="single" w:sz="2" w:space="0" w:color="auto"/>
            </w:tcBorders>
            <w:vAlign w:val="center"/>
          </w:tcPr>
          <w:p w14:paraId="1C27DE8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0911060"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82E0E37"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9E417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2024.07.29-2025.07.28</w:t>
            </w:r>
          </w:p>
        </w:tc>
        <w:tc>
          <w:tcPr>
            <w:tcW w:w="567" w:type="dxa"/>
            <w:tcBorders>
              <w:top w:val="single" w:sz="2" w:space="0" w:color="auto"/>
              <w:left w:val="single" w:sz="2" w:space="0" w:color="auto"/>
              <w:bottom w:val="single" w:sz="2" w:space="0" w:color="auto"/>
              <w:right w:val="single" w:sz="2" w:space="0" w:color="auto"/>
            </w:tcBorders>
            <w:vAlign w:val="center"/>
          </w:tcPr>
          <w:p w14:paraId="7E68E95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19CDB73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BFA497D"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4B3588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7F58F93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135D33E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799C1F7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75702B8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6B432B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ADBE8F7"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1850534"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7255B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2024.07.30-2025.07.29</w:t>
            </w:r>
          </w:p>
        </w:tc>
        <w:tc>
          <w:tcPr>
            <w:tcW w:w="567" w:type="dxa"/>
            <w:tcBorders>
              <w:top w:val="single" w:sz="2" w:space="0" w:color="auto"/>
              <w:left w:val="single" w:sz="2" w:space="0" w:color="auto"/>
              <w:bottom w:val="single" w:sz="2" w:space="0" w:color="auto"/>
              <w:right w:val="single" w:sz="2" w:space="0" w:color="auto"/>
            </w:tcBorders>
            <w:vAlign w:val="center"/>
          </w:tcPr>
          <w:p w14:paraId="4F3725B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11AFAFDC"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ED94C10"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6BE20D9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A3010C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10081A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0B7BAC7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293B97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450</w:t>
            </w:r>
          </w:p>
        </w:tc>
        <w:tc>
          <w:tcPr>
            <w:tcW w:w="1134" w:type="dxa"/>
            <w:tcBorders>
              <w:top w:val="single" w:sz="2" w:space="0" w:color="auto"/>
              <w:left w:val="single" w:sz="2" w:space="0" w:color="auto"/>
              <w:bottom w:val="single" w:sz="2" w:space="0" w:color="auto"/>
              <w:right w:val="single" w:sz="2" w:space="0" w:color="auto"/>
            </w:tcBorders>
            <w:vAlign w:val="center"/>
          </w:tcPr>
          <w:p w14:paraId="183F72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522D1E9"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3DBADC7"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DA66A1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2024.08.02-2025.08.01</w:t>
            </w:r>
          </w:p>
        </w:tc>
        <w:tc>
          <w:tcPr>
            <w:tcW w:w="567" w:type="dxa"/>
            <w:tcBorders>
              <w:top w:val="single" w:sz="2" w:space="0" w:color="auto"/>
              <w:left w:val="single" w:sz="2" w:space="0" w:color="auto"/>
              <w:bottom w:val="single" w:sz="2" w:space="0" w:color="auto"/>
              <w:right w:val="single" w:sz="2" w:space="0" w:color="auto"/>
            </w:tcBorders>
            <w:vAlign w:val="center"/>
          </w:tcPr>
          <w:p w14:paraId="444089B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7AEFDC0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15110DF"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147F95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5134B4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DEF1AB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08E00E2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168BF92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450</w:t>
            </w:r>
          </w:p>
        </w:tc>
        <w:tc>
          <w:tcPr>
            <w:tcW w:w="1134" w:type="dxa"/>
            <w:tcBorders>
              <w:top w:val="single" w:sz="2" w:space="0" w:color="auto"/>
              <w:left w:val="single" w:sz="2" w:space="0" w:color="auto"/>
              <w:bottom w:val="single" w:sz="2" w:space="0" w:color="auto"/>
              <w:right w:val="single" w:sz="2" w:space="0" w:color="auto"/>
            </w:tcBorders>
            <w:vAlign w:val="center"/>
          </w:tcPr>
          <w:p w14:paraId="12E2719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42B68B9"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05D38A7"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353486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2024.08.05-2025.08.04</w:t>
            </w:r>
          </w:p>
        </w:tc>
        <w:tc>
          <w:tcPr>
            <w:tcW w:w="567" w:type="dxa"/>
            <w:tcBorders>
              <w:top w:val="single" w:sz="2" w:space="0" w:color="auto"/>
              <w:left w:val="single" w:sz="2" w:space="0" w:color="auto"/>
              <w:bottom w:val="single" w:sz="2" w:space="0" w:color="auto"/>
              <w:right w:val="single" w:sz="2" w:space="0" w:color="auto"/>
            </w:tcBorders>
            <w:vAlign w:val="center"/>
          </w:tcPr>
          <w:p w14:paraId="5D0D097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583195E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41B36E0"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E00ECD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248AC5E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AD807E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2,000</w:t>
            </w:r>
          </w:p>
        </w:tc>
        <w:tc>
          <w:tcPr>
            <w:tcW w:w="1559" w:type="dxa"/>
            <w:tcBorders>
              <w:top w:val="single" w:sz="2" w:space="0" w:color="auto"/>
              <w:left w:val="single" w:sz="2" w:space="0" w:color="auto"/>
              <w:bottom w:val="single" w:sz="2" w:space="0" w:color="auto"/>
              <w:right w:val="single" w:sz="2" w:space="0" w:color="auto"/>
            </w:tcBorders>
            <w:vAlign w:val="center"/>
          </w:tcPr>
          <w:p w14:paraId="4CB4E3B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29149E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w:t>
            </w:r>
          </w:p>
        </w:tc>
        <w:tc>
          <w:tcPr>
            <w:tcW w:w="1134" w:type="dxa"/>
            <w:tcBorders>
              <w:top w:val="single" w:sz="2" w:space="0" w:color="auto"/>
              <w:left w:val="single" w:sz="2" w:space="0" w:color="auto"/>
              <w:bottom w:val="single" w:sz="2" w:space="0" w:color="auto"/>
              <w:right w:val="single" w:sz="2" w:space="0" w:color="auto"/>
            </w:tcBorders>
            <w:vAlign w:val="center"/>
          </w:tcPr>
          <w:p w14:paraId="2ACC51D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B6CB723"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4BABA98"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A951CE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2024.08.06-2025.08.05</w:t>
            </w:r>
          </w:p>
        </w:tc>
        <w:tc>
          <w:tcPr>
            <w:tcW w:w="567" w:type="dxa"/>
            <w:tcBorders>
              <w:top w:val="single" w:sz="2" w:space="0" w:color="auto"/>
              <w:left w:val="single" w:sz="2" w:space="0" w:color="auto"/>
              <w:bottom w:val="single" w:sz="2" w:space="0" w:color="auto"/>
              <w:right w:val="single" w:sz="2" w:space="0" w:color="auto"/>
            </w:tcBorders>
            <w:vAlign w:val="center"/>
          </w:tcPr>
          <w:p w14:paraId="2581BE6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7D724703"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7766C9E0"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431501B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17EFE19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8AE06F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w:t>
            </w:r>
          </w:p>
        </w:tc>
        <w:tc>
          <w:tcPr>
            <w:tcW w:w="1559" w:type="dxa"/>
            <w:tcBorders>
              <w:top w:val="single" w:sz="2" w:space="0" w:color="auto"/>
              <w:left w:val="single" w:sz="2" w:space="0" w:color="auto"/>
              <w:bottom w:val="single" w:sz="2" w:space="0" w:color="auto"/>
              <w:right w:val="single" w:sz="2" w:space="0" w:color="auto"/>
            </w:tcBorders>
            <w:vAlign w:val="center"/>
          </w:tcPr>
          <w:p w14:paraId="774F0D6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2EC1D4B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200</w:t>
            </w:r>
          </w:p>
        </w:tc>
        <w:tc>
          <w:tcPr>
            <w:tcW w:w="1134" w:type="dxa"/>
            <w:tcBorders>
              <w:top w:val="single" w:sz="2" w:space="0" w:color="auto"/>
              <w:left w:val="single" w:sz="2" w:space="0" w:color="auto"/>
              <w:bottom w:val="single" w:sz="2" w:space="0" w:color="auto"/>
              <w:right w:val="single" w:sz="2" w:space="0" w:color="auto"/>
            </w:tcBorders>
            <w:vAlign w:val="center"/>
          </w:tcPr>
          <w:p w14:paraId="5D09BE5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9D86F0A"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F28C57F"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A2D846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2024.09.30-2025.09.29</w:t>
            </w:r>
          </w:p>
        </w:tc>
        <w:tc>
          <w:tcPr>
            <w:tcW w:w="567" w:type="dxa"/>
            <w:tcBorders>
              <w:top w:val="single" w:sz="2" w:space="0" w:color="auto"/>
              <w:left w:val="single" w:sz="2" w:space="0" w:color="auto"/>
              <w:bottom w:val="single" w:sz="2" w:space="0" w:color="auto"/>
              <w:right w:val="single" w:sz="2" w:space="0" w:color="auto"/>
            </w:tcBorders>
            <w:vAlign w:val="center"/>
          </w:tcPr>
          <w:p w14:paraId="7F3E745B"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1A02C5B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08CB794"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D5B878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7B6AB7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4811A6C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15,000</w:t>
            </w:r>
          </w:p>
        </w:tc>
        <w:tc>
          <w:tcPr>
            <w:tcW w:w="1559" w:type="dxa"/>
            <w:tcBorders>
              <w:top w:val="single" w:sz="2" w:space="0" w:color="auto"/>
              <w:left w:val="single" w:sz="2" w:space="0" w:color="auto"/>
              <w:bottom w:val="single" w:sz="2" w:space="0" w:color="auto"/>
              <w:right w:val="single" w:sz="2" w:space="0" w:color="auto"/>
            </w:tcBorders>
            <w:vAlign w:val="center"/>
          </w:tcPr>
          <w:p w14:paraId="6838A7A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085108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7,000</w:t>
            </w:r>
          </w:p>
        </w:tc>
        <w:tc>
          <w:tcPr>
            <w:tcW w:w="1134" w:type="dxa"/>
            <w:tcBorders>
              <w:top w:val="single" w:sz="2" w:space="0" w:color="auto"/>
              <w:left w:val="single" w:sz="2" w:space="0" w:color="auto"/>
              <w:bottom w:val="single" w:sz="2" w:space="0" w:color="auto"/>
              <w:right w:val="single" w:sz="2" w:space="0" w:color="auto"/>
            </w:tcBorders>
            <w:vAlign w:val="center"/>
          </w:tcPr>
          <w:p w14:paraId="6BD706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331B43DF"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8079D0D"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720C9C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2023.03.30-2031.03.31</w:t>
            </w:r>
          </w:p>
        </w:tc>
        <w:tc>
          <w:tcPr>
            <w:tcW w:w="567" w:type="dxa"/>
            <w:tcBorders>
              <w:top w:val="single" w:sz="2" w:space="0" w:color="auto"/>
              <w:left w:val="single" w:sz="2" w:space="0" w:color="auto"/>
              <w:bottom w:val="single" w:sz="2" w:space="0" w:color="auto"/>
              <w:right w:val="single" w:sz="2" w:space="0" w:color="auto"/>
            </w:tcBorders>
            <w:vAlign w:val="center"/>
          </w:tcPr>
          <w:p w14:paraId="5FEA7B4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41889A1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48A695B3"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16B84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538" w:type="dxa"/>
            <w:tcBorders>
              <w:top w:val="single" w:sz="2" w:space="0" w:color="auto"/>
              <w:left w:val="single" w:sz="2" w:space="0" w:color="auto"/>
              <w:bottom w:val="single" w:sz="2" w:space="0" w:color="auto"/>
              <w:right w:val="single" w:sz="2" w:space="0" w:color="auto"/>
            </w:tcBorders>
            <w:vAlign w:val="center"/>
          </w:tcPr>
          <w:p w14:paraId="34C063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3A30B0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15,000</w:t>
            </w:r>
          </w:p>
        </w:tc>
        <w:tc>
          <w:tcPr>
            <w:tcW w:w="1559" w:type="dxa"/>
            <w:tcBorders>
              <w:top w:val="single" w:sz="2" w:space="0" w:color="auto"/>
              <w:left w:val="single" w:sz="2" w:space="0" w:color="auto"/>
              <w:bottom w:val="single" w:sz="2" w:space="0" w:color="auto"/>
              <w:right w:val="single" w:sz="2" w:space="0" w:color="auto"/>
            </w:tcBorders>
            <w:vAlign w:val="center"/>
          </w:tcPr>
          <w:p w14:paraId="30EC154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27</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BF9A5B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134" w:type="dxa"/>
            <w:tcBorders>
              <w:top w:val="single" w:sz="2" w:space="0" w:color="auto"/>
              <w:left w:val="single" w:sz="2" w:space="0" w:color="auto"/>
              <w:bottom w:val="single" w:sz="2" w:space="0" w:color="auto"/>
              <w:right w:val="single" w:sz="2" w:space="0" w:color="auto"/>
            </w:tcBorders>
            <w:vAlign w:val="center"/>
          </w:tcPr>
          <w:p w14:paraId="6357B55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36D4FD03"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3FB223A"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45CBF2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2023.04.27-2031.03.31</w:t>
            </w:r>
          </w:p>
        </w:tc>
        <w:tc>
          <w:tcPr>
            <w:tcW w:w="567" w:type="dxa"/>
            <w:tcBorders>
              <w:top w:val="single" w:sz="2" w:space="0" w:color="auto"/>
              <w:left w:val="single" w:sz="2" w:space="0" w:color="auto"/>
              <w:bottom w:val="single" w:sz="2" w:space="0" w:color="auto"/>
              <w:right w:val="single" w:sz="2" w:space="0" w:color="auto"/>
            </w:tcBorders>
            <w:vAlign w:val="center"/>
          </w:tcPr>
          <w:p w14:paraId="251DD180"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03FAD413"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B35390B"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9C9C1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0C19E4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85713E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1FA2F01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8E1692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493.2</w:t>
            </w:r>
          </w:p>
        </w:tc>
        <w:tc>
          <w:tcPr>
            <w:tcW w:w="1134" w:type="dxa"/>
            <w:tcBorders>
              <w:top w:val="single" w:sz="2" w:space="0" w:color="auto"/>
              <w:left w:val="single" w:sz="2" w:space="0" w:color="auto"/>
              <w:bottom w:val="single" w:sz="2" w:space="0" w:color="auto"/>
              <w:right w:val="single" w:sz="2" w:space="0" w:color="auto"/>
            </w:tcBorders>
            <w:vAlign w:val="center"/>
          </w:tcPr>
          <w:p w14:paraId="0A8C3CB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100E9E7"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B1A2513"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50D21C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2023.4.03-2024.12.21</w:t>
            </w:r>
          </w:p>
        </w:tc>
        <w:tc>
          <w:tcPr>
            <w:tcW w:w="567" w:type="dxa"/>
            <w:tcBorders>
              <w:top w:val="single" w:sz="2" w:space="0" w:color="auto"/>
              <w:left w:val="single" w:sz="2" w:space="0" w:color="auto"/>
              <w:bottom w:val="single" w:sz="2" w:space="0" w:color="auto"/>
              <w:right w:val="single" w:sz="2" w:space="0" w:color="auto"/>
            </w:tcBorders>
            <w:vAlign w:val="center"/>
          </w:tcPr>
          <w:p w14:paraId="33D6450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c>
          <w:tcPr>
            <w:tcW w:w="564" w:type="dxa"/>
            <w:tcBorders>
              <w:top w:val="single" w:sz="2" w:space="0" w:color="auto"/>
              <w:left w:val="single" w:sz="2" w:space="0" w:color="auto"/>
              <w:bottom w:val="single" w:sz="2" w:space="0" w:color="auto"/>
              <w:right w:val="single" w:sz="2" w:space="0" w:color="auto"/>
            </w:tcBorders>
            <w:vAlign w:val="center"/>
          </w:tcPr>
          <w:p w14:paraId="3E2421E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2F40303"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3DA0F3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2F86C85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0C061C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4F742DF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715382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2,516.32</w:t>
            </w:r>
          </w:p>
        </w:tc>
        <w:tc>
          <w:tcPr>
            <w:tcW w:w="1134" w:type="dxa"/>
            <w:tcBorders>
              <w:top w:val="single" w:sz="2" w:space="0" w:color="auto"/>
              <w:left w:val="single" w:sz="2" w:space="0" w:color="auto"/>
              <w:bottom w:val="single" w:sz="2" w:space="0" w:color="auto"/>
              <w:right w:val="single" w:sz="2" w:space="0" w:color="auto"/>
            </w:tcBorders>
            <w:vAlign w:val="center"/>
          </w:tcPr>
          <w:p w14:paraId="4418D41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78D439C"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1677590"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915F08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2023.04.03-2030.06.21</w:t>
            </w:r>
          </w:p>
        </w:tc>
        <w:tc>
          <w:tcPr>
            <w:tcW w:w="567" w:type="dxa"/>
            <w:tcBorders>
              <w:top w:val="single" w:sz="2" w:space="0" w:color="auto"/>
              <w:left w:val="single" w:sz="2" w:space="0" w:color="auto"/>
              <w:bottom w:val="single" w:sz="2" w:space="0" w:color="auto"/>
              <w:right w:val="single" w:sz="2" w:space="0" w:color="auto"/>
            </w:tcBorders>
            <w:vAlign w:val="center"/>
          </w:tcPr>
          <w:p w14:paraId="29B83A83"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1BA98F88"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D43C7AF"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7624632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w:t>
            </w:r>
            <w:r w:rsidRPr="005B5EC1">
              <w:rPr>
                <w:rFonts w:ascii="Times New Roman" w:eastAsia="宋体" w:hAnsi="Times New Roman" w:cs="Times New Roman"/>
                <w:sz w:val="18"/>
                <w:szCs w:val="18"/>
              </w:rPr>
              <w:lastRenderedPageBreak/>
              <w:t>公司</w:t>
            </w:r>
          </w:p>
        </w:tc>
        <w:tc>
          <w:tcPr>
            <w:tcW w:w="1538" w:type="dxa"/>
            <w:tcBorders>
              <w:top w:val="single" w:sz="2" w:space="0" w:color="auto"/>
              <w:left w:val="single" w:sz="2" w:space="0" w:color="auto"/>
              <w:bottom w:val="single" w:sz="2" w:space="0" w:color="auto"/>
              <w:right w:val="single" w:sz="2" w:space="0" w:color="auto"/>
            </w:tcBorders>
            <w:vAlign w:val="center"/>
          </w:tcPr>
          <w:p w14:paraId="6CFDB46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BFF95D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7723FD4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AB91C2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976.59</w:t>
            </w:r>
          </w:p>
        </w:tc>
        <w:tc>
          <w:tcPr>
            <w:tcW w:w="1134" w:type="dxa"/>
            <w:tcBorders>
              <w:top w:val="single" w:sz="2" w:space="0" w:color="auto"/>
              <w:left w:val="single" w:sz="2" w:space="0" w:color="auto"/>
              <w:bottom w:val="single" w:sz="2" w:space="0" w:color="auto"/>
              <w:right w:val="single" w:sz="2" w:space="0" w:color="auto"/>
            </w:tcBorders>
            <w:vAlign w:val="center"/>
          </w:tcPr>
          <w:p w14:paraId="6A7B0D5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DBAB8E4"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F53BBD9"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A5A567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2023.04.03-2030.06.21</w:t>
            </w:r>
          </w:p>
        </w:tc>
        <w:tc>
          <w:tcPr>
            <w:tcW w:w="567" w:type="dxa"/>
            <w:tcBorders>
              <w:top w:val="single" w:sz="2" w:space="0" w:color="auto"/>
              <w:left w:val="single" w:sz="2" w:space="0" w:color="auto"/>
              <w:bottom w:val="single" w:sz="2" w:space="0" w:color="auto"/>
              <w:right w:val="single" w:sz="2" w:space="0" w:color="auto"/>
            </w:tcBorders>
            <w:vAlign w:val="center"/>
          </w:tcPr>
          <w:p w14:paraId="2376B1C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p w14:paraId="56B2E206" w14:textId="77777777" w:rsidR="00F21BB6" w:rsidRPr="005B5EC1" w:rsidRDefault="00F21BB6" w:rsidP="00F21BB6">
            <w:pPr>
              <w:rPr>
                <w:rFonts w:ascii="Times New Roman" w:eastAsia="宋体" w:hAnsi="Times New Roman" w:cs="Times New Roman"/>
                <w:sz w:val="18"/>
                <w:szCs w:val="18"/>
              </w:rPr>
            </w:pPr>
          </w:p>
        </w:tc>
        <w:tc>
          <w:tcPr>
            <w:tcW w:w="564" w:type="dxa"/>
            <w:tcBorders>
              <w:top w:val="single" w:sz="2" w:space="0" w:color="auto"/>
              <w:left w:val="single" w:sz="2" w:space="0" w:color="auto"/>
              <w:bottom w:val="single" w:sz="2" w:space="0" w:color="auto"/>
              <w:right w:val="single" w:sz="2" w:space="0" w:color="auto"/>
            </w:tcBorders>
            <w:vAlign w:val="center"/>
          </w:tcPr>
          <w:p w14:paraId="2795EA2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A294AB3"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6C505A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61A4C1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8983031"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517D886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7E62DD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1,258.01</w:t>
            </w:r>
          </w:p>
        </w:tc>
        <w:tc>
          <w:tcPr>
            <w:tcW w:w="1134" w:type="dxa"/>
            <w:tcBorders>
              <w:top w:val="single" w:sz="2" w:space="0" w:color="auto"/>
              <w:left w:val="single" w:sz="2" w:space="0" w:color="auto"/>
              <w:bottom w:val="single" w:sz="2" w:space="0" w:color="auto"/>
              <w:right w:val="single" w:sz="2" w:space="0" w:color="auto"/>
            </w:tcBorders>
            <w:vAlign w:val="center"/>
          </w:tcPr>
          <w:p w14:paraId="3479257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269FEF79"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0B2BE3C"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438F65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2023.04.03-2030.06.21</w:t>
            </w:r>
          </w:p>
        </w:tc>
        <w:tc>
          <w:tcPr>
            <w:tcW w:w="567" w:type="dxa"/>
            <w:tcBorders>
              <w:top w:val="single" w:sz="2" w:space="0" w:color="auto"/>
              <w:left w:val="single" w:sz="2" w:space="0" w:color="auto"/>
              <w:bottom w:val="single" w:sz="2" w:space="0" w:color="auto"/>
              <w:right w:val="single" w:sz="2" w:space="0" w:color="auto"/>
            </w:tcBorders>
            <w:vAlign w:val="center"/>
          </w:tcPr>
          <w:p w14:paraId="58501D3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147D68C7"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23B13B0"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0D23758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246118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BE3D02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2DB4916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33AE93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731.82</w:t>
            </w:r>
          </w:p>
        </w:tc>
        <w:tc>
          <w:tcPr>
            <w:tcW w:w="1134" w:type="dxa"/>
            <w:tcBorders>
              <w:top w:val="single" w:sz="2" w:space="0" w:color="auto"/>
              <w:left w:val="single" w:sz="2" w:space="0" w:color="auto"/>
              <w:bottom w:val="single" w:sz="2" w:space="0" w:color="auto"/>
              <w:right w:val="single" w:sz="2" w:space="0" w:color="auto"/>
            </w:tcBorders>
            <w:vAlign w:val="center"/>
          </w:tcPr>
          <w:p w14:paraId="0611EA2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7850A7B8"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93F2E9A"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7EBA2B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2023.04.03-2030.06.21</w:t>
            </w:r>
          </w:p>
        </w:tc>
        <w:tc>
          <w:tcPr>
            <w:tcW w:w="567" w:type="dxa"/>
            <w:tcBorders>
              <w:top w:val="single" w:sz="2" w:space="0" w:color="auto"/>
              <w:left w:val="single" w:sz="2" w:space="0" w:color="auto"/>
              <w:bottom w:val="single" w:sz="2" w:space="0" w:color="auto"/>
              <w:right w:val="single" w:sz="2" w:space="0" w:color="auto"/>
            </w:tcBorders>
            <w:vAlign w:val="center"/>
          </w:tcPr>
          <w:p w14:paraId="45CEE980"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2DE0C03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5FFDCC9"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4F6F1DA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74D0896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7F33D4B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02742F0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E3DAC9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100.47</w:t>
            </w:r>
          </w:p>
        </w:tc>
        <w:tc>
          <w:tcPr>
            <w:tcW w:w="1134" w:type="dxa"/>
            <w:tcBorders>
              <w:top w:val="single" w:sz="2" w:space="0" w:color="auto"/>
              <w:left w:val="single" w:sz="2" w:space="0" w:color="auto"/>
              <w:bottom w:val="single" w:sz="2" w:space="0" w:color="auto"/>
              <w:right w:val="single" w:sz="2" w:space="0" w:color="auto"/>
            </w:tcBorders>
            <w:vAlign w:val="center"/>
          </w:tcPr>
          <w:p w14:paraId="5F13C0E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3DD364B"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87887D5"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2FFACC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2023.04.03-2030.06.21</w:t>
            </w:r>
          </w:p>
        </w:tc>
        <w:tc>
          <w:tcPr>
            <w:tcW w:w="567" w:type="dxa"/>
            <w:tcBorders>
              <w:top w:val="single" w:sz="2" w:space="0" w:color="auto"/>
              <w:left w:val="single" w:sz="2" w:space="0" w:color="auto"/>
              <w:bottom w:val="single" w:sz="2" w:space="0" w:color="auto"/>
              <w:right w:val="single" w:sz="2" w:space="0" w:color="auto"/>
            </w:tcBorders>
            <w:vAlign w:val="center"/>
          </w:tcPr>
          <w:p w14:paraId="15942331"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6F16BA8E"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DFD1FD9"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3C5E6F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6A3A19F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2033E8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61835993"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71038A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794.87</w:t>
            </w:r>
          </w:p>
        </w:tc>
        <w:tc>
          <w:tcPr>
            <w:tcW w:w="1134" w:type="dxa"/>
            <w:tcBorders>
              <w:top w:val="single" w:sz="2" w:space="0" w:color="auto"/>
              <w:left w:val="single" w:sz="2" w:space="0" w:color="auto"/>
              <w:bottom w:val="single" w:sz="2" w:space="0" w:color="auto"/>
              <w:right w:val="single" w:sz="2" w:space="0" w:color="auto"/>
            </w:tcBorders>
            <w:vAlign w:val="center"/>
          </w:tcPr>
          <w:p w14:paraId="1459B60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0AA260E"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A82C14D"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53E75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2023.04.03-2030.06.21</w:t>
            </w:r>
          </w:p>
        </w:tc>
        <w:tc>
          <w:tcPr>
            <w:tcW w:w="567" w:type="dxa"/>
            <w:tcBorders>
              <w:top w:val="single" w:sz="2" w:space="0" w:color="auto"/>
              <w:left w:val="single" w:sz="2" w:space="0" w:color="auto"/>
              <w:bottom w:val="single" w:sz="2" w:space="0" w:color="auto"/>
              <w:right w:val="single" w:sz="2" w:space="0" w:color="auto"/>
            </w:tcBorders>
            <w:vAlign w:val="center"/>
          </w:tcPr>
          <w:p w14:paraId="78201168"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0148B966"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2B168089"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2BB9E9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02C045E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5474F9E"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3BC634E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3DE9080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1,954.49</w:t>
            </w:r>
          </w:p>
        </w:tc>
        <w:tc>
          <w:tcPr>
            <w:tcW w:w="1134" w:type="dxa"/>
            <w:tcBorders>
              <w:top w:val="single" w:sz="2" w:space="0" w:color="auto"/>
              <w:left w:val="single" w:sz="2" w:space="0" w:color="auto"/>
              <w:bottom w:val="single" w:sz="2" w:space="0" w:color="auto"/>
              <w:right w:val="single" w:sz="2" w:space="0" w:color="auto"/>
            </w:tcBorders>
            <w:vAlign w:val="center"/>
          </w:tcPr>
          <w:p w14:paraId="2FE569D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F19C4D5"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AA0D88C"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7A0636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2023.04.03-2030.06.21</w:t>
            </w:r>
          </w:p>
        </w:tc>
        <w:tc>
          <w:tcPr>
            <w:tcW w:w="567" w:type="dxa"/>
            <w:tcBorders>
              <w:top w:val="single" w:sz="2" w:space="0" w:color="auto"/>
              <w:left w:val="single" w:sz="2" w:space="0" w:color="auto"/>
              <w:bottom w:val="single" w:sz="2" w:space="0" w:color="auto"/>
              <w:right w:val="single" w:sz="2" w:space="0" w:color="auto"/>
            </w:tcBorders>
            <w:vAlign w:val="center"/>
          </w:tcPr>
          <w:p w14:paraId="1F12398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1935414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7E84C2C"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194DDA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5AC99B5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35A648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3DCF60CA"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7C105B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1,098.27</w:t>
            </w:r>
          </w:p>
        </w:tc>
        <w:tc>
          <w:tcPr>
            <w:tcW w:w="1134" w:type="dxa"/>
            <w:tcBorders>
              <w:top w:val="single" w:sz="2" w:space="0" w:color="auto"/>
              <w:left w:val="single" w:sz="2" w:space="0" w:color="auto"/>
              <w:bottom w:val="single" w:sz="2" w:space="0" w:color="auto"/>
              <w:right w:val="single" w:sz="2" w:space="0" w:color="auto"/>
            </w:tcBorders>
            <w:vAlign w:val="center"/>
          </w:tcPr>
          <w:p w14:paraId="2306142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3B3F021E"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B41015A"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7DDCC5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2023.04.03-2030.06.21</w:t>
            </w:r>
          </w:p>
        </w:tc>
        <w:tc>
          <w:tcPr>
            <w:tcW w:w="567" w:type="dxa"/>
            <w:tcBorders>
              <w:top w:val="single" w:sz="2" w:space="0" w:color="auto"/>
              <w:left w:val="single" w:sz="2" w:space="0" w:color="auto"/>
              <w:bottom w:val="single" w:sz="2" w:space="0" w:color="auto"/>
              <w:right w:val="single" w:sz="2" w:space="0" w:color="auto"/>
            </w:tcBorders>
            <w:vAlign w:val="center"/>
          </w:tcPr>
          <w:p w14:paraId="62F4D5C8"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65BA51F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343DBEA"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65BF181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6F0BF79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3926D99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227544A7"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07D77E4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135</w:t>
            </w:r>
          </w:p>
        </w:tc>
        <w:tc>
          <w:tcPr>
            <w:tcW w:w="1134" w:type="dxa"/>
            <w:tcBorders>
              <w:top w:val="single" w:sz="2" w:space="0" w:color="auto"/>
              <w:left w:val="single" w:sz="2" w:space="0" w:color="auto"/>
              <w:bottom w:val="single" w:sz="2" w:space="0" w:color="auto"/>
              <w:right w:val="single" w:sz="2" w:space="0" w:color="auto"/>
            </w:tcBorders>
            <w:vAlign w:val="center"/>
          </w:tcPr>
          <w:p w14:paraId="7113574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E09476C"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505A5EC"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4BAFE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2024.10.11-2025.10.09</w:t>
            </w:r>
          </w:p>
        </w:tc>
        <w:tc>
          <w:tcPr>
            <w:tcW w:w="567" w:type="dxa"/>
            <w:tcBorders>
              <w:top w:val="single" w:sz="2" w:space="0" w:color="auto"/>
              <w:left w:val="single" w:sz="2" w:space="0" w:color="auto"/>
              <w:bottom w:val="single" w:sz="2" w:space="0" w:color="auto"/>
              <w:right w:val="single" w:sz="2" w:space="0" w:color="auto"/>
            </w:tcBorders>
            <w:vAlign w:val="center"/>
          </w:tcPr>
          <w:p w14:paraId="64B84A24"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0D013B12"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BAD6BD7"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D58403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1DA4CEF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56A46E56"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7D29B134"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3802189"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60.43</w:t>
            </w:r>
          </w:p>
        </w:tc>
        <w:tc>
          <w:tcPr>
            <w:tcW w:w="1134" w:type="dxa"/>
            <w:tcBorders>
              <w:top w:val="single" w:sz="2" w:space="0" w:color="auto"/>
              <w:left w:val="single" w:sz="2" w:space="0" w:color="auto"/>
              <w:bottom w:val="single" w:sz="2" w:space="0" w:color="auto"/>
              <w:right w:val="single" w:sz="2" w:space="0" w:color="auto"/>
            </w:tcBorders>
            <w:vAlign w:val="center"/>
          </w:tcPr>
          <w:p w14:paraId="2593522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FC42DD0"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41E5782"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B0FF2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2024.10.11-2025.10.09</w:t>
            </w:r>
          </w:p>
        </w:tc>
        <w:tc>
          <w:tcPr>
            <w:tcW w:w="567" w:type="dxa"/>
            <w:tcBorders>
              <w:top w:val="single" w:sz="2" w:space="0" w:color="auto"/>
              <w:left w:val="single" w:sz="2" w:space="0" w:color="auto"/>
              <w:bottom w:val="single" w:sz="2" w:space="0" w:color="auto"/>
              <w:right w:val="single" w:sz="2" w:space="0" w:color="auto"/>
            </w:tcBorders>
            <w:vAlign w:val="center"/>
          </w:tcPr>
          <w:p w14:paraId="0DE9A8C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57FDB8F5"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067ACE63"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070EF2F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638BE2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86D8FE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6E3775C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60AF193B"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72.33</w:t>
            </w:r>
          </w:p>
        </w:tc>
        <w:tc>
          <w:tcPr>
            <w:tcW w:w="1134" w:type="dxa"/>
            <w:tcBorders>
              <w:top w:val="single" w:sz="2" w:space="0" w:color="auto"/>
              <w:left w:val="single" w:sz="2" w:space="0" w:color="auto"/>
              <w:bottom w:val="single" w:sz="2" w:space="0" w:color="auto"/>
              <w:right w:val="single" w:sz="2" w:space="0" w:color="auto"/>
            </w:tcBorders>
            <w:vAlign w:val="center"/>
          </w:tcPr>
          <w:p w14:paraId="3867CBA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00FD33CB"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CB8AFF7"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443599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2024.11.25-2025.11.19</w:t>
            </w:r>
          </w:p>
        </w:tc>
        <w:tc>
          <w:tcPr>
            <w:tcW w:w="567" w:type="dxa"/>
            <w:tcBorders>
              <w:top w:val="single" w:sz="2" w:space="0" w:color="auto"/>
              <w:left w:val="single" w:sz="2" w:space="0" w:color="auto"/>
              <w:bottom w:val="single" w:sz="2" w:space="0" w:color="auto"/>
              <w:right w:val="single" w:sz="2" w:space="0" w:color="auto"/>
            </w:tcBorders>
            <w:vAlign w:val="center"/>
          </w:tcPr>
          <w:p w14:paraId="46CFF5EA"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3319F93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57AB3C6D"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304C54C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7B5E16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63822D1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1409E418"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A801A6C"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12.45</w:t>
            </w:r>
          </w:p>
        </w:tc>
        <w:tc>
          <w:tcPr>
            <w:tcW w:w="1134" w:type="dxa"/>
            <w:tcBorders>
              <w:top w:val="single" w:sz="2" w:space="0" w:color="auto"/>
              <w:left w:val="single" w:sz="2" w:space="0" w:color="auto"/>
              <w:bottom w:val="single" w:sz="2" w:space="0" w:color="auto"/>
              <w:right w:val="single" w:sz="2" w:space="0" w:color="auto"/>
            </w:tcBorders>
            <w:vAlign w:val="center"/>
          </w:tcPr>
          <w:p w14:paraId="7F8299C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5052E48D"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716CCF7"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0C1EE1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2024.11.28-2025.11.26</w:t>
            </w:r>
          </w:p>
        </w:tc>
        <w:tc>
          <w:tcPr>
            <w:tcW w:w="567" w:type="dxa"/>
            <w:tcBorders>
              <w:top w:val="single" w:sz="2" w:space="0" w:color="auto"/>
              <w:left w:val="single" w:sz="2" w:space="0" w:color="auto"/>
              <w:bottom w:val="single" w:sz="2" w:space="0" w:color="auto"/>
              <w:right w:val="single" w:sz="2" w:space="0" w:color="auto"/>
            </w:tcBorders>
            <w:vAlign w:val="center"/>
          </w:tcPr>
          <w:p w14:paraId="0AD85B80"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293B013D"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3B2BF3F1"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5F3A156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52553C7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2AFE2FE0"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747F5B25"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54D8922D"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17.98</w:t>
            </w:r>
          </w:p>
        </w:tc>
        <w:tc>
          <w:tcPr>
            <w:tcW w:w="1134" w:type="dxa"/>
            <w:tcBorders>
              <w:top w:val="single" w:sz="2" w:space="0" w:color="auto"/>
              <w:left w:val="single" w:sz="2" w:space="0" w:color="auto"/>
              <w:bottom w:val="single" w:sz="2" w:space="0" w:color="auto"/>
              <w:right w:val="single" w:sz="2" w:space="0" w:color="auto"/>
            </w:tcBorders>
            <w:vAlign w:val="center"/>
          </w:tcPr>
          <w:p w14:paraId="136CAC6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4B1DCB85"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11595B1"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441C821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2024.11.28-2025.11.26</w:t>
            </w:r>
          </w:p>
        </w:tc>
        <w:tc>
          <w:tcPr>
            <w:tcW w:w="567" w:type="dxa"/>
            <w:tcBorders>
              <w:top w:val="single" w:sz="2" w:space="0" w:color="auto"/>
              <w:left w:val="single" w:sz="2" w:space="0" w:color="auto"/>
              <w:bottom w:val="single" w:sz="2" w:space="0" w:color="auto"/>
              <w:right w:val="single" w:sz="2" w:space="0" w:color="auto"/>
            </w:tcBorders>
            <w:vAlign w:val="center"/>
          </w:tcPr>
          <w:p w14:paraId="14B87212"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02FCE6B9"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FB57C3" w:rsidRPr="005B5EC1" w14:paraId="1BF56B2C"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vAlign w:val="center"/>
          </w:tcPr>
          <w:p w14:paraId="203A28E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538" w:type="dxa"/>
            <w:tcBorders>
              <w:top w:val="single" w:sz="2" w:space="0" w:color="auto"/>
              <w:left w:val="single" w:sz="2" w:space="0" w:color="auto"/>
              <w:bottom w:val="single" w:sz="2" w:space="0" w:color="auto"/>
              <w:right w:val="single" w:sz="2" w:space="0" w:color="auto"/>
            </w:tcBorders>
            <w:vAlign w:val="center"/>
          </w:tcPr>
          <w:p w14:paraId="723F701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567" w:type="dxa"/>
            <w:tcBorders>
              <w:top w:val="single" w:sz="2" w:space="0" w:color="auto"/>
              <w:left w:val="single" w:sz="2" w:space="0" w:color="auto"/>
              <w:bottom w:val="single" w:sz="2" w:space="0" w:color="auto"/>
              <w:right w:val="single" w:sz="2" w:space="0" w:color="auto"/>
            </w:tcBorders>
            <w:vAlign w:val="center"/>
          </w:tcPr>
          <w:p w14:paraId="06BD1F12"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21,600</w:t>
            </w:r>
          </w:p>
        </w:tc>
        <w:tc>
          <w:tcPr>
            <w:tcW w:w="1559" w:type="dxa"/>
            <w:tcBorders>
              <w:top w:val="single" w:sz="2" w:space="0" w:color="auto"/>
              <w:left w:val="single" w:sz="2" w:space="0" w:color="auto"/>
              <w:bottom w:val="single" w:sz="2" w:space="0" w:color="auto"/>
              <w:right w:val="single" w:sz="2" w:space="0" w:color="auto"/>
            </w:tcBorders>
            <w:vAlign w:val="center"/>
          </w:tcPr>
          <w:p w14:paraId="205DA5D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709" w:type="dxa"/>
            <w:tcBorders>
              <w:top w:val="single" w:sz="2" w:space="0" w:color="auto"/>
              <w:left w:val="single" w:sz="2" w:space="0" w:color="auto"/>
              <w:bottom w:val="single" w:sz="2" w:space="0" w:color="auto"/>
              <w:right w:val="single" w:sz="2" w:space="0" w:color="auto"/>
            </w:tcBorders>
            <w:vAlign w:val="center"/>
          </w:tcPr>
          <w:p w14:paraId="43B1158F" w14:textId="77777777" w:rsidR="00E32FE0" w:rsidRPr="005B5EC1" w:rsidRDefault="00000000" w:rsidP="00FB57C3">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8.5</w:t>
            </w:r>
          </w:p>
        </w:tc>
        <w:tc>
          <w:tcPr>
            <w:tcW w:w="1134" w:type="dxa"/>
            <w:tcBorders>
              <w:top w:val="single" w:sz="2" w:space="0" w:color="auto"/>
              <w:left w:val="single" w:sz="2" w:space="0" w:color="auto"/>
              <w:bottom w:val="single" w:sz="2" w:space="0" w:color="auto"/>
              <w:right w:val="single" w:sz="2" w:space="0" w:color="auto"/>
            </w:tcBorders>
            <w:vAlign w:val="center"/>
          </w:tcPr>
          <w:p w14:paraId="7B94D59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连带责任保证</w:t>
            </w:r>
          </w:p>
        </w:tc>
        <w:tc>
          <w:tcPr>
            <w:tcW w:w="567" w:type="dxa"/>
            <w:tcBorders>
              <w:top w:val="single" w:sz="2" w:space="0" w:color="auto"/>
              <w:left w:val="single" w:sz="2" w:space="0" w:color="auto"/>
              <w:bottom w:val="single" w:sz="2" w:space="0" w:color="auto"/>
              <w:right w:val="single" w:sz="2" w:space="0" w:color="auto"/>
            </w:tcBorders>
            <w:vAlign w:val="center"/>
          </w:tcPr>
          <w:p w14:paraId="17D3802A" w14:textId="77777777" w:rsidR="00E32FE0" w:rsidRPr="005B5EC1" w:rsidRDefault="00E32FE0">
            <w:pPr>
              <w:spacing w:after="0" w:line="240" w:lineRule="exac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7E8919E" w14:textId="77777777" w:rsidR="00E32FE0" w:rsidRPr="005B5EC1" w:rsidRDefault="00E32FE0">
            <w:pPr>
              <w:spacing w:after="0" w:line="240" w:lineRule="exac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2027236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2024.12.05-2025.11.27</w:t>
            </w:r>
          </w:p>
        </w:tc>
        <w:tc>
          <w:tcPr>
            <w:tcW w:w="567" w:type="dxa"/>
            <w:tcBorders>
              <w:top w:val="single" w:sz="2" w:space="0" w:color="auto"/>
              <w:left w:val="single" w:sz="2" w:space="0" w:color="auto"/>
              <w:bottom w:val="single" w:sz="2" w:space="0" w:color="auto"/>
              <w:right w:val="single" w:sz="2" w:space="0" w:color="auto"/>
            </w:tcBorders>
            <w:vAlign w:val="center"/>
          </w:tcPr>
          <w:p w14:paraId="188516E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564" w:type="dxa"/>
            <w:tcBorders>
              <w:top w:val="single" w:sz="2" w:space="0" w:color="auto"/>
              <w:left w:val="single" w:sz="2" w:space="0" w:color="auto"/>
              <w:bottom w:val="single" w:sz="2" w:space="0" w:color="auto"/>
              <w:right w:val="single" w:sz="2" w:space="0" w:color="auto"/>
            </w:tcBorders>
            <w:vAlign w:val="center"/>
          </w:tcPr>
          <w:p w14:paraId="44CD885F" w14:textId="77777777" w:rsidR="00E32FE0" w:rsidRPr="005B5EC1" w:rsidRDefault="00000000" w:rsidP="00A749CF">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5D551E46" w14:textId="77777777" w:rsidTr="002A6312">
        <w:trPr>
          <w:trHeight w:val="240"/>
        </w:trPr>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11D357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报告期内审批对子公司担保额度合计（</w:t>
            </w:r>
            <w:r w:rsidRPr="005B5EC1">
              <w:rPr>
                <w:rFonts w:ascii="Times New Roman" w:eastAsia="宋体" w:hAnsi="Times New Roman" w:cs="Times New Roman"/>
                <w:sz w:val="18"/>
                <w:szCs w:val="18"/>
              </w:rPr>
              <w:t>B1</w:t>
            </w:r>
            <w:r w:rsidRPr="005B5EC1">
              <w:rPr>
                <w:rFonts w:ascii="Times New Roman" w:eastAsia="宋体" w:hAnsi="Times New Roman" w:cs="Times New Roman"/>
                <w:sz w:val="18"/>
                <w:szCs w:val="18"/>
              </w:rPr>
              <w:t>）</w:t>
            </w: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48994F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C8CCF7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报告期内对子公司担保实际发生额合计（</w:t>
            </w:r>
            <w:r w:rsidRPr="005B5EC1">
              <w:rPr>
                <w:rFonts w:ascii="Times New Roman" w:eastAsia="宋体" w:hAnsi="Times New Roman" w:cs="Times New Roman"/>
                <w:sz w:val="18"/>
                <w:szCs w:val="18"/>
              </w:rPr>
              <w:t>B2</w:t>
            </w:r>
            <w:r w:rsidRPr="005B5EC1">
              <w:rPr>
                <w:rFonts w:ascii="Times New Roman" w:eastAsia="宋体" w:hAnsi="Times New Roman" w:cs="Times New Roman"/>
                <w:sz w:val="18"/>
                <w:szCs w:val="18"/>
              </w:rPr>
              <w:t>）</w:t>
            </w:r>
          </w:p>
        </w:tc>
        <w:tc>
          <w:tcPr>
            <w:tcW w:w="3257" w:type="dxa"/>
            <w:gridSpan w:val="5"/>
            <w:tcBorders>
              <w:top w:val="single" w:sz="2" w:space="0" w:color="auto"/>
              <w:left w:val="single" w:sz="2" w:space="0" w:color="auto"/>
              <w:bottom w:val="single" w:sz="2" w:space="0" w:color="auto"/>
              <w:right w:val="single" w:sz="2" w:space="0" w:color="auto"/>
            </w:tcBorders>
            <w:vAlign w:val="center"/>
          </w:tcPr>
          <w:p w14:paraId="00FF4DB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207,854.7</w:t>
            </w:r>
          </w:p>
        </w:tc>
      </w:tr>
      <w:tr w:rsidR="00E32FE0" w:rsidRPr="005B5EC1" w14:paraId="7BF67933" w14:textId="77777777" w:rsidTr="002A6312">
        <w:trPr>
          <w:trHeight w:val="240"/>
        </w:trPr>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577577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报告期末已审批的对子公司担保额度合计（</w:t>
            </w:r>
            <w:r w:rsidRPr="005B5EC1">
              <w:rPr>
                <w:rFonts w:ascii="Times New Roman" w:eastAsia="宋体" w:hAnsi="Times New Roman" w:cs="Times New Roman"/>
                <w:sz w:val="18"/>
                <w:szCs w:val="18"/>
              </w:rPr>
              <w:t>B3</w:t>
            </w:r>
            <w:r w:rsidRPr="005B5EC1">
              <w:rPr>
                <w:rFonts w:ascii="Times New Roman" w:eastAsia="宋体" w:hAnsi="Times New Roman" w:cs="Times New Roman"/>
                <w:sz w:val="18"/>
                <w:szCs w:val="18"/>
              </w:rPr>
              <w:t>）</w:t>
            </w: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6E646F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E272AF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报告期末对子公司实际担保余额合计（</w:t>
            </w:r>
            <w:r w:rsidRPr="005B5EC1">
              <w:rPr>
                <w:rFonts w:ascii="Times New Roman" w:eastAsia="宋体" w:hAnsi="Times New Roman" w:cs="Times New Roman"/>
                <w:sz w:val="18"/>
                <w:szCs w:val="18"/>
              </w:rPr>
              <w:t>B4</w:t>
            </w:r>
            <w:r w:rsidRPr="005B5EC1">
              <w:rPr>
                <w:rFonts w:ascii="Times New Roman" w:eastAsia="宋体" w:hAnsi="Times New Roman" w:cs="Times New Roman"/>
                <w:sz w:val="18"/>
                <w:szCs w:val="18"/>
              </w:rPr>
              <w:t>）</w:t>
            </w:r>
          </w:p>
        </w:tc>
        <w:tc>
          <w:tcPr>
            <w:tcW w:w="3257" w:type="dxa"/>
            <w:gridSpan w:val="5"/>
            <w:tcBorders>
              <w:top w:val="single" w:sz="2" w:space="0" w:color="auto"/>
              <w:left w:val="single" w:sz="2" w:space="0" w:color="auto"/>
              <w:bottom w:val="single" w:sz="2" w:space="0" w:color="auto"/>
              <w:right w:val="single" w:sz="2" w:space="0" w:color="auto"/>
            </w:tcBorders>
            <w:vAlign w:val="center"/>
          </w:tcPr>
          <w:p w14:paraId="5FA946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105,822.05</w:t>
            </w:r>
          </w:p>
        </w:tc>
      </w:tr>
      <w:tr w:rsidR="00E32FE0" w:rsidRPr="005B5EC1" w14:paraId="1295C6CF" w14:textId="77777777" w:rsidTr="002A6312">
        <w:trPr>
          <w:trHeight w:val="240"/>
        </w:trPr>
        <w:tc>
          <w:tcPr>
            <w:tcW w:w="9778"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39948A9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子公司对子公司的担保情况</w:t>
            </w:r>
          </w:p>
        </w:tc>
      </w:tr>
      <w:tr w:rsidR="00FB57C3" w:rsidRPr="005B5EC1" w14:paraId="4CED97D6" w14:textId="77777777" w:rsidTr="002A6312">
        <w:trPr>
          <w:trHeight w:val="240"/>
        </w:trPr>
        <w:tc>
          <w:tcPr>
            <w:tcW w:w="1014" w:type="dxa"/>
            <w:tcBorders>
              <w:top w:val="single" w:sz="2" w:space="0" w:color="auto"/>
              <w:left w:val="single" w:sz="2" w:space="0" w:color="auto"/>
              <w:bottom w:val="single" w:sz="2" w:space="0" w:color="auto"/>
              <w:right w:val="single" w:sz="2" w:space="0" w:color="auto"/>
            </w:tcBorders>
            <w:shd w:val="clear" w:color="auto" w:fill="D3D3D3"/>
            <w:vAlign w:val="center"/>
          </w:tcPr>
          <w:p w14:paraId="16F8A1A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担保对象名称</w:t>
            </w:r>
          </w:p>
        </w:tc>
        <w:tc>
          <w:tcPr>
            <w:tcW w:w="1538" w:type="dxa"/>
            <w:tcBorders>
              <w:top w:val="single" w:sz="2" w:space="0" w:color="auto"/>
              <w:left w:val="single" w:sz="2" w:space="0" w:color="auto"/>
              <w:bottom w:val="single" w:sz="2" w:space="0" w:color="auto"/>
              <w:right w:val="single" w:sz="2" w:space="0" w:color="auto"/>
            </w:tcBorders>
            <w:shd w:val="clear" w:color="auto" w:fill="D3D3D3"/>
            <w:vAlign w:val="center"/>
          </w:tcPr>
          <w:p w14:paraId="5B5E752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担保额度相关公告披露日期</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51C26D0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担保额度</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2ADDA76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实际发生日期</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146B9F3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实际担保金额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FC7CC6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担保类型</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2EFA94C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担保物（如有）</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5E2AFAE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反担保情况（如有）</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1E82A8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担保期</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14:paraId="32B3BF1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是否履行完毕</w:t>
            </w:r>
          </w:p>
        </w:tc>
        <w:tc>
          <w:tcPr>
            <w:tcW w:w="564" w:type="dxa"/>
            <w:tcBorders>
              <w:top w:val="single" w:sz="2" w:space="0" w:color="auto"/>
              <w:left w:val="single" w:sz="2" w:space="0" w:color="auto"/>
              <w:bottom w:val="single" w:sz="2" w:space="0" w:color="auto"/>
              <w:right w:val="single" w:sz="2" w:space="0" w:color="auto"/>
            </w:tcBorders>
            <w:shd w:val="clear" w:color="auto" w:fill="D3D3D3"/>
            <w:vAlign w:val="center"/>
          </w:tcPr>
          <w:p w14:paraId="34B633C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是否为关联方担保</w:t>
            </w:r>
          </w:p>
        </w:tc>
      </w:tr>
      <w:tr w:rsidR="00E32FE0" w:rsidRPr="005B5EC1" w14:paraId="1CDBB99F" w14:textId="77777777" w:rsidTr="002A6312">
        <w:trPr>
          <w:trHeight w:val="240"/>
        </w:trPr>
        <w:tc>
          <w:tcPr>
            <w:tcW w:w="9778"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51E6C3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公司担保总额（即前三大项的合计）</w:t>
            </w:r>
          </w:p>
        </w:tc>
      </w:tr>
      <w:tr w:rsidR="00E32FE0" w:rsidRPr="005B5EC1" w14:paraId="7178B5D8" w14:textId="77777777" w:rsidTr="002A6312">
        <w:trPr>
          <w:trHeight w:val="240"/>
        </w:trPr>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46CDBC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报告期内审批担保额度合计（</w:t>
            </w:r>
            <w:r w:rsidRPr="005B5EC1">
              <w:rPr>
                <w:rFonts w:ascii="Times New Roman" w:eastAsia="宋体" w:hAnsi="Times New Roman" w:cs="Times New Roman"/>
                <w:sz w:val="18"/>
                <w:szCs w:val="18"/>
              </w:rPr>
              <w:t>A1+B1+C1</w:t>
            </w:r>
            <w:r w:rsidRPr="005B5EC1">
              <w:rPr>
                <w:rFonts w:ascii="Times New Roman" w:eastAsia="宋体" w:hAnsi="Times New Roman" w:cs="Times New Roman"/>
                <w:sz w:val="18"/>
                <w:szCs w:val="18"/>
              </w:rPr>
              <w:t>）</w:t>
            </w: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4F386B6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27C85B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报告期内担保实际发生额合计（</w:t>
            </w:r>
            <w:r w:rsidRPr="005B5EC1">
              <w:rPr>
                <w:rFonts w:ascii="Times New Roman" w:eastAsia="宋体" w:hAnsi="Times New Roman" w:cs="Times New Roman"/>
                <w:sz w:val="18"/>
                <w:szCs w:val="18"/>
              </w:rPr>
              <w:t>A2+B2+C2</w:t>
            </w:r>
            <w:r w:rsidRPr="005B5EC1">
              <w:rPr>
                <w:rFonts w:ascii="Times New Roman" w:eastAsia="宋体" w:hAnsi="Times New Roman" w:cs="Times New Roman"/>
                <w:sz w:val="18"/>
                <w:szCs w:val="18"/>
              </w:rPr>
              <w:t>）</w:t>
            </w:r>
          </w:p>
        </w:tc>
        <w:tc>
          <w:tcPr>
            <w:tcW w:w="3257" w:type="dxa"/>
            <w:gridSpan w:val="5"/>
            <w:tcBorders>
              <w:top w:val="single" w:sz="2" w:space="0" w:color="auto"/>
              <w:left w:val="single" w:sz="2" w:space="0" w:color="auto"/>
              <w:bottom w:val="single" w:sz="2" w:space="0" w:color="auto"/>
              <w:right w:val="single" w:sz="2" w:space="0" w:color="auto"/>
            </w:tcBorders>
            <w:vAlign w:val="center"/>
          </w:tcPr>
          <w:p w14:paraId="3E2376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207,854.7</w:t>
            </w:r>
          </w:p>
        </w:tc>
      </w:tr>
      <w:tr w:rsidR="00E32FE0" w:rsidRPr="005B5EC1" w14:paraId="2C22CA8E" w14:textId="77777777" w:rsidTr="002A6312">
        <w:trPr>
          <w:trHeight w:val="240"/>
        </w:trPr>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EE50D1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报告期末已审批的担保额度合计（</w:t>
            </w:r>
            <w:r w:rsidRPr="005B5EC1">
              <w:rPr>
                <w:rFonts w:ascii="Times New Roman" w:eastAsia="宋体" w:hAnsi="Times New Roman" w:cs="Times New Roman"/>
                <w:sz w:val="18"/>
                <w:szCs w:val="18"/>
              </w:rPr>
              <w:t>A3+B3+C3</w:t>
            </w:r>
            <w:r w:rsidRPr="005B5EC1">
              <w:rPr>
                <w:rFonts w:ascii="Times New Roman" w:eastAsia="宋体" w:hAnsi="Times New Roman" w:cs="Times New Roman"/>
                <w:sz w:val="18"/>
                <w:szCs w:val="18"/>
              </w:rPr>
              <w:t>）</w:t>
            </w:r>
          </w:p>
        </w:tc>
        <w:tc>
          <w:tcPr>
            <w:tcW w:w="2126" w:type="dxa"/>
            <w:gridSpan w:val="2"/>
            <w:tcBorders>
              <w:top w:val="single" w:sz="2" w:space="0" w:color="auto"/>
              <w:left w:val="single" w:sz="2" w:space="0" w:color="auto"/>
              <w:bottom w:val="single" w:sz="2" w:space="0" w:color="auto"/>
              <w:right w:val="single" w:sz="2" w:space="0" w:color="auto"/>
            </w:tcBorders>
            <w:vAlign w:val="center"/>
          </w:tcPr>
          <w:p w14:paraId="7433FB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w:t>
            </w:r>
          </w:p>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93CB1E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报告期末实际担保余额合计（</w:t>
            </w:r>
            <w:r w:rsidRPr="005B5EC1">
              <w:rPr>
                <w:rFonts w:ascii="Times New Roman" w:eastAsia="宋体" w:hAnsi="Times New Roman" w:cs="Times New Roman"/>
                <w:sz w:val="18"/>
                <w:szCs w:val="18"/>
              </w:rPr>
              <w:t>A4+B4+C4</w:t>
            </w:r>
            <w:r w:rsidRPr="005B5EC1">
              <w:rPr>
                <w:rFonts w:ascii="Times New Roman" w:eastAsia="宋体" w:hAnsi="Times New Roman" w:cs="Times New Roman"/>
                <w:sz w:val="18"/>
                <w:szCs w:val="18"/>
              </w:rPr>
              <w:t>）</w:t>
            </w:r>
          </w:p>
        </w:tc>
        <w:tc>
          <w:tcPr>
            <w:tcW w:w="3257" w:type="dxa"/>
            <w:gridSpan w:val="5"/>
            <w:tcBorders>
              <w:top w:val="single" w:sz="2" w:space="0" w:color="auto"/>
              <w:left w:val="single" w:sz="2" w:space="0" w:color="auto"/>
              <w:bottom w:val="single" w:sz="2" w:space="0" w:color="auto"/>
              <w:right w:val="single" w:sz="2" w:space="0" w:color="auto"/>
            </w:tcBorders>
            <w:vAlign w:val="center"/>
          </w:tcPr>
          <w:p w14:paraId="7881F1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105,822.05</w:t>
            </w:r>
          </w:p>
        </w:tc>
      </w:tr>
      <w:tr w:rsidR="00E32FE0" w:rsidRPr="005B5EC1" w14:paraId="47359842" w14:textId="77777777" w:rsidTr="002A6312">
        <w:trPr>
          <w:trHeight w:val="240"/>
        </w:trPr>
        <w:tc>
          <w:tcPr>
            <w:tcW w:w="467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DC171B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实际担保总额（即</w:t>
            </w:r>
            <w:r w:rsidRPr="005B5EC1">
              <w:rPr>
                <w:rFonts w:ascii="Times New Roman" w:eastAsia="宋体" w:hAnsi="Times New Roman" w:cs="Times New Roman"/>
                <w:sz w:val="18"/>
                <w:szCs w:val="18"/>
              </w:rPr>
              <w:t>A4+B4+C4</w:t>
            </w:r>
            <w:r w:rsidRPr="005B5EC1">
              <w:rPr>
                <w:rFonts w:ascii="Times New Roman" w:eastAsia="宋体" w:hAnsi="Times New Roman" w:cs="Times New Roman"/>
                <w:sz w:val="18"/>
                <w:szCs w:val="18"/>
              </w:rPr>
              <w:t>）占公司净资产的比例</w:t>
            </w:r>
          </w:p>
        </w:tc>
        <w:tc>
          <w:tcPr>
            <w:tcW w:w="5100" w:type="dxa"/>
            <w:gridSpan w:val="7"/>
            <w:tcBorders>
              <w:top w:val="single" w:sz="2" w:space="0" w:color="auto"/>
              <w:left w:val="single" w:sz="2" w:space="0" w:color="auto"/>
              <w:bottom w:val="single" w:sz="2" w:space="0" w:color="auto"/>
              <w:right w:val="single" w:sz="2" w:space="0" w:color="auto"/>
            </w:tcBorders>
            <w:vAlign w:val="center"/>
          </w:tcPr>
          <w:p w14:paraId="11355C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70.39%</w:t>
            </w:r>
          </w:p>
        </w:tc>
      </w:tr>
      <w:tr w:rsidR="00E32FE0" w:rsidRPr="005B5EC1" w14:paraId="370AEA9B" w14:textId="77777777" w:rsidTr="002A6312">
        <w:trPr>
          <w:trHeight w:val="240"/>
        </w:trPr>
        <w:tc>
          <w:tcPr>
            <w:tcW w:w="9778"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6E1F04E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r>
      <w:tr w:rsidR="00E32FE0" w:rsidRPr="005B5EC1" w14:paraId="59B19862" w14:textId="77777777" w:rsidTr="002A6312">
        <w:trPr>
          <w:trHeight w:val="240"/>
        </w:trPr>
        <w:tc>
          <w:tcPr>
            <w:tcW w:w="467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8D6FF1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直接或间接为资产负债率超过</w:t>
            </w:r>
            <w:r w:rsidRPr="005B5EC1">
              <w:rPr>
                <w:rFonts w:ascii="Times New Roman" w:eastAsia="宋体" w:hAnsi="Times New Roman" w:cs="Times New Roman"/>
                <w:sz w:val="18"/>
                <w:szCs w:val="18"/>
              </w:rPr>
              <w:t>70%</w:t>
            </w:r>
            <w:r w:rsidRPr="005B5EC1">
              <w:rPr>
                <w:rFonts w:ascii="Times New Roman" w:eastAsia="宋体" w:hAnsi="Times New Roman" w:cs="Times New Roman"/>
                <w:sz w:val="18"/>
                <w:szCs w:val="18"/>
              </w:rPr>
              <w:t>的被担保对象提供的债务担保余额（</w:t>
            </w:r>
            <w:r w:rsidRPr="005B5EC1">
              <w:rPr>
                <w:rFonts w:ascii="Times New Roman" w:eastAsia="宋体" w:hAnsi="Times New Roman" w:cs="Times New Roman"/>
                <w:sz w:val="18"/>
                <w:szCs w:val="18"/>
              </w:rPr>
              <w:t>E</w:t>
            </w:r>
            <w:r w:rsidRPr="005B5EC1">
              <w:rPr>
                <w:rFonts w:ascii="Times New Roman" w:eastAsia="宋体" w:hAnsi="Times New Roman" w:cs="Times New Roman"/>
                <w:sz w:val="18"/>
                <w:szCs w:val="18"/>
              </w:rPr>
              <w:t>）</w:t>
            </w:r>
          </w:p>
        </w:tc>
        <w:tc>
          <w:tcPr>
            <w:tcW w:w="5100" w:type="dxa"/>
            <w:gridSpan w:val="7"/>
            <w:tcBorders>
              <w:top w:val="single" w:sz="2" w:space="0" w:color="auto"/>
              <w:left w:val="single" w:sz="2" w:space="0" w:color="auto"/>
              <w:bottom w:val="single" w:sz="2" w:space="0" w:color="auto"/>
              <w:right w:val="single" w:sz="2" w:space="0" w:color="auto"/>
            </w:tcBorders>
            <w:vAlign w:val="center"/>
          </w:tcPr>
          <w:p w14:paraId="2B0429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62,900</w:t>
            </w:r>
          </w:p>
        </w:tc>
      </w:tr>
      <w:tr w:rsidR="00E32FE0" w:rsidRPr="005B5EC1" w14:paraId="098ADF01" w14:textId="77777777" w:rsidTr="002A6312">
        <w:trPr>
          <w:trHeight w:val="240"/>
        </w:trPr>
        <w:tc>
          <w:tcPr>
            <w:tcW w:w="467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D2FDBE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担保总额超过净资产</w:t>
            </w:r>
            <w:r w:rsidRPr="005B5EC1">
              <w:rPr>
                <w:rFonts w:ascii="Times New Roman" w:eastAsia="宋体" w:hAnsi="Times New Roman" w:cs="Times New Roman"/>
                <w:sz w:val="18"/>
                <w:szCs w:val="18"/>
              </w:rPr>
              <w:t>50%</w:t>
            </w:r>
            <w:r w:rsidRPr="005B5EC1">
              <w:rPr>
                <w:rFonts w:ascii="Times New Roman" w:eastAsia="宋体" w:hAnsi="Times New Roman" w:cs="Times New Roman"/>
                <w:sz w:val="18"/>
                <w:szCs w:val="18"/>
              </w:rPr>
              <w:t>部分的金额（</w:t>
            </w:r>
            <w:r w:rsidRPr="005B5EC1">
              <w:rPr>
                <w:rFonts w:ascii="Times New Roman" w:eastAsia="宋体" w:hAnsi="Times New Roman" w:cs="Times New Roman"/>
                <w:sz w:val="18"/>
                <w:szCs w:val="18"/>
              </w:rPr>
              <w:t>F</w:t>
            </w:r>
            <w:r w:rsidRPr="005B5EC1">
              <w:rPr>
                <w:rFonts w:ascii="Times New Roman" w:eastAsia="宋体" w:hAnsi="Times New Roman" w:cs="Times New Roman"/>
                <w:sz w:val="18"/>
                <w:szCs w:val="18"/>
              </w:rPr>
              <w:t>）</w:t>
            </w:r>
          </w:p>
        </w:tc>
        <w:tc>
          <w:tcPr>
            <w:tcW w:w="5100" w:type="dxa"/>
            <w:gridSpan w:val="7"/>
            <w:tcBorders>
              <w:top w:val="single" w:sz="2" w:space="0" w:color="auto"/>
              <w:left w:val="single" w:sz="2" w:space="0" w:color="auto"/>
              <w:bottom w:val="single" w:sz="2" w:space="0" w:color="auto"/>
              <w:right w:val="single" w:sz="2" w:space="0" w:color="auto"/>
            </w:tcBorders>
            <w:vAlign w:val="center"/>
          </w:tcPr>
          <w:p w14:paraId="001390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30,657.84</w:t>
            </w:r>
          </w:p>
        </w:tc>
      </w:tr>
      <w:tr w:rsidR="00E32FE0" w:rsidRPr="005B5EC1" w14:paraId="277D2901" w14:textId="77777777" w:rsidTr="002A6312">
        <w:trPr>
          <w:trHeight w:val="240"/>
        </w:trPr>
        <w:tc>
          <w:tcPr>
            <w:tcW w:w="467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2F99E26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上述三项担保金额合计（</w:t>
            </w:r>
            <w:r w:rsidRPr="005B5EC1">
              <w:rPr>
                <w:rFonts w:ascii="Times New Roman" w:eastAsia="宋体" w:hAnsi="Times New Roman" w:cs="Times New Roman"/>
                <w:sz w:val="18"/>
                <w:szCs w:val="18"/>
              </w:rPr>
              <w:t>D+E+F</w:t>
            </w:r>
            <w:r w:rsidRPr="005B5EC1">
              <w:rPr>
                <w:rFonts w:ascii="Times New Roman" w:eastAsia="宋体" w:hAnsi="Times New Roman" w:cs="Times New Roman"/>
                <w:sz w:val="18"/>
                <w:szCs w:val="18"/>
              </w:rPr>
              <w:t>）</w:t>
            </w:r>
          </w:p>
        </w:tc>
        <w:tc>
          <w:tcPr>
            <w:tcW w:w="5100" w:type="dxa"/>
            <w:gridSpan w:val="7"/>
            <w:tcBorders>
              <w:top w:val="single" w:sz="2" w:space="0" w:color="auto"/>
              <w:left w:val="single" w:sz="2" w:space="0" w:color="auto"/>
              <w:bottom w:val="single" w:sz="2" w:space="0" w:color="auto"/>
              <w:right w:val="single" w:sz="2" w:space="0" w:color="auto"/>
            </w:tcBorders>
            <w:vAlign w:val="center"/>
          </w:tcPr>
          <w:p w14:paraId="3D8EB9D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93,557.84</w:t>
            </w:r>
          </w:p>
        </w:tc>
      </w:tr>
    </w:tbl>
    <w:p w14:paraId="079ADD6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采用复合方式担保的具体情况说明</w:t>
      </w:r>
    </w:p>
    <w:p w14:paraId="44222E06" w14:textId="14F9566F" w:rsidR="000710F2" w:rsidRPr="005B5EC1" w:rsidRDefault="000710F2">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hint="eastAsia"/>
          <w:sz w:val="18"/>
          <w:szCs w:val="18"/>
        </w:rPr>
        <w:t>无</w:t>
      </w:r>
    </w:p>
    <w:p w14:paraId="62DAE212" w14:textId="77777777" w:rsidR="00E32FE0" w:rsidRPr="005B5EC1" w:rsidRDefault="00000000">
      <w:pPr>
        <w:pStyle w:val="3"/>
        <w:spacing w:line="280" w:lineRule="exact"/>
        <w:jc w:val="left"/>
        <w:rPr>
          <w:rFonts w:ascii="Times New Roman" w:hAnsi="Times New Roman" w:cs="Times New Roman"/>
          <w:b/>
          <w:bCs/>
        </w:rPr>
      </w:pPr>
      <w:bookmarkStart w:id="123" w:name="_Toc989012"/>
      <w:r w:rsidRPr="005B5EC1">
        <w:rPr>
          <w:rFonts w:ascii="Times New Roman" w:hAnsi="Times New Roman" w:cs="Times New Roman"/>
          <w:b/>
          <w:bCs/>
        </w:rPr>
        <w:t>3</w:t>
      </w:r>
      <w:r w:rsidRPr="005B5EC1">
        <w:rPr>
          <w:rFonts w:ascii="Times New Roman" w:hAnsi="Times New Roman" w:cs="Times New Roman"/>
          <w:b/>
          <w:bCs/>
        </w:rPr>
        <w:t>、委托他人进行现金资产管理情况</w:t>
      </w:r>
      <w:bookmarkEnd w:id="123"/>
    </w:p>
    <w:p w14:paraId="021FC088"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124" w:name="_Toc989013"/>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委托理财情况</w:t>
      </w:r>
      <w:bookmarkEnd w:id="124"/>
    </w:p>
    <w:p w14:paraId="1729DBC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BE127E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公司报告期不存在委托理财。</w:t>
      </w:r>
    </w:p>
    <w:p w14:paraId="47C3B143"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125" w:name="_Toc989014"/>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委托贷款情况</w:t>
      </w:r>
      <w:bookmarkEnd w:id="125"/>
    </w:p>
    <w:p w14:paraId="39743EF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BA06B9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公司报告期不存在委托贷款。</w:t>
      </w:r>
    </w:p>
    <w:p w14:paraId="144C3BE0" w14:textId="77777777" w:rsidR="00E32FE0" w:rsidRPr="005B5EC1" w:rsidRDefault="00000000">
      <w:pPr>
        <w:pStyle w:val="3"/>
        <w:spacing w:line="280" w:lineRule="exact"/>
        <w:jc w:val="left"/>
        <w:rPr>
          <w:rFonts w:ascii="Times New Roman" w:hAnsi="Times New Roman" w:cs="Times New Roman"/>
          <w:b/>
          <w:bCs/>
        </w:rPr>
      </w:pPr>
      <w:bookmarkStart w:id="126" w:name="_Toc989015"/>
      <w:r w:rsidRPr="005B5EC1">
        <w:rPr>
          <w:rFonts w:ascii="Times New Roman" w:hAnsi="Times New Roman" w:cs="Times New Roman"/>
          <w:b/>
          <w:bCs/>
        </w:rPr>
        <w:t>4</w:t>
      </w:r>
      <w:r w:rsidRPr="005B5EC1">
        <w:rPr>
          <w:rFonts w:ascii="Times New Roman" w:hAnsi="Times New Roman" w:cs="Times New Roman"/>
          <w:b/>
          <w:bCs/>
        </w:rPr>
        <w:t>、其他重大合同</w:t>
      </w:r>
      <w:bookmarkEnd w:id="126"/>
    </w:p>
    <w:p w14:paraId="4BA1C6C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854C32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公司报告期不存在其他重大合同。</w:t>
      </w:r>
    </w:p>
    <w:p w14:paraId="06CF5B6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27" w:name="_Toc989016"/>
      <w:r w:rsidRPr="005B5EC1">
        <w:rPr>
          <w:rFonts w:ascii="Times New Roman" w:eastAsia="宋体" w:hAnsi="Times New Roman" w:cs="Times New Roman"/>
          <w:b/>
          <w:bCs/>
          <w:sz w:val="24"/>
          <w:szCs w:val="24"/>
        </w:rPr>
        <w:t>十六、其他重大事项的说明</w:t>
      </w:r>
      <w:bookmarkEnd w:id="127"/>
    </w:p>
    <w:p w14:paraId="5BF1522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3E9B20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公司报告期不存在需要说明的其他重大事项。</w:t>
      </w:r>
    </w:p>
    <w:p w14:paraId="475FAD28"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28" w:name="_Toc989017"/>
      <w:r w:rsidRPr="005B5EC1">
        <w:rPr>
          <w:rFonts w:ascii="Times New Roman" w:eastAsia="宋体" w:hAnsi="Times New Roman" w:cs="Times New Roman"/>
          <w:b/>
          <w:bCs/>
          <w:sz w:val="24"/>
          <w:szCs w:val="24"/>
        </w:rPr>
        <w:t>十七、公司子公司重大事项</w:t>
      </w:r>
      <w:bookmarkEnd w:id="128"/>
    </w:p>
    <w:p w14:paraId="3C829F9D" w14:textId="33176663" w:rsidR="00E32FE0" w:rsidRDefault="0031386A">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不适用</w:t>
      </w:r>
    </w:p>
    <w:p w14:paraId="0A3843AC" w14:textId="4B11AA54" w:rsidR="0031386A" w:rsidRPr="005B5EC1" w:rsidRDefault="0031386A" w:rsidP="0031386A">
      <w:pPr>
        <w:spacing w:before="100" w:after="100" w:line="276" w:lineRule="auto"/>
        <w:ind w:firstLineChars="200" w:firstLine="360"/>
        <w:rPr>
          <w:rFonts w:ascii="Times New Roman" w:eastAsia="宋体" w:hAnsi="Times New Roman" w:cs="Times New Roman"/>
          <w:sz w:val="18"/>
          <w:szCs w:val="18"/>
        </w:rPr>
      </w:pPr>
      <w:r>
        <w:rPr>
          <w:rFonts w:ascii="Times New Roman" w:eastAsia="宋体" w:hAnsi="Times New Roman" w:cs="Times New Roman" w:hint="eastAsia"/>
          <w:sz w:val="18"/>
          <w:szCs w:val="18"/>
        </w:rPr>
        <w:t>2024</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12</w:t>
      </w:r>
      <w:r>
        <w:rPr>
          <w:rFonts w:ascii="Times New Roman" w:eastAsia="宋体" w:hAnsi="Times New Roman" w:cs="Times New Roman" w:hint="eastAsia"/>
          <w:sz w:val="18"/>
          <w:szCs w:val="18"/>
        </w:rPr>
        <w:t>月</w:t>
      </w:r>
      <w:r>
        <w:rPr>
          <w:rFonts w:ascii="Times New Roman" w:eastAsia="宋体" w:hAnsi="Times New Roman" w:cs="Times New Roman" w:hint="eastAsia"/>
          <w:sz w:val="18"/>
          <w:szCs w:val="18"/>
        </w:rPr>
        <w:t>10</w:t>
      </w:r>
      <w:r>
        <w:rPr>
          <w:rFonts w:ascii="Times New Roman" w:eastAsia="宋体" w:hAnsi="Times New Roman" w:cs="Times New Roman" w:hint="eastAsia"/>
          <w:sz w:val="18"/>
          <w:szCs w:val="18"/>
        </w:rPr>
        <w:t>日，根据战略调整，</w:t>
      </w:r>
      <w:r w:rsidRPr="0031386A">
        <w:rPr>
          <w:rFonts w:ascii="Times New Roman" w:eastAsia="宋体" w:hAnsi="Times New Roman" w:cs="Times New Roman" w:hint="eastAsia"/>
          <w:sz w:val="18"/>
          <w:szCs w:val="18"/>
        </w:rPr>
        <w:t>公司与四川圣翔农业发展集团有限公司签订《关于通辽金泉食品有限责任公司之股权转让协议》</w:t>
      </w:r>
      <w:r>
        <w:rPr>
          <w:rFonts w:ascii="Times New Roman" w:eastAsia="宋体" w:hAnsi="Times New Roman" w:cs="Times New Roman" w:hint="eastAsia"/>
          <w:sz w:val="18"/>
          <w:szCs w:val="18"/>
        </w:rPr>
        <w:t>，</w:t>
      </w:r>
      <w:r w:rsidRPr="0031386A">
        <w:rPr>
          <w:rFonts w:ascii="Times New Roman" w:eastAsia="宋体" w:hAnsi="Times New Roman" w:cs="Times New Roman" w:hint="eastAsia"/>
          <w:sz w:val="18"/>
          <w:szCs w:val="18"/>
        </w:rPr>
        <w:t>将子公司通辽金泉食品有限责任公司</w:t>
      </w:r>
      <w:r w:rsidRPr="0031386A">
        <w:rPr>
          <w:rFonts w:ascii="Times New Roman" w:eastAsia="宋体" w:hAnsi="Times New Roman" w:cs="Times New Roman" w:hint="eastAsia"/>
          <w:sz w:val="18"/>
          <w:szCs w:val="18"/>
        </w:rPr>
        <w:t>100%</w:t>
      </w:r>
      <w:r w:rsidRPr="0031386A">
        <w:rPr>
          <w:rFonts w:ascii="Times New Roman" w:eastAsia="宋体" w:hAnsi="Times New Roman" w:cs="Times New Roman" w:hint="eastAsia"/>
          <w:sz w:val="18"/>
          <w:szCs w:val="18"/>
        </w:rPr>
        <w:t>股权以人民币</w:t>
      </w:r>
      <w:r>
        <w:rPr>
          <w:rFonts w:ascii="Times New Roman" w:eastAsia="宋体" w:hAnsi="Times New Roman" w:cs="Times New Roman" w:hint="eastAsia"/>
          <w:sz w:val="18"/>
          <w:szCs w:val="18"/>
        </w:rPr>
        <w:t>8</w:t>
      </w:r>
      <w:r w:rsidRPr="0031386A">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000</w:t>
      </w:r>
      <w:r w:rsidRPr="0031386A">
        <w:rPr>
          <w:rFonts w:ascii="Times New Roman" w:eastAsia="宋体" w:hAnsi="Times New Roman" w:cs="Times New Roman" w:hint="eastAsia"/>
          <w:sz w:val="18"/>
          <w:szCs w:val="18"/>
        </w:rPr>
        <w:t>万元的价格转让给四川圣翔农业发展集团有限公司。本次股权转让在公司</w:t>
      </w:r>
      <w:r w:rsidR="00E60943">
        <w:rPr>
          <w:rFonts w:ascii="Times New Roman" w:eastAsia="宋体" w:hAnsi="Times New Roman" w:cs="Times New Roman" w:hint="eastAsia"/>
          <w:sz w:val="18"/>
          <w:szCs w:val="18"/>
        </w:rPr>
        <w:t>获得</w:t>
      </w:r>
      <w:r w:rsidRPr="0031386A">
        <w:rPr>
          <w:rFonts w:ascii="Times New Roman" w:eastAsia="宋体" w:hAnsi="Times New Roman" w:cs="Times New Roman" w:hint="eastAsia"/>
          <w:sz w:val="18"/>
          <w:szCs w:val="18"/>
        </w:rPr>
        <w:t>投资收益约</w:t>
      </w:r>
      <w:r w:rsidRPr="0031386A">
        <w:rPr>
          <w:rFonts w:ascii="Times New Roman" w:eastAsia="宋体" w:hAnsi="Times New Roman" w:cs="Times New Roman" w:hint="eastAsia"/>
          <w:sz w:val="18"/>
          <w:szCs w:val="18"/>
        </w:rPr>
        <w:t>6,298</w:t>
      </w:r>
      <w:r w:rsidRPr="0031386A">
        <w:rPr>
          <w:rFonts w:ascii="Times New Roman" w:eastAsia="宋体" w:hAnsi="Times New Roman" w:cs="Times New Roman" w:hint="eastAsia"/>
          <w:sz w:val="18"/>
          <w:szCs w:val="18"/>
        </w:rPr>
        <w:t>万元。</w:t>
      </w:r>
    </w:p>
    <w:p w14:paraId="7A3219D5"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6F15EB60"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129" w:name="_Toc989018"/>
      <w:r w:rsidRPr="005B5EC1">
        <w:rPr>
          <w:rFonts w:ascii="Times New Roman" w:eastAsia="宋体" w:hAnsi="Times New Roman" w:cs="Times New Roman"/>
          <w:b/>
          <w:bCs/>
          <w:sz w:val="32"/>
          <w:szCs w:val="32"/>
        </w:rPr>
        <w:lastRenderedPageBreak/>
        <w:t>第七节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股份变动及股东情况</w:t>
      </w:r>
      <w:bookmarkEnd w:id="129"/>
    </w:p>
    <w:p w14:paraId="36F3AA67"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30" w:name="_Toc989019"/>
      <w:r w:rsidRPr="005B5EC1">
        <w:rPr>
          <w:rFonts w:ascii="Times New Roman" w:eastAsia="宋体" w:hAnsi="Times New Roman" w:cs="Times New Roman"/>
          <w:b/>
          <w:bCs/>
          <w:sz w:val="24"/>
          <w:szCs w:val="24"/>
        </w:rPr>
        <w:t>一、股份变动情况</w:t>
      </w:r>
      <w:bookmarkEnd w:id="130"/>
    </w:p>
    <w:p w14:paraId="3CDCF3E1" w14:textId="77777777" w:rsidR="00E32FE0" w:rsidRPr="005B5EC1" w:rsidRDefault="00000000">
      <w:pPr>
        <w:pStyle w:val="3"/>
        <w:spacing w:line="280" w:lineRule="exact"/>
        <w:jc w:val="left"/>
        <w:rPr>
          <w:rFonts w:ascii="Times New Roman" w:hAnsi="Times New Roman" w:cs="Times New Roman"/>
          <w:b/>
          <w:bCs/>
        </w:rPr>
      </w:pPr>
      <w:bookmarkStart w:id="131" w:name="_Toc989020"/>
      <w:r w:rsidRPr="005B5EC1">
        <w:rPr>
          <w:rFonts w:ascii="Times New Roman" w:hAnsi="Times New Roman" w:cs="Times New Roman"/>
          <w:b/>
          <w:bCs/>
        </w:rPr>
        <w:t>1</w:t>
      </w:r>
      <w:r w:rsidRPr="005B5EC1">
        <w:rPr>
          <w:rFonts w:ascii="Times New Roman" w:hAnsi="Times New Roman" w:cs="Times New Roman"/>
          <w:b/>
          <w:bCs/>
        </w:rPr>
        <w:t>、股份变动情况</w:t>
      </w:r>
      <w:bookmarkEnd w:id="131"/>
    </w:p>
    <w:p w14:paraId="0384DD0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134"/>
        <w:gridCol w:w="1367"/>
        <w:gridCol w:w="1134"/>
        <w:gridCol w:w="992"/>
        <w:gridCol w:w="851"/>
        <w:gridCol w:w="850"/>
        <w:gridCol w:w="709"/>
        <w:gridCol w:w="674"/>
        <w:gridCol w:w="1169"/>
        <w:gridCol w:w="759"/>
      </w:tblGrid>
      <w:tr w:rsidR="00E32FE0" w:rsidRPr="005B5EC1" w14:paraId="268E9181" w14:textId="77777777" w:rsidTr="009F44CD">
        <w:trPr>
          <w:trHeight w:val="113"/>
        </w:trPr>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B1F0FCF" w14:textId="77777777" w:rsidR="00E32FE0" w:rsidRPr="005B5EC1" w:rsidRDefault="00E32FE0">
            <w:pPr>
              <w:rPr>
                <w:rFonts w:ascii="Times New Roman" w:hAnsi="Times New Roman" w:cs="Times New Roman"/>
              </w:rPr>
            </w:pPr>
          </w:p>
        </w:tc>
        <w:tc>
          <w:tcPr>
            <w:tcW w:w="25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1AE44A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本次变动前</w:t>
            </w:r>
          </w:p>
        </w:tc>
        <w:tc>
          <w:tcPr>
            <w:tcW w:w="4076"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58B927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67E4E4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本次变动后</w:t>
            </w:r>
          </w:p>
        </w:tc>
      </w:tr>
      <w:tr w:rsidR="00E32FE0" w:rsidRPr="005B5EC1" w14:paraId="3D651392" w14:textId="77777777" w:rsidTr="009F44CD">
        <w:trPr>
          <w:trHeight w:val="113"/>
        </w:trPr>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70B7D0" w14:textId="77777777" w:rsidR="00E32FE0" w:rsidRPr="005B5EC1" w:rsidRDefault="00E32FE0">
            <w:pPr>
              <w:rPr>
                <w:rFonts w:ascii="Times New Roman" w:hAnsi="Times New Roman" w:cs="Times New Roman"/>
              </w:rPr>
            </w:pPr>
          </w:p>
        </w:tc>
        <w:tc>
          <w:tcPr>
            <w:tcW w:w="1367" w:type="dxa"/>
            <w:tcBorders>
              <w:top w:val="single" w:sz="2" w:space="0" w:color="auto"/>
              <w:left w:val="single" w:sz="2" w:space="0" w:color="auto"/>
              <w:bottom w:val="single" w:sz="2" w:space="0" w:color="auto"/>
              <w:right w:val="single" w:sz="2" w:space="0" w:color="auto"/>
            </w:tcBorders>
            <w:shd w:val="clear" w:color="auto" w:fill="D3D3D3"/>
            <w:vAlign w:val="center"/>
          </w:tcPr>
          <w:p w14:paraId="6D48780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数量</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030CF9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B98152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发行新股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546FDEA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送股</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62BD2E3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公积金转股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0EA3D33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674" w:type="dxa"/>
            <w:tcBorders>
              <w:top w:val="single" w:sz="2" w:space="0" w:color="auto"/>
              <w:left w:val="single" w:sz="2" w:space="0" w:color="auto"/>
              <w:bottom w:val="single" w:sz="2" w:space="0" w:color="auto"/>
              <w:right w:val="single" w:sz="2" w:space="0" w:color="auto"/>
            </w:tcBorders>
            <w:shd w:val="clear" w:color="auto" w:fill="D3D3D3"/>
            <w:vAlign w:val="center"/>
          </w:tcPr>
          <w:p w14:paraId="3DEBDFB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小计</w:t>
            </w:r>
          </w:p>
        </w:tc>
        <w:tc>
          <w:tcPr>
            <w:tcW w:w="1169" w:type="dxa"/>
            <w:tcBorders>
              <w:top w:val="single" w:sz="2" w:space="0" w:color="auto"/>
              <w:left w:val="single" w:sz="2" w:space="0" w:color="auto"/>
              <w:bottom w:val="single" w:sz="2" w:space="0" w:color="auto"/>
              <w:right w:val="single" w:sz="2" w:space="0" w:color="auto"/>
            </w:tcBorders>
            <w:shd w:val="clear" w:color="auto" w:fill="D3D3D3"/>
            <w:vAlign w:val="center"/>
          </w:tcPr>
          <w:p w14:paraId="1CF35D4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数量</w:t>
            </w:r>
          </w:p>
        </w:tc>
        <w:tc>
          <w:tcPr>
            <w:tcW w:w="759" w:type="dxa"/>
            <w:tcBorders>
              <w:top w:val="single" w:sz="2" w:space="0" w:color="auto"/>
              <w:left w:val="single" w:sz="2" w:space="0" w:color="auto"/>
              <w:bottom w:val="single" w:sz="2" w:space="0" w:color="auto"/>
              <w:right w:val="single" w:sz="2" w:space="0" w:color="auto"/>
            </w:tcBorders>
            <w:shd w:val="clear" w:color="auto" w:fill="D3D3D3"/>
            <w:vAlign w:val="center"/>
          </w:tcPr>
          <w:p w14:paraId="3F4E642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r>
      <w:tr w:rsidR="00E32FE0" w:rsidRPr="005B5EC1" w14:paraId="21C53029"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9AC94F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一、有限售条件股份</w:t>
            </w:r>
          </w:p>
        </w:tc>
        <w:tc>
          <w:tcPr>
            <w:tcW w:w="1367" w:type="dxa"/>
            <w:tcBorders>
              <w:top w:val="single" w:sz="2" w:space="0" w:color="auto"/>
              <w:left w:val="single" w:sz="2" w:space="0" w:color="auto"/>
              <w:bottom w:val="single" w:sz="2" w:space="0" w:color="auto"/>
              <w:right w:val="single" w:sz="2" w:space="0" w:color="auto"/>
            </w:tcBorders>
            <w:vAlign w:val="center"/>
          </w:tcPr>
          <w:p w14:paraId="1CDC9C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2,047,500</w:t>
            </w:r>
          </w:p>
        </w:tc>
        <w:tc>
          <w:tcPr>
            <w:tcW w:w="1134" w:type="dxa"/>
            <w:tcBorders>
              <w:top w:val="single" w:sz="2" w:space="0" w:color="auto"/>
              <w:left w:val="single" w:sz="2" w:space="0" w:color="auto"/>
              <w:bottom w:val="single" w:sz="2" w:space="0" w:color="auto"/>
              <w:right w:val="single" w:sz="2" w:space="0" w:color="auto"/>
            </w:tcBorders>
            <w:vAlign w:val="center"/>
          </w:tcPr>
          <w:p w14:paraId="56729E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0.19%</w:t>
            </w:r>
          </w:p>
        </w:tc>
        <w:tc>
          <w:tcPr>
            <w:tcW w:w="992" w:type="dxa"/>
            <w:tcBorders>
              <w:top w:val="single" w:sz="2" w:space="0" w:color="auto"/>
              <w:left w:val="single" w:sz="2" w:space="0" w:color="auto"/>
              <w:bottom w:val="single" w:sz="2" w:space="0" w:color="auto"/>
              <w:right w:val="single" w:sz="2" w:space="0" w:color="auto"/>
            </w:tcBorders>
            <w:vAlign w:val="center"/>
          </w:tcPr>
          <w:p w14:paraId="06314A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2BF54A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C481A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5298C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5605B5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3403E5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2,047,500</w:t>
            </w:r>
          </w:p>
        </w:tc>
        <w:tc>
          <w:tcPr>
            <w:tcW w:w="759" w:type="dxa"/>
            <w:tcBorders>
              <w:top w:val="single" w:sz="2" w:space="0" w:color="auto"/>
              <w:left w:val="single" w:sz="2" w:space="0" w:color="auto"/>
              <w:bottom w:val="single" w:sz="2" w:space="0" w:color="auto"/>
              <w:right w:val="single" w:sz="2" w:space="0" w:color="auto"/>
            </w:tcBorders>
            <w:vAlign w:val="center"/>
          </w:tcPr>
          <w:p w14:paraId="148DDF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0.19%</w:t>
            </w:r>
          </w:p>
        </w:tc>
      </w:tr>
      <w:tr w:rsidR="00E32FE0" w:rsidRPr="005B5EC1" w14:paraId="26BC532B"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4D560E0" w14:textId="07DE6351"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、国家持股</w:t>
            </w:r>
          </w:p>
        </w:tc>
        <w:tc>
          <w:tcPr>
            <w:tcW w:w="1367" w:type="dxa"/>
            <w:tcBorders>
              <w:top w:val="single" w:sz="2" w:space="0" w:color="auto"/>
              <w:left w:val="single" w:sz="2" w:space="0" w:color="auto"/>
              <w:bottom w:val="single" w:sz="2" w:space="0" w:color="auto"/>
              <w:right w:val="single" w:sz="2" w:space="0" w:color="auto"/>
            </w:tcBorders>
            <w:vAlign w:val="center"/>
          </w:tcPr>
          <w:p w14:paraId="28F22B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D8AC4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FA94FC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D65B6F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22A0F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29A05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69DD0A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5FDB1FA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745973C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759932E"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1CF6E6B"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、国有法人持股</w:t>
            </w:r>
          </w:p>
        </w:tc>
        <w:tc>
          <w:tcPr>
            <w:tcW w:w="1367" w:type="dxa"/>
            <w:tcBorders>
              <w:top w:val="single" w:sz="2" w:space="0" w:color="auto"/>
              <w:left w:val="single" w:sz="2" w:space="0" w:color="auto"/>
              <w:bottom w:val="single" w:sz="2" w:space="0" w:color="auto"/>
              <w:right w:val="single" w:sz="2" w:space="0" w:color="auto"/>
            </w:tcBorders>
            <w:vAlign w:val="center"/>
          </w:tcPr>
          <w:p w14:paraId="2DCBB1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A6633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DCFBCF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590CD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F1F37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B8F61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769121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38C7663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54A9F64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1CE3AE4"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2700494"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、其他内资持股</w:t>
            </w:r>
          </w:p>
        </w:tc>
        <w:tc>
          <w:tcPr>
            <w:tcW w:w="1367" w:type="dxa"/>
            <w:tcBorders>
              <w:top w:val="single" w:sz="2" w:space="0" w:color="auto"/>
              <w:left w:val="single" w:sz="2" w:space="0" w:color="auto"/>
              <w:bottom w:val="single" w:sz="2" w:space="0" w:color="auto"/>
              <w:right w:val="single" w:sz="2" w:space="0" w:color="auto"/>
            </w:tcBorders>
            <w:vAlign w:val="center"/>
          </w:tcPr>
          <w:p w14:paraId="7E6C9C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2,047,500</w:t>
            </w:r>
          </w:p>
        </w:tc>
        <w:tc>
          <w:tcPr>
            <w:tcW w:w="1134" w:type="dxa"/>
            <w:tcBorders>
              <w:top w:val="single" w:sz="2" w:space="0" w:color="auto"/>
              <w:left w:val="single" w:sz="2" w:space="0" w:color="auto"/>
              <w:bottom w:val="single" w:sz="2" w:space="0" w:color="auto"/>
              <w:right w:val="single" w:sz="2" w:space="0" w:color="auto"/>
            </w:tcBorders>
            <w:vAlign w:val="center"/>
          </w:tcPr>
          <w:p w14:paraId="27C821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0.19%</w:t>
            </w:r>
          </w:p>
        </w:tc>
        <w:tc>
          <w:tcPr>
            <w:tcW w:w="992" w:type="dxa"/>
            <w:tcBorders>
              <w:top w:val="single" w:sz="2" w:space="0" w:color="auto"/>
              <w:left w:val="single" w:sz="2" w:space="0" w:color="auto"/>
              <w:bottom w:val="single" w:sz="2" w:space="0" w:color="auto"/>
              <w:right w:val="single" w:sz="2" w:space="0" w:color="auto"/>
            </w:tcBorders>
            <w:vAlign w:val="center"/>
          </w:tcPr>
          <w:p w14:paraId="43C146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8AF67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C1BAF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D2C4F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67E9662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0001A5F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2,047,500</w:t>
            </w:r>
          </w:p>
        </w:tc>
        <w:tc>
          <w:tcPr>
            <w:tcW w:w="759" w:type="dxa"/>
            <w:tcBorders>
              <w:top w:val="single" w:sz="2" w:space="0" w:color="auto"/>
              <w:left w:val="single" w:sz="2" w:space="0" w:color="auto"/>
              <w:bottom w:val="single" w:sz="2" w:space="0" w:color="auto"/>
              <w:right w:val="single" w:sz="2" w:space="0" w:color="auto"/>
            </w:tcBorders>
            <w:vAlign w:val="center"/>
          </w:tcPr>
          <w:p w14:paraId="5A48B1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0.19%</w:t>
            </w:r>
          </w:p>
        </w:tc>
      </w:tr>
      <w:tr w:rsidR="00E32FE0" w:rsidRPr="005B5EC1" w14:paraId="64611F10"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4FB617CA"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其中：境内法人持股</w:t>
            </w:r>
          </w:p>
        </w:tc>
        <w:tc>
          <w:tcPr>
            <w:tcW w:w="1367" w:type="dxa"/>
            <w:tcBorders>
              <w:top w:val="single" w:sz="2" w:space="0" w:color="auto"/>
              <w:left w:val="single" w:sz="2" w:space="0" w:color="auto"/>
              <w:bottom w:val="single" w:sz="2" w:space="0" w:color="auto"/>
              <w:right w:val="single" w:sz="2" w:space="0" w:color="auto"/>
            </w:tcBorders>
            <w:vAlign w:val="center"/>
          </w:tcPr>
          <w:p w14:paraId="17BB8D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13DCC8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ADAF7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D683B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2CC70E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81471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3349F04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3693C4F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5DF6E94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C78BCC1"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CF19ED2"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境内自然人持股</w:t>
            </w:r>
          </w:p>
        </w:tc>
        <w:tc>
          <w:tcPr>
            <w:tcW w:w="1367" w:type="dxa"/>
            <w:tcBorders>
              <w:top w:val="single" w:sz="2" w:space="0" w:color="auto"/>
              <w:left w:val="single" w:sz="2" w:space="0" w:color="auto"/>
              <w:bottom w:val="single" w:sz="2" w:space="0" w:color="auto"/>
              <w:right w:val="single" w:sz="2" w:space="0" w:color="auto"/>
            </w:tcBorders>
            <w:vAlign w:val="center"/>
          </w:tcPr>
          <w:p w14:paraId="5C66E1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2,047,500</w:t>
            </w:r>
          </w:p>
        </w:tc>
        <w:tc>
          <w:tcPr>
            <w:tcW w:w="1134" w:type="dxa"/>
            <w:tcBorders>
              <w:top w:val="single" w:sz="2" w:space="0" w:color="auto"/>
              <w:left w:val="single" w:sz="2" w:space="0" w:color="auto"/>
              <w:bottom w:val="single" w:sz="2" w:space="0" w:color="auto"/>
              <w:right w:val="single" w:sz="2" w:space="0" w:color="auto"/>
            </w:tcBorders>
            <w:vAlign w:val="center"/>
          </w:tcPr>
          <w:p w14:paraId="71EDF4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0.19%</w:t>
            </w:r>
          </w:p>
        </w:tc>
        <w:tc>
          <w:tcPr>
            <w:tcW w:w="992" w:type="dxa"/>
            <w:tcBorders>
              <w:top w:val="single" w:sz="2" w:space="0" w:color="auto"/>
              <w:left w:val="single" w:sz="2" w:space="0" w:color="auto"/>
              <w:bottom w:val="single" w:sz="2" w:space="0" w:color="auto"/>
              <w:right w:val="single" w:sz="2" w:space="0" w:color="auto"/>
            </w:tcBorders>
            <w:vAlign w:val="center"/>
          </w:tcPr>
          <w:p w14:paraId="50B7CC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63A50B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637329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E9C37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09FC8F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39196A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2,047,500</w:t>
            </w:r>
          </w:p>
        </w:tc>
        <w:tc>
          <w:tcPr>
            <w:tcW w:w="759" w:type="dxa"/>
            <w:tcBorders>
              <w:top w:val="single" w:sz="2" w:space="0" w:color="auto"/>
              <w:left w:val="single" w:sz="2" w:space="0" w:color="auto"/>
              <w:bottom w:val="single" w:sz="2" w:space="0" w:color="auto"/>
              <w:right w:val="single" w:sz="2" w:space="0" w:color="auto"/>
            </w:tcBorders>
            <w:vAlign w:val="center"/>
          </w:tcPr>
          <w:p w14:paraId="1F11E4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0.19%</w:t>
            </w:r>
          </w:p>
        </w:tc>
      </w:tr>
      <w:tr w:rsidR="00E32FE0" w:rsidRPr="005B5EC1" w14:paraId="33E1F740"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EEDE3F3"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、外资持股</w:t>
            </w:r>
          </w:p>
        </w:tc>
        <w:tc>
          <w:tcPr>
            <w:tcW w:w="1367" w:type="dxa"/>
            <w:tcBorders>
              <w:top w:val="single" w:sz="2" w:space="0" w:color="auto"/>
              <w:left w:val="single" w:sz="2" w:space="0" w:color="auto"/>
              <w:bottom w:val="single" w:sz="2" w:space="0" w:color="auto"/>
              <w:right w:val="single" w:sz="2" w:space="0" w:color="auto"/>
            </w:tcBorders>
            <w:vAlign w:val="center"/>
          </w:tcPr>
          <w:p w14:paraId="574E9E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E2BD0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1EDD8D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CA596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78B0B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C37DDE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06483DF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1C7CC60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79C5C9F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DA6EC67"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ED72917"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其中：境外法人持股</w:t>
            </w:r>
          </w:p>
        </w:tc>
        <w:tc>
          <w:tcPr>
            <w:tcW w:w="1367" w:type="dxa"/>
            <w:tcBorders>
              <w:top w:val="single" w:sz="2" w:space="0" w:color="auto"/>
              <w:left w:val="single" w:sz="2" w:space="0" w:color="auto"/>
              <w:bottom w:val="single" w:sz="2" w:space="0" w:color="auto"/>
              <w:right w:val="single" w:sz="2" w:space="0" w:color="auto"/>
            </w:tcBorders>
            <w:vAlign w:val="center"/>
          </w:tcPr>
          <w:p w14:paraId="1F5045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57B9A7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1E147A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A87BB7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430D67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09FAF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390B65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05357F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7066AA7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C59927F"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7C7FC6A"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境外自然人持股</w:t>
            </w:r>
          </w:p>
        </w:tc>
        <w:tc>
          <w:tcPr>
            <w:tcW w:w="1367" w:type="dxa"/>
            <w:tcBorders>
              <w:top w:val="single" w:sz="2" w:space="0" w:color="auto"/>
              <w:left w:val="single" w:sz="2" w:space="0" w:color="auto"/>
              <w:bottom w:val="single" w:sz="2" w:space="0" w:color="auto"/>
              <w:right w:val="single" w:sz="2" w:space="0" w:color="auto"/>
            </w:tcBorders>
            <w:vAlign w:val="center"/>
          </w:tcPr>
          <w:p w14:paraId="4E2B55E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F8B98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5969ED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FDAE2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B2433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6E76D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0756E5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2BA785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54BA5B9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C733927"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355BA4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二、无限售条件股份</w:t>
            </w:r>
          </w:p>
        </w:tc>
        <w:tc>
          <w:tcPr>
            <w:tcW w:w="1367" w:type="dxa"/>
            <w:tcBorders>
              <w:top w:val="single" w:sz="2" w:space="0" w:color="auto"/>
              <w:left w:val="single" w:sz="2" w:space="0" w:color="auto"/>
              <w:bottom w:val="single" w:sz="2" w:space="0" w:color="auto"/>
              <w:right w:val="single" w:sz="2" w:space="0" w:color="auto"/>
            </w:tcBorders>
            <w:vAlign w:val="center"/>
          </w:tcPr>
          <w:p w14:paraId="6AD8DD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1,077,112,332</w:t>
            </w:r>
          </w:p>
        </w:tc>
        <w:tc>
          <w:tcPr>
            <w:tcW w:w="1134" w:type="dxa"/>
            <w:tcBorders>
              <w:top w:val="single" w:sz="2" w:space="0" w:color="auto"/>
              <w:left w:val="single" w:sz="2" w:space="0" w:color="auto"/>
              <w:bottom w:val="single" w:sz="2" w:space="0" w:color="auto"/>
              <w:right w:val="single" w:sz="2" w:space="0" w:color="auto"/>
            </w:tcBorders>
            <w:vAlign w:val="center"/>
          </w:tcPr>
          <w:p w14:paraId="1CAC28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99.81%</w:t>
            </w:r>
          </w:p>
        </w:tc>
        <w:tc>
          <w:tcPr>
            <w:tcW w:w="992" w:type="dxa"/>
            <w:tcBorders>
              <w:top w:val="single" w:sz="2" w:space="0" w:color="auto"/>
              <w:left w:val="single" w:sz="2" w:space="0" w:color="auto"/>
              <w:bottom w:val="single" w:sz="2" w:space="0" w:color="auto"/>
              <w:right w:val="single" w:sz="2" w:space="0" w:color="auto"/>
            </w:tcBorders>
            <w:vAlign w:val="center"/>
          </w:tcPr>
          <w:p w14:paraId="13A071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D2385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26D490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3AF2D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w:t>
            </w:r>
          </w:p>
        </w:tc>
        <w:tc>
          <w:tcPr>
            <w:tcW w:w="674" w:type="dxa"/>
            <w:tcBorders>
              <w:top w:val="single" w:sz="2" w:space="0" w:color="auto"/>
              <w:left w:val="single" w:sz="2" w:space="0" w:color="auto"/>
              <w:bottom w:val="single" w:sz="2" w:space="0" w:color="auto"/>
              <w:right w:val="single" w:sz="2" w:space="0" w:color="auto"/>
            </w:tcBorders>
            <w:vAlign w:val="center"/>
          </w:tcPr>
          <w:p w14:paraId="327785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w:t>
            </w:r>
          </w:p>
        </w:tc>
        <w:tc>
          <w:tcPr>
            <w:tcW w:w="1169" w:type="dxa"/>
            <w:tcBorders>
              <w:top w:val="single" w:sz="2" w:space="0" w:color="auto"/>
              <w:left w:val="single" w:sz="2" w:space="0" w:color="auto"/>
              <w:bottom w:val="single" w:sz="2" w:space="0" w:color="auto"/>
              <w:right w:val="single" w:sz="2" w:space="0" w:color="auto"/>
            </w:tcBorders>
            <w:vAlign w:val="center"/>
          </w:tcPr>
          <w:p w14:paraId="2E4E7E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1,077,112,761</w:t>
            </w:r>
          </w:p>
        </w:tc>
        <w:tc>
          <w:tcPr>
            <w:tcW w:w="759" w:type="dxa"/>
            <w:tcBorders>
              <w:top w:val="single" w:sz="2" w:space="0" w:color="auto"/>
              <w:left w:val="single" w:sz="2" w:space="0" w:color="auto"/>
              <w:bottom w:val="single" w:sz="2" w:space="0" w:color="auto"/>
              <w:right w:val="single" w:sz="2" w:space="0" w:color="auto"/>
            </w:tcBorders>
            <w:vAlign w:val="center"/>
          </w:tcPr>
          <w:p w14:paraId="1457EE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99.81%</w:t>
            </w:r>
          </w:p>
        </w:tc>
      </w:tr>
      <w:tr w:rsidR="00E32FE0" w:rsidRPr="005B5EC1" w14:paraId="04181AE0"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B644EBB"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、人民币普通股</w:t>
            </w:r>
          </w:p>
        </w:tc>
        <w:tc>
          <w:tcPr>
            <w:tcW w:w="1367" w:type="dxa"/>
            <w:tcBorders>
              <w:top w:val="single" w:sz="2" w:space="0" w:color="auto"/>
              <w:left w:val="single" w:sz="2" w:space="0" w:color="auto"/>
              <w:bottom w:val="single" w:sz="2" w:space="0" w:color="auto"/>
              <w:right w:val="single" w:sz="2" w:space="0" w:color="auto"/>
            </w:tcBorders>
            <w:vAlign w:val="center"/>
          </w:tcPr>
          <w:p w14:paraId="122D33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1,077,112,332</w:t>
            </w:r>
          </w:p>
        </w:tc>
        <w:tc>
          <w:tcPr>
            <w:tcW w:w="1134" w:type="dxa"/>
            <w:tcBorders>
              <w:top w:val="single" w:sz="2" w:space="0" w:color="auto"/>
              <w:left w:val="single" w:sz="2" w:space="0" w:color="auto"/>
              <w:bottom w:val="single" w:sz="2" w:space="0" w:color="auto"/>
              <w:right w:val="single" w:sz="2" w:space="0" w:color="auto"/>
            </w:tcBorders>
            <w:vAlign w:val="center"/>
          </w:tcPr>
          <w:p w14:paraId="6B15E2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99.81%</w:t>
            </w:r>
          </w:p>
        </w:tc>
        <w:tc>
          <w:tcPr>
            <w:tcW w:w="992" w:type="dxa"/>
            <w:tcBorders>
              <w:top w:val="single" w:sz="2" w:space="0" w:color="auto"/>
              <w:left w:val="single" w:sz="2" w:space="0" w:color="auto"/>
              <w:bottom w:val="single" w:sz="2" w:space="0" w:color="auto"/>
              <w:right w:val="single" w:sz="2" w:space="0" w:color="auto"/>
            </w:tcBorders>
            <w:vAlign w:val="center"/>
          </w:tcPr>
          <w:p w14:paraId="41AD4CF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06DA1C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8E41C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21985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w:t>
            </w:r>
          </w:p>
        </w:tc>
        <w:tc>
          <w:tcPr>
            <w:tcW w:w="674" w:type="dxa"/>
            <w:tcBorders>
              <w:top w:val="single" w:sz="2" w:space="0" w:color="auto"/>
              <w:left w:val="single" w:sz="2" w:space="0" w:color="auto"/>
              <w:bottom w:val="single" w:sz="2" w:space="0" w:color="auto"/>
              <w:right w:val="single" w:sz="2" w:space="0" w:color="auto"/>
            </w:tcBorders>
            <w:vAlign w:val="center"/>
          </w:tcPr>
          <w:p w14:paraId="081F63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w:t>
            </w:r>
          </w:p>
        </w:tc>
        <w:tc>
          <w:tcPr>
            <w:tcW w:w="1169" w:type="dxa"/>
            <w:tcBorders>
              <w:top w:val="single" w:sz="2" w:space="0" w:color="auto"/>
              <w:left w:val="single" w:sz="2" w:space="0" w:color="auto"/>
              <w:bottom w:val="single" w:sz="2" w:space="0" w:color="auto"/>
              <w:right w:val="single" w:sz="2" w:space="0" w:color="auto"/>
            </w:tcBorders>
            <w:vAlign w:val="center"/>
          </w:tcPr>
          <w:p w14:paraId="373B46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1,077,112,761</w:t>
            </w:r>
          </w:p>
        </w:tc>
        <w:tc>
          <w:tcPr>
            <w:tcW w:w="759" w:type="dxa"/>
            <w:tcBorders>
              <w:top w:val="single" w:sz="2" w:space="0" w:color="auto"/>
              <w:left w:val="single" w:sz="2" w:space="0" w:color="auto"/>
              <w:bottom w:val="single" w:sz="2" w:space="0" w:color="auto"/>
              <w:right w:val="single" w:sz="2" w:space="0" w:color="auto"/>
            </w:tcBorders>
            <w:vAlign w:val="center"/>
          </w:tcPr>
          <w:p w14:paraId="77FB70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99.81%</w:t>
            </w:r>
          </w:p>
        </w:tc>
      </w:tr>
      <w:tr w:rsidR="00E32FE0" w:rsidRPr="005B5EC1" w14:paraId="517DE60D"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BCBA95D"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、境内上市的外资股</w:t>
            </w:r>
          </w:p>
        </w:tc>
        <w:tc>
          <w:tcPr>
            <w:tcW w:w="1367" w:type="dxa"/>
            <w:tcBorders>
              <w:top w:val="single" w:sz="2" w:space="0" w:color="auto"/>
              <w:left w:val="single" w:sz="2" w:space="0" w:color="auto"/>
              <w:bottom w:val="single" w:sz="2" w:space="0" w:color="auto"/>
              <w:right w:val="single" w:sz="2" w:space="0" w:color="auto"/>
            </w:tcBorders>
            <w:vAlign w:val="center"/>
          </w:tcPr>
          <w:p w14:paraId="3F2D32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3E99B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407B95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75EDE4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D8149B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3F6C79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4D5447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353570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5E1B1EE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E547568"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5EF61E7"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、境外上市的外资股</w:t>
            </w:r>
          </w:p>
        </w:tc>
        <w:tc>
          <w:tcPr>
            <w:tcW w:w="1367" w:type="dxa"/>
            <w:tcBorders>
              <w:top w:val="single" w:sz="2" w:space="0" w:color="auto"/>
              <w:left w:val="single" w:sz="2" w:space="0" w:color="auto"/>
              <w:bottom w:val="single" w:sz="2" w:space="0" w:color="auto"/>
              <w:right w:val="single" w:sz="2" w:space="0" w:color="auto"/>
            </w:tcBorders>
            <w:vAlign w:val="center"/>
          </w:tcPr>
          <w:p w14:paraId="2B8BCB5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D0381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7A81344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9BFA0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77A29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48C4F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15CBA79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40E881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32B82AF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BEE67C9"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928FB68" w14:textId="77777777" w:rsidR="00E32FE0" w:rsidRPr="005B5EC1" w:rsidRDefault="00000000" w:rsidP="000710F2">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、其他</w:t>
            </w:r>
          </w:p>
        </w:tc>
        <w:tc>
          <w:tcPr>
            <w:tcW w:w="1367" w:type="dxa"/>
            <w:tcBorders>
              <w:top w:val="single" w:sz="2" w:space="0" w:color="auto"/>
              <w:left w:val="single" w:sz="2" w:space="0" w:color="auto"/>
              <w:bottom w:val="single" w:sz="2" w:space="0" w:color="auto"/>
              <w:right w:val="single" w:sz="2" w:space="0" w:color="auto"/>
            </w:tcBorders>
            <w:vAlign w:val="center"/>
          </w:tcPr>
          <w:p w14:paraId="6441C2C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9DB6CF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01F043E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969DEA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D8F1EB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69AE51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4" w:type="dxa"/>
            <w:tcBorders>
              <w:top w:val="single" w:sz="2" w:space="0" w:color="auto"/>
              <w:left w:val="single" w:sz="2" w:space="0" w:color="auto"/>
              <w:bottom w:val="single" w:sz="2" w:space="0" w:color="auto"/>
              <w:right w:val="single" w:sz="2" w:space="0" w:color="auto"/>
            </w:tcBorders>
            <w:vAlign w:val="center"/>
          </w:tcPr>
          <w:p w14:paraId="1F5398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69" w:type="dxa"/>
            <w:tcBorders>
              <w:top w:val="single" w:sz="2" w:space="0" w:color="auto"/>
              <w:left w:val="single" w:sz="2" w:space="0" w:color="auto"/>
              <w:bottom w:val="single" w:sz="2" w:space="0" w:color="auto"/>
              <w:right w:val="single" w:sz="2" w:space="0" w:color="auto"/>
            </w:tcBorders>
            <w:vAlign w:val="center"/>
          </w:tcPr>
          <w:p w14:paraId="6512C98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59" w:type="dxa"/>
            <w:tcBorders>
              <w:top w:val="single" w:sz="2" w:space="0" w:color="auto"/>
              <w:left w:val="single" w:sz="2" w:space="0" w:color="auto"/>
              <w:bottom w:val="single" w:sz="2" w:space="0" w:color="auto"/>
              <w:right w:val="single" w:sz="2" w:space="0" w:color="auto"/>
            </w:tcBorders>
            <w:vAlign w:val="center"/>
          </w:tcPr>
          <w:p w14:paraId="1CC9271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94694B2" w14:textId="77777777" w:rsidTr="009F44CD">
        <w:trPr>
          <w:trHeight w:val="113"/>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4108B9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三、股份总数</w:t>
            </w:r>
          </w:p>
        </w:tc>
        <w:tc>
          <w:tcPr>
            <w:tcW w:w="1367" w:type="dxa"/>
            <w:tcBorders>
              <w:top w:val="single" w:sz="2" w:space="0" w:color="auto"/>
              <w:left w:val="single" w:sz="2" w:space="0" w:color="auto"/>
              <w:bottom w:val="single" w:sz="2" w:space="0" w:color="auto"/>
              <w:right w:val="single" w:sz="2" w:space="0" w:color="auto"/>
            </w:tcBorders>
            <w:vAlign w:val="center"/>
          </w:tcPr>
          <w:p w14:paraId="79C73C1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w:t>
            </w:r>
          </w:p>
        </w:tc>
        <w:tc>
          <w:tcPr>
            <w:tcW w:w="1134" w:type="dxa"/>
            <w:tcBorders>
              <w:top w:val="single" w:sz="2" w:space="0" w:color="auto"/>
              <w:left w:val="single" w:sz="2" w:space="0" w:color="auto"/>
              <w:bottom w:val="single" w:sz="2" w:space="0" w:color="auto"/>
              <w:right w:val="single" w:sz="2" w:space="0" w:color="auto"/>
            </w:tcBorders>
            <w:vAlign w:val="center"/>
          </w:tcPr>
          <w:p w14:paraId="6B5A7A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992" w:type="dxa"/>
            <w:tcBorders>
              <w:top w:val="single" w:sz="2" w:space="0" w:color="auto"/>
              <w:left w:val="single" w:sz="2" w:space="0" w:color="auto"/>
              <w:bottom w:val="single" w:sz="2" w:space="0" w:color="auto"/>
              <w:right w:val="single" w:sz="2" w:space="0" w:color="auto"/>
            </w:tcBorders>
            <w:vAlign w:val="center"/>
          </w:tcPr>
          <w:p w14:paraId="091B84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FAD8B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FC033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B7E07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w:t>
            </w:r>
          </w:p>
        </w:tc>
        <w:tc>
          <w:tcPr>
            <w:tcW w:w="674" w:type="dxa"/>
            <w:tcBorders>
              <w:top w:val="single" w:sz="2" w:space="0" w:color="auto"/>
              <w:left w:val="single" w:sz="2" w:space="0" w:color="auto"/>
              <w:bottom w:val="single" w:sz="2" w:space="0" w:color="auto"/>
              <w:right w:val="single" w:sz="2" w:space="0" w:color="auto"/>
            </w:tcBorders>
            <w:vAlign w:val="center"/>
          </w:tcPr>
          <w:p w14:paraId="3CF413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w:t>
            </w:r>
          </w:p>
        </w:tc>
        <w:tc>
          <w:tcPr>
            <w:tcW w:w="1169" w:type="dxa"/>
            <w:tcBorders>
              <w:top w:val="single" w:sz="2" w:space="0" w:color="auto"/>
              <w:left w:val="single" w:sz="2" w:space="0" w:color="auto"/>
              <w:bottom w:val="single" w:sz="2" w:space="0" w:color="auto"/>
              <w:right w:val="single" w:sz="2" w:space="0" w:color="auto"/>
            </w:tcBorders>
            <w:vAlign w:val="center"/>
          </w:tcPr>
          <w:p w14:paraId="7AA84A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1,079,160,261</w:t>
            </w:r>
          </w:p>
        </w:tc>
        <w:tc>
          <w:tcPr>
            <w:tcW w:w="759" w:type="dxa"/>
            <w:tcBorders>
              <w:top w:val="single" w:sz="2" w:space="0" w:color="auto"/>
              <w:left w:val="single" w:sz="2" w:space="0" w:color="auto"/>
              <w:bottom w:val="single" w:sz="2" w:space="0" w:color="auto"/>
              <w:right w:val="single" w:sz="2" w:space="0" w:color="auto"/>
            </w:tcBorders>
            <w:vAlign w:val="center"/>
          </w:tcPr>
          <w:p w14:paraId="2546D4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r>
    </w:tbl>
    <w:p w14:paraId="13C33C0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股份变动的原因</w:t>
      </w:r>
    </w:p>
    <w:p w14:paraId="43E3417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00547444" w14:textId="08DE3966" w:rsidR="00AF139E" w:rsidRPr="005B5EC1" w:rsidRDefault="00000000" w:rsidP="009F44CD">
      <w:pPr>
        <w:pStyle w:val="a3"/>
        <w:spacing w:before="0" w:beforeAutospacing="0" w:after="0" w:afterAutospacing="0" w:line="276" w:lineRule="auto"/>
        <w:ind w:firstLineChars="200" w:firstLine="360"/>
        <w:jc w:val="both"/>
        <w:divId w:val="113867835"/>
        <w:rPr>
          <w:rFonts w:ascii="Times New Roman" w:hAnsi="Times New Roman" w:cs="Times New Roman"/>
          <w:sz w:val="18"/>
          <w:szCs w:val="18"/>
        </w:rPr>
      </w:pPr>
      <w:r w:rsidRPr="005B5EC1">
        <w:rPr>
          <w:rFonts w:ascii="Times New Roman" w:hAnsi="Times New Roman" w:cs="Times New Roman"/>
          <w:sz w:val="18"/>
          <w:szCs w:val="18"/>
        </w:rPr>
        <w:t>经中国证券监督管理委员会</w:t>
      </w:r>
      <w:r w:rsidRPr="005B5EC1">
        <w:rPr>
          <w:rFonts w:ascii="Times New Roman" w:hAnsi="Times New Roman" w:cs="Times New Roman"/>
          <w:sz w:val="18"/>
          <w:szCs w:val="18"/>
        </w:rPr>
        <w:t>“</w:t>
      </w:r>
      <w:r w:rsidRPr="005B5EC1">
        <w:rPr>
          <w:rFonts w:ascii="Times New Roman" w:hAnsi="Times New Roman" w:cs="Times New Roman"/>
          <w:sz w:val="18"/>
          <w:szCs w:val="18"/>
        </w:rPr>
        <w:t>证监许可</w:t>
      </w:r>
      <w:r w:rsidRPr="005B5EC1">
        <w:rPr>
          <w:rFonts w:ascii="Times New Roman" w:hAnsi="Times New Roman" w:cs="Times New Roman"/>
          <w:sz w:val="18"/>
          <w:szCs w:val="18"/>
        </w:rPr>
        <w:t>[2020]1077</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核准，公司于</w:t>
      </w:r>
      <w:r w:rsidRPr="005B5EC1">
        <w:rPr>
          <w:rFonts w:ascii="Times New Roman" w:hAnsi="Times New Roman" w:cs="Times New Roman"/>
          <w:sz w:val="18"/>
          <w:szCs w:val="18"/>
        </w:rPr>
        <w:t>2020</w:t>
      </w:r>
      <w:r w:rsidRPr="005B5EC1">
        <w:rPr>
          <w:rFonts w:ascii="Times New Roman" w:hAnsi="Times New Roman" w:cs="Times New Roman"/>
          <w:sz w:val="18"/>
          <w:szCs w:val="18"/>
        </w:rPr>
        <w:t>年</w:t>
      </w:r>
      <w:r w:rsidRPr="005B5EC1">
        <w:rPr>
          <w:rFonts w:ascii="Times New Roman" w:hAnsi="Times New Roman" w:cs="Times New Roman"/>
          <w:sz w:val="18"/>
          <w:szCs w:val="18"/>
        </w:rPr>
        <w:t>7</w:t>
      </w:r>
      <w:r w:rsidRPr="005B5EC1">
        <w:rPr>
          <w:rFonts w:ascii="Times New Roman" w:hAnsi="Times New Roman" w:cs="Times New Roman"/>
          <w:sz w:val="18"/>
          <w:szCs w:val="18"/>
        </w:rPr>
        <w:t>月</w:t>
      </w:r>
      <w:r w:rsidRPr="005B5EC1">
        <w:rPr>
          <w:rFonts w:ascii="Times New Roman" w:hAnsi="Times New Roman" w:cs="Times New Roman"/>
          <w:sz w:val="18"/>
          <w:szCs w:val="18"/>
        </w:rPr>
        <w:t>13</w:t>
      </w:r>
      <w:r w:rsidRPr="005B5EC1">
        <w:rPr>
          <w:rFonts w:ascii="Times New Roman" w:hAnsi="Times New Roman" w:cs="Times New Roman"/>
          <w:sz w:val="18"/>
          <w:szCs w:val="18"/>
        </w:rPr>
        <w:t>日公开发行了</w:t>
      </w:r>
      <w:r w:rsidRPr="005B5EC1">
        <w:rPr>
          <w:rFonts w:ascii="Times New Roman" w:hAnsi="Times New Roman" w:cs="Times New Roman"/>
          <w:sz w:val="18"/>
          <w:szCs w:val="18"/>
        </w:rPr>
        <w:t>950</w:t>
      </w:r>
      <w:r w:rsidRPr="005B5EC1">
        <w:rPr>
          <w:rFonts w:ascii="Times New Roman" w:hAnsi="Times New Roman" w:cs="Times New Roman"/>
          <w:sz w:val="18"/>
          <w:szCs w:val="18"/>
        </w:rPr>
        <w:t>万张可转换公司债券，每张面值</w:t>
      </w:r>
      <w:r w:rsidRPr="005B5EC1">
        <w:rPr>
          <w:rFonts w:ascii="Times New Roman" w:hAnsi="Times New Roman" w:cs="Times New Roman"/>
          <w:sz w:val="18"/>
          <w:szCs w:val="18"/>
        </w:rPr>
        <w:t>100</w:t>
      </w:r>
      <w:r w:rsidRPr="005B5EC1">
        <w:rPr>
          <w:rFonts w:ascii="Times New Roman" w:hAnsi="Times New Roman" w:cs="Times New Roman"/>
          <w:sz w:val="18"/>
          <w:szCs w:val="18"/>
        </w:rPr>
        <w:t>元，发行总额</w:t>
      </w:r>
      <w:r w:rsidRPr="005B5EC1">
        <w:rPr>
          <w:rFonts w:ascii="Times New Roman" w:hAnsi="Times New Roman" w:cs="Times New Roman"/>
          <w:sz w:val="18"/>
          <w:szCs w:val="18"/>
        </w:rPr>
        <w:t xml:space="preserve"> 95,000.00</w:t>
      </w:r>
      <w:r w:rsidRPr="005B5EC1">
        <w:rPr>
          <w:rFonts w:ascii="Times New Roman" w:hAnsi="Times New Roman" w:cs="Times New Roman"/>
          <w:sz w:val="18"/>
          <w:szCs w:val="18"/>
        </w:rPr>
        <w:t>万元。并于</w:t>
      </w:r>
      <w:r w:rsidRPr="005B5EC1">
        <w:rPr>
          <w:rFonts w:ascii="Times New Roman" w:hAnsi="Times New Roman" w:cs="Times New Roman"/>
          <w:sz w:val="18"/>
          <w:szCs w:val="18"/>
        </w:rPr>
        <w:t>2020</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7</w:t>
      </w:r>
      <w:r w:rsidRPr="005B5EC1">
        <w:rPr>
          <w:rFonts w:ascii="Times New Roman" w:hAnsi="Times New Roman" w:cs="Times New Roman"/>
          <w:sz w:val="18"/>
          <w:szCs w:val="18"/>
        </w:rPr>
        <w:t>日起在深交所挂牌交易，债券简称</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，债券代码</w:t>
      </w:r>
      <w:r w:rsidRPr="005B5EC1">
        <w:rPr>
          <w:rFonts w:ascii="Times New Roman" w:hAnsi="Times New Roman" w:cs="Times New Roman"/>
          <w:sz w:val="18"/>
          <w:szCs w:val="18"/>
        </w:rPr>
        <w:t>“128119.SZ”</w:t>
      </w:r>
      <w:r w:rsidRPr="005B5EC1">
        <w:rPr>
          <w:rFonts w:ascii="Times New Roman" w:hAnsi="Times New Roman" w:cs="Times New Roman"/>
          <w:sz w:val="18"/>
          <w:szCs w:val="18"/>
        </w:rPr>
        <w:t>。根据《深圳证券交易所股票上市规则》等相关规定和《山东龙大肉食品股份有限公司公开发行</w:t>
      </w:r>
      <w:r w:rsidRPr="005B5EC1">
        <w:rPr>
          <w:rFonts w:ascii="Times New Roman" w:hAnsi="Times New Roman" w:cs="Times New Roman"/>
          <w:sz w:val="18"/>
          <w:szCs w:val="18"/>
        </w:rPr>
        <w:t>A</w:t>
      </w:r>
      <w:r w:rsidRPr="005B5EC1">
        <w:rPr>
          <w:rFonts w:ascii="Times New Roman" w:hAnsi="Times New Roman" w:cs="Times New Roman"/>
          <w:sz w:val="18"/>
          <w:szCs w:val="18"/>
        </w:rPr>
        <w:t>股可转换公司债券募集说明书》的约定，公司本次发行的</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自</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1</w:t>
      </w:r>
      <w:r w:rsidRPr="005B5EC1">
        <w:rPr>
          <w:rFonts w:ascii="Times New Roman" w:hAnsi="Times New Roman" w:cs="Times New Roman"/>
          <w:sz w:val="18"/>
          <w:szCs w:val="18"/>
        </w:rPr>
        <w:t>月</w:t>
      </w:r>
      <w:r w:rsidRPr="005B5EC1">
        <w:rPr>
          <w:rFonts w:ascii="Times New Roman" w:hAnsi="Times New Roman" w:cs="Times New Roman"/>
          <w:sz w:val="18"/>
          <w:szCs w:val="18"/>
        </w:rPr>
        <w:t>18</w:t>
      </w:r>
      <w:r w:rsidRPr="005B5EC1">
        <w:rPr>
          <w:rFonts w:ascii="Times New Roman" w:hAnsi="Times New Roman" w:cs="Times New Roman"/>
          <w:sz w:val="18"/>
          <w:szCs w:val="18"/>
        </w:rPr>
        <w:t>日起可转换为公司股份。报告期内，累计转股数量为</w:t>
      </w:r>
      <w:r w:rsidRPr="005B5EC1">
        <w:rPr>
          <w:rFonts w:ascii="Times New Roman" w:hAnsi="Times New Roman" w:cs="Times New Roman"/>
          <w:sz w:val="18"/>
          <w:szCs w:val="18"/>
        </w:rPr>
        <w:t>429</w:t>
      </w:r>
      <w:r w:rsidRPr="005B5EC1">
        <w:rPr>
          <w:rFonts w:ascii="Times New Roman" w:hAnsi="Times New Roman" w:cs="Times New Roman"/>
          <w:sz w:val="18"/>
          <w:szCs w:val="18"/>
        </w:rPr>
        <w:t>股。</w:t>
      </w:r>
    </w:p>
    <w:p w14:paraId="42FD00F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股份变动的批准情况</w:t>
      </w:r>
    </w:p>
    <w:p w14:paraId="7F1BAAC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37447D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股份变动的过户情况</w:t>
      </w:r>
    </w:p>
    <w:p w14:paraId="7EF6284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447405B5" w14:textId="77777777" w:rsidR="00AF139E" w:rsidRPr="005B5EC1" w:rsidRDefault="00000000" w:rsidP="009F44CD">
      <w:pPr>
        <w:pStyle w:val="a3"/>
        <w:spacing w:before="0" w:beforeAutospacing="0" w:after="0" w:afterAutospacing="0" w:line="276" w:lineRule="auto"/>
        <w:ind w:firstLineChars="200" w:firstLine="360"/>
        <w:divId w:val="450440625"/>
        <w:rPr>
          <w:rFonts w:ascii="Times New Roman" w:hAnsi="Times New Roman" w:cs="Times New Roman"/>
        </w:rPr>
      </w:pPr>
      <w:r w:rsidRPr="005B5EC1">
        <w:rPr>
          <w:rFonts w:ascii="Times New Roman" w:hAnsi="Times New Roman" w:cs="Times New Roman"/>
          <w:sz w:val="18"/>
          <w:szCs w:val="18"/>
        </w:rPr>
        <w:t>上述股份变动情况均已在中国证券登记结算有限责任公司深圳分公司完成登记。</w:t>
      </w:r>
    </w:p>
    <w:p w14:paraId="320BC96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股份变动对最近一年和最近一期基本每股收益和稀释每股收益、归属于公司普通股股东的每股净资产等财务指标的影响</w:t>
      </w:r>
    </w:p>
    <w:p w14:paraId="0939FCF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0AA37F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公司认为必要或证券监管机构要求披露的其他内容</w:t>
      </w:r>
    </w:p>
    <w:p w14:paraId="6D31ED5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F6A66E4" w14:textId="77777777" w:rsidR="00E32FE0" w:rsidRPr="005B5EC1" w:rsidRDefault="00000000">
      <w:pPr>
        <w:pStyle w:val="3"/>
        <w:spacing w:line="280" w:lineRule="exact"/>
        <w:jc w:val="left"/>
        <w:rPr>
          <w:rFonts w:ascii="Times New Roman" w:hAnsi="Times New Roman" w:cs="Times New Roman"/>
          <w:b/>
          <w:bCs/>
        </w:rPr>
      </w:pPr>
      <w:bookmarkStart w:id="132" w:name="_Toc989021"/>
      <w:r w:rsidRPr="005B5EC1">
        <w:rPr>
          <w:rFonts w:ascii="Times New Roman" w:hAnsi="Times New Roman" w:cs="Times New Roman"/>
          <w:b/>
          <w:bCs/>
        </w:rPr>
        <w:t>2</w:t>
      </w:r>
      <w:r w:rsidRPr="005B5EC1">
        <w:rPr>
          <w:rFonts w:ascii="Times New Roman" w:hAnsi="Times New Roman" w:cs="Times New Roman"/>
          <w:b/>
          <w:bCs/>
        </w:rPr>
        <w:t>、限售股份变动情况</w:t>
      </w:r>
      <w:bookmarkEnd w:id="132"/>
    </w:p>
    <w:p w14:paraId="1FF9F54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53442E7D"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195"/>
        <w:gridCol w:w="1559"/>
      </w:tblGrid>
      <w:tr w:rsidR="00E32FE0" w:rsidRPr="005B5EC1" w14:paraId="3E56DFE3" w14:textId="77777777" w:rsidTr="0032495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B84EF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股东名称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BB617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9690A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C385DF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本期解除限售股数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7A8E6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期末限售股数</w:t>
            </w:r>
          </w:p>
        </w:tc>
        <w:tc>
          <w:tcPr>
            <w:tcW w:w="1195" w:type="dxa"/>
            <w:tcBorders>
              <w:top w:val="single" w:sz="2" w:space="0" w:color="auto"/>
              <w:left w:val="single" w:sz="2" w:space="0" w:color="auto"/>
              <w:bottom w:val="single" w:sz="2" w:space="0" w:color="auto"/>
              <w:right w:val="single" w:sz="2" w:space="0" w:color="auto"/>
            </w:tcBorders>
            <w:shd w:val="clear" w:color="auto" w:fill="D3D3D3"/>
            <w:vAlign w:val="center"/>
          </w:tcPr>
          <w:p w14:paraId="6DB5B09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限售原因</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E43E93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解除限售日期</w:t>
            </w:r>
          </w:p>
        </w:tc>
      </w:tr>
      <w:tr w:rsidR="00E32FE0" w:rsidRPr="005B5EC1" w14:paraId="39CE7AE1" w14:textId="77777777" w:rsidTr="0032495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5D7D98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张瑞</w:t>
            </w:r>
          </w:p>
        </w:tc>
        <w:tc>
          <w:tcPr>
            <w:tcW w:w="1377" w:type="dxa"/>
            <w:tcBorders>
              <w:top w:val="single" w:sz="2" w:space="0" w:color="auto"/>
              <w:left w:val="single" w:sz="2" w:space="0" w:color="auto"/>
              <w:bottom w:val="single" w:sz="2" w:space="0" w:color="auto"/>
              <w:right w:val="single" w:sz="2" w:space="0" w:color="auto"/>
            </w:tcBorders>
            <w:vAlign w:val="center"/>
          </w:tcPr>
          <w:p w14:paraId="64C04C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819,000</w:t>
            </w:r>
          </w:p>
        </w:tc>
        <w:tc>
          <w:tcPr>
            <w:tcW w:w="1377" w:type="dxa"/>
            <w:tcBorders>
              <w:top w:val="single" w:sz="2" w:space="0" w:color="auto"/>
              <w:left w:val="single" w:sz="2" w:space="0" w:color="auto"/>
              <w:bottom w:val="single" w:sz="2" w:space="0" w:color="auto"/>
              <w:right w:val="single" w:sz="2" w:space="0" w:color="auto"/>
            </w:tcBorders>
            <w:vAlign w:val="center"/>
          </w:tcPr>
          <w:p w14:paraId="404204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3FB2FD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50A223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819,000</w:t>
            </w:r>
          </w:p>
        </w:tc>
        <w:tc>
          <w:tcPr>
            <w:tcW w:w="1195" w:type="dxa"/>
            <w:tcBorders>
              <w:top w:val="single" w:sz="2" w:space="0" w:color="auto"/>
              <w:left w:val="single" w:sz="2" w:space="0" w:color="auto"/>
              <w:bottom w:val="single" w:sz="2" w:space="0" w:color="auto"/>
              <w:right w:val="single" w:sz="2" w:space="0" w:color="auto"/>
            </w:tcBorders>
            <w:vAlign w:val="center"/>
          </w:tcPr>
          <w:p w14:paraId="7725A3F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高管锁定股</w:t>
            </w:r>
          </w:p>
        </w:tc>
        <w:tc>
          <w:tcPr>
            <w:tcW w:w="1559" w:type="dxa"/>
            <w:tcBorders>
              <w:top w:val="single" w:sz="2" w:space="0" w:color="auto"/>
              <w:left w:val="single" w:sz="2" w:space="0" w:color="auto"/>
              <w:bottom w:val="single" w:sz="2" w:space="0" w:color="auto"/>
              <w:right w:val="single" w:sz="2" w:space="0" w:color="auto"/>
            </w:tcBorders>
            <w:vAlign w:val="center"/>
          </w:tcPr>
          <w:p w14:paraId="7A0F58C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按高管锁定股规则执行</w:t>
            </w:r>
          </w:p>
        </w:tc>
      </w:tr>
      <w:tr w:rsidR="00E32FE0" w:rsidRPr="005B5EC1" w14:paraId="03C20363" w14:textId="77777777" w:rsidTr="0032495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14CCB7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余宇</w:t>
            </w:r>
          </w:p>
        </w:tc>
        <w:tc>
          <w:tcPr>
            <w:tcW w:w="1377" w:type="dxa"/>
            <w:tcBorders>
              <w:top w:val="single" w:sz="2" w:space="0" w:color="auto"/>
              <w:left w:val="single" w:sz="2" w:space="0" w:color="auto"/>
              <w:bottom w:val="single" w:sz="2" w:space="0" w:color="auto"/>
              <w:right w:val="single" w:sz="2" w:space="0" w:color="auto"/>
            </w:tcBorders>
            <w:vAlign w:val="center"/>
          </w:tcPr>
          <w:p w14:paraId="3A25E0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1,228,500</w:t>
            </w:r>
          </w:p>
        </w:tc>
        <w:tc>
          <w:tcPr>
            <w:tcW w:w="1377" w:type="dxa"/>
            <w:tcBorders>
              <w:top w:val="single" w:sz="2" w:space="0" w:color="auto"/>
              <w:left w:val="single" w:sz="2" w:space="0" w:color="auto"/>
              <w:bottom w:val="single" w:sz="2" w:space="0" w:color="auto"/>
              <w:right w:val="single" w:sz="2" w:space="0" w:color="auto"/>
            </w:tcBorders>
            <w:vAlign w:val="center"/>
          </w:tcPr>
          <w:p w14:paraId="5A124F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0B786C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25DBC1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1,228,500</w:t>
            </w:r>
          </w:p>
        </w:tc>
        <w:tc>
          <w:tcPr>
            <w:tcW w:w="1195" w:type="dxa"/>
            <w:tcBorders>
              <w:top w:val="single" w:sz="2" w:space="0" w:color="auto"/>
              <w:left w:val="single" w:sz="2" w:space="0" w:color="auto"/>
              <w:bottom w:val="single" w:sz="2" w:space="0" w:color="auto"/>
              <w:right w:val="single" w:sz="2" w:space="0" w:color="auto"/>
            </w:tcBorders>
            <w:vAlign w:val="center"/>
          </w:tcPr>
          <w:p w14:paraId="7AA32D2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高管锁定股</w:t>
            </w:r>
          </w:p>
        </w:tc>
        <w:tc>
          <w:tcPr>
            <w:tcW w:w="1559" w:type="dxa"/>
            <w:tcBorders>
              <w:top w:val="single" w:sz="2" w:space="0" w:color="auto"/>
              <w:left w:val="single" w:sz="2" w:space="0" w:color="auto"/>
              <w:bottom w:val="single" w:sz="2" w:space="0" w:color="auto"/>
              <w:right w:val="single" w:sz="2" w:space="0" w:color="auto"/>
            </w:tcBorders>
            <w:vAlign w:val="center"/>
          </w:tcPr>
          <w:p w14:paraId="6107CFF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按高管锁定股规则执行</w:t>
            </w:r>
          </w:p>
        </w:tc>
      </w:tr>
      <w:tr w:rsidR="00E32FE0" w:rsidRPr="005B5EC1" w14:paraId="39F943B3" w14:textId="77777777" w:rsidTr="0032495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508997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75F48CB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2,047,500</w:t>
            </w:r>
          </w:p>
        </w:tc>
        <w:tc>
          <w:tcPr>
            <w:tcW w:w="1377" w:type="dxa"/>
            <w:tcBorders>
              <w:top w:val="single" w:sz="2" w:space="0" w:color="auto"/>
              <w:left w:val="single" w:sz="2" w:space="0" w:color="auto"/>
              <w:bottom w:val="single" w:sz="2" w:space="0" w:color="auto"/>
              <w:right w:val="single" w:sz="2" w:space="0" w:color="auto"/>
            </w:tcBorders>
            <w:vAlign w:val="center"/>
          </w:tcPr>
          <w:p w14:paraId="41C87AC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431A82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14:paraId="6B1E84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2,047,500</w:t>
            </w:r>
          </w:p>
        </w:tc>
        <w:tc>
          <w:tcPr>
            <w:tcW w:w="1195" w:type="dxa"/>
            <w:tcBorders>
              <w:top w:val="single" w:sz="2" w:space="0" w:color="auto"/>
              <w:left w:val="single" w:sz="2" w:space="0" w:color="auto"/>
              <w:bottom w:val="single" w:sz="2" w:space="0" w:color="auto"/>
              <w:right w:val="single" w:sz="2" w:space="0" w:color="auto"/>
            </w:tcBorders>
            <w:shd w:val="clear" w:color="auto" w:fill="D3D3D3"/>
            <w:vAlign w:val="center"/>
          </w:tcPr>
          <w:p w14:paraId="0CD32B5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1C31B4F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bl>
    <w:p w14:paraId="2AA6F22F"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33" w:name="_Toc989022"/>
      <w:r w:rsidRPr="005B5EC1">
        <w:rPr>
          <w:rFonts w:ascii="Times New Roman" w:eastAsia="宋体" w:hAnsi="Times New Roman" w:cs="Times New Roman"/>
          <w:b/>
          <w:bCs/>
          <w:sz w:val="24"/>
          <w:szCs w:val="24"/>
        </w:rPr>
        <w:t>二、证券发行与上市情况</w:t>
      </w:r>
      <w:bookmarkEnd w:id="133"/>
    </w:p>
    <w:p w14:paraId="61A5CBD7" w14:textId="77777777" w:rsidR="00E32FE0" w:rsidRPr="005B5EC1" w:rsidRDefault="00000000">
      <w:pPr>
        <w:pStyle w:val="3"/>
        <w:spacing w:line="280" w:lineRule="exact"/>
        <w:jc w:val="left"/>
        <w:rPr>
          <w:rFonts w:ascii="Times New Roman" w:hAnsi="Times New Roman" w:cs="Times New Roman"/>
          <w:b/>
          <w:bCs/>
        </w:rPr>
      </w:pPr>
      <w:bookmarkStart w:id="134" w:name="_Toc989023"/>
      <w:r w:rsidRPr="005B5EC1">
        <w:rPr>
          <w:rFonts w:ascii="Times New Roman" w:hAnsi="Times New Roman" w:cs="Times New Roman"/>
          <w:b/>
          <w:bCs/>
        </w:rPr>
        <w:t>1</w:t>
      </w:r>
      <w:r w:rsidRPr="005B5EC1">
        <w:rPr>
          <w:rFonts w:ascii="Times New Roman" w:hAnsi="Times New Roman" w:cs="Times New Roman"/>
          <w:b/>
          <w:bCs/>
        </w:rPr>
        <w:t>、报告期内证券发行（不含优先股）情况</w:t>
      </w:r>
      <w:bookmarkEnd w:id="134"/>
    </w:p>
    <w:p w14:paraId="3089DDF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415CF16" w14:textId="77777777" w:rsidR="00E32FE0" w:rsidRPr="005B5EC1" w:rsidRDefault="00000000">
      <w:pPr>
        <w:pStyle w:val="3"/>
        <w:spacing w:line="280" w:lineRule="exact"/>
        <w:jc w:val="left"/>
        <w:rPr>
          <w:rFonts w:ascii="Times New Roman" w:hAnsi="Times New Roman" w:cs="Times New Roman"/>
          <w:b/>
          <w:bCs/>
        </w:rPr>
      </w:pPr>
      <w:bookmarkStart w:id="135" w:name="_Toc989024"/>
      <w:r w:rsidRPr="005B5EC1">
        <w:rPr>
          <w:rFonts w:ascii="Times New Roman" w:hAnsi="Times New Roman" w:cs="Times New Roman"/>
          <w:b/>
          <w:bCs/>
        </w:rPr>
        <w:t>2</w:t>
      </w:r>
      <w:r w:rsidRPr="005B5EC1">
        <w:rPr>
          <w:rFonts w:ascii="Times New Roman" w:hAnsi="Times New Roman" w:cs="Times New Roman"/>
          <w:b/>
          <w:bCs/>
        </w:rPr>
        <w:t>、公司股份总数及股东结构的变动、公司资产和负债结构的变动情况说明</w:t>
      </w:r>
      <w:bookmarkEnd w:id="135"/>
    </w:p>
    <w:p w14:paraId="43B63DD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416FE39C" w14:textId="5134E556" w:rsidR="00AF139E" w:rsidRPr="005B5EC1" w:rsidRDefault="00000000" w:rsidP="00324955">
      <w:pPr>
        <w:pStyle w:val="a3"/>
        <w:spacing w:before="0" w:beforeAutospacing="0" w:after="0" w:afterAutospacing="0" w:line="276" w:lineRule="auto"/>
        <w:ind w:firstLineChars="200" w:firstLine="360"/>
        <w:jc w:val="both"/>
        <w:divId w:val="1914123698"/>
        <w:rPr>
          <w:rFonts w:ascii="Times New Roman" w:hAnsi="Times New Roman" w:cs="Times New Roman"/>
          <w:sz w:val="18"/>
          <w:szCs w:val="18"/>
        </w:rPr>
      </w:pPr>
      <w:r w:rsidRPr="005B5EC1">
        <w:rPr>
          <w:rFonts w:ascii="Times New Roman" w:hAnsi="Times New Roman" w:cs="Times New Roman"/>
          <w:sz w:val="18"/>
          <w:szCs w:val="18"/>
        </w:rPr>
        <w:t>经中国证券监督管理委员会</w:t>
      </w:r>
      <w:r w:rsidRPr="005B5EC1">
        <w:rPr>
          <w:rFonts w:ascii="Times New Roman" w:hAnsi="Times New Roman" w:cs="Times New Roman"/>
          <w:sz w:val="18"/>
          <w:szCs w:val="18"/>
        </w:rPr>
        <w:t>“</w:t>
      </w:r>
      <w:r w:rsidRPr="005B5EC1">
        <w:rPr>
          <w:rFonts w:ascii="Times New Roman" w:hAnsi="Times New Roman" w:cs="Times New Roman"/>
          <w:sz w:val="18"/>
          <w:szCs w:val="18"/>
        </w:rPr>
        <w:t>证监许可</w:t>
      </w:r>
      <w:r w:rsidRPr="005B5EC1">
        <w:rPr>
          <w:rFonts w:ascii="Times New Roman" w:hAnsi="Times New Roman" w:cs="Times New Roman"/>
          <w:sz w:val="18"/>
          <w:szCs w:val="18"/>
        </w:rPr>
        <w:t>[2020]1077</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核准，公司于</w:t>
      </w:r>
      <w:r w:rsidRPr="005B5EC1">
        <w:rPr>
          <w:rFonts w:ascii="Times New Roman" w:hAnsi="Times New Roman" w:cs="Times New Roman"/>
          <w:sz w:val="18"/>
          <w:szCs w:val="18"/>
        </w:rPr>
        <w:t>2020</w:t>
      </w:r>
      <w:r w:rsidRPr="005B5EC1">
        <w:rPr>
          <w:rFonts w:ascii="Times New Roman" w:hAnsi="Times New Roman" w:cs="Times New Roman"/>
          <w:sz w:val="18"/>
          <w:szCs w:val="18"/>
        </w:rPr>
        <w:t>年</w:t>
      </w:r>
      <w:r w:rsidRPr="005B5EC1">
        <w:rPr>
          <w:rFonts w:ascii="Times New Roman" w:hAnsi="Times New Roman" w:cs="Times New Roman"/>
          <w:sz w:val="18"/>
          <w:szCs w:val="18"/>
        </w:rPr>
        <w:t>7</w:t>
      </w:r>
      <w:r w:rsidRPr="005B5EC1">
        <w:rPr>
          <w:rFonts w:ascii="Times New Roman" w:hAnsi="Times New Roman" w:cs="Times New Roman"/>
          <w:sz w:val="18"/>
          <w:szCs w:val="18"/>
        </w:rPr>
        <w:t>月</w:t>
      </w:r>
      <w:r w:rsidRPr="005B5EC1">
        <w:rPr>
          <w:rFonts w:ascii="Times New Roman" w:hAnsi="Times New Roman" w:cs="Times New Roman"/>
          <w:sz w:val="18"/>
          <w:szCs w:val="18"/>
        </w:rPr>
        <w:t>13</w:t>
      </w:r>
      <w:r w:rsidRPr="005B5EC1">
        <w:rPr>
          <w:rFonts w:ascii="Times New Roman" w:hAnsi="Times New Roman" w:cs="Times New Roman"/>
          <w:sz w:val="18"/>
          <w:szCs w:val="18"/>
        </w:rPr>
        <w:t>日公开发行了</w:t>
      </w:r>
      <w:r w:rsidRPr="005B5EC1">
        <w:rPr>
          <w:rFonts w:ascii="Times New Roman" w:hAnsi="Times New Roman" w:cs="Times New Roman"/>
          <w:sz w:val="18"/>
          <w:szCs w:val="18"/>
        </w:rPr>
        <w:t>950</w:t>
      </w:r>
      <w:r w:rsidRPr="005B5EC1">
        <w:rPr>
          <w:rFonts w:ascii="Times New Roman" w:hAnsi="Times New Roman" w:cs="Times New Roman"/>
          <w:sz w:val="18"/>
          <w:szCs w:val="18"/>
        </w:rPr>
        <w:t>万张可转换公司债券，每张面值</w:t>
      </w:r>
      <w:r w:rsidRPr="005B5EC1">
        <w:rPr>
          <w:rFonts w:ascii="Times New Roman" w:hAnsi="Times New Roman" w:cs="Times New Roman"/>
          <w:sz w:val="18"/>
          <w:szCs w:val="18"/>
        </w:rPr>
        <w:t>100</w:t>
      </w:r>
      <w:r w:rsidRPr="005B5EC1">
        <w:rPr>
          <w:rFonts w:ascii="Times New Roman" w:hAnsi="Times New Roman" w:cs="Times New Roman"/>
          <w:sz w:val="18"/>
          <w:szCs w:val="18"/>
        </w:rPr>
        <w:t>元，发行总额</w:t>
      </w:r>
      <w:r w:rsidRPr="005B5EC1">
        <w:rPr>
          <w:rFonts w:ascii="Times New Roman" w:hAnsi="Times New Roman" w:cs="Times New Roman"/>
          <w:sz w:val="18"/>
          <w:szCs w:val="18"/>
        </w:rPr>
        <w:t xml:space="preserve"> 95,000.00</w:t>
      </w:r>
      <w:r w:rsidRPr="005B5EC1">
        <w:rPr>
          <w:rFonts w:ascii="Times New Roman" w:hAnsi="Times New Roman" w:cs="Times New Roman"/>
          <w:sz w:val="18"/>
          <w:szCs w:val="18"/>
        </w:rPr>
        <w:t>万元。并于</w:t>
      </w:r>
      <w:r w:rsidRPr="005B5EC1">
        <w:rPr>
          <w:rFonts w:ascii="Times New Roman" w:hAnsi="Times New Roman" w:cs="Times New Roman"/>
          <w:sz w:val="18"/>
          <w:szCs w:val="18"/>
        </w:rPr>
        <w:t>2020</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7</w:t>
      </w:r>
      <w:r w:rsidRPr="005B5EC1">
        <w:rPr>
          <w:rFonts w:ascii="Times New Roman" w:hAnsi="Times New Roman" w:cs="Times New Roman"/>
          <w:sz w:val="18"/>
          <w:szCs w:val="18"/>
        </w:rPr>
        <w:t>日起在深交所挂牌交易，债券简称</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，债券代码</w:t>
      </w:r>
      <w:r w:rsidRPr="005B5EC1">
        <w:rPr>
          <w:rFonts w:ascii="Times New Roman" w:hAnsi="Times New Roman" w:cs="Times New Roman"/>
          <w:sz w:val="18"/>
          <w:szCs w:val="18"/>
        </w:rPr>
        <w:t>“128119.SZ”</w:t>
      </w:r>
      <w:r w:rsidRPr="005B5EC1">
        <w:rPr>
          <w:rFonts w:ascii="Times New Roman" w:hAnsi="Times New Roman" w:cs="Times New Roman"/>
          <w:sz w:val="18"/>
          <w:szCs w:val="18"/>
        </w:rPr>
        <w:t>。根据《深圳证券交易所股票上市规则》等相关规定和《山东龙大肉食品股份有限公司公开发行</w:t>
      </w:r>
      <w:r w:rsidRPr="005B5EC1">
        <w:rPr>
          <w:rFonts w:ascii="Times New Roman" w:hAnsi="Times New Roman" w:cs="Times New Roman"/>
          <w:sz w:val="18"/>
          <w:szCs w:val="18"/>
        </w:rPr>
        <w:t>A</w:t>
      </w:r>
      <w:r w:rsidRPr="005B5EC1">
        <w:rPr>
          <w:rFonts w:ascii="Times New Roman" w:hAnsi="Times New Roman" w:cs="Times New Roman"/>
          <w:sz w:val="18"/>
          <w:szCs w:val="18"/>
        </w:rPr>
        <w:t>股可转换公司债券募集说明书》的约定，公司本次发行的</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自</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1</w:t>
      </w:r>
      <w:r w:rsidRPr="005B5EC1">
        <w:rPr>
          <w:rFonts w:ascii="Times New Roman" w:hAnsi="Times New Roman" w:cs="Times New Roman"/>
          <w:sz w:val="18"/>
          <w:szCs w:val="18"/>
        </w:rPr>
        <w:t>月</w:t>
      </w:r>
      <w:r w:rsidRPr="005B5EC1">
        <w:rPr>
          <w:rFonts w:ascii="Times New Roman" w:hAnsi="Times New Roman" w:cs="Times New Roman"/>
          <w:sz w:val="18"/>
          <w:szCs w:val="18"/>
        </w:rPr>
        <w:t>18</w:t>
      </w:r>
      <w:r w:rsidRPr="005B5EC1">
        <w:rPr>
          <w:rFonts w:ascii="Times New Roman" w:hAnsi="Times New Roman" w:cs="Times New Roman"/>
          <w:sz w:val="18"/>
          <w:szCs w:val="18"/>
        </w:rPr>
        <w:t>日起可转换为公司股份。报告期内，累计转股数量为</w:t>
      </w:r>
      <w:r w:rsidRPr="005B5EC1">
        <w:rPr>
          <w:rFonts w:ascii="Times New Roman" w:hAnsi="Times New Roman" w:cs="Times New Roman"/>
          <w:sz w:val="18"/>
          <w:szCs w:val="18"/>
        </w:rPr>
        <w:t>429</w:t>
      </w:r>
      <w:r w:rsidRPr="005B5EC1">
        <w:rPr>
          <w:rFonts w:ascii="Times New Roman" w:hAnsi="Times New Roman" w:cs="Times New Roman"/>
          <w:sz w:val="18"/>
          <w:szCs w:val="18"/>
        </w:rPr>
        <w:t>股。</w:t>
      </w:r>
    </w:p>
    <w:p w14:paraId="7C7BA478" w14:textId="77777777" w:rsidR="00E32FE0" w:rsidRPr="005B5EC1" w:rsidRDefault="00000000">
      <w:pPr>
        <w:pStyle w:val="3"/>
        <w:spacing w:line="280" w:lineRule="exact"/>
        <w:jc w:val="left"/>
        <w:rPr>
          <w:rFonts w:ascii="Times New Roman" w:hAnsi="Times New Roman" w:cs="Times New Roman"/>
          <w:b/>
          <w:bCs/>
        </w:rPr>
      </w:pPr>
      <w:bookmarkStart w:id="136" w:name="_Toc989025"/>
      <w:r w:rsidRPr="005B5EC1">
        <w:rPr>
          <w:rFonts w:ascii="Times New Roman" w:hAnsi="Times New Roman" w:cs="Times New Roman"/>
          <w:b/>
          <w:bCs/>
        </w:rPr>
        <w:t>3</w:t>
      </w:r>
      <w:r w:rsidRPr="005B5EC1">
        <w:rPr>
          <w:rFonts w:ascii="Times New Roman" w:hAnsi="Times New Roman" w:cs="Times New Roman"/>
          <w:b/>
          <w:bCs/>
        </w:rPr>
        <w:t>、现存的内部职工股情况</w:t>
      </w:r>
      <w:bookmarkEnd w:id="136"/>
    </w:p>
    <w:p w14:paraId="2E6196C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0E1AAC0"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37" w:name="_Toc989026"/>
      <w:r w:rsidRPr="005B5EC1">
        <w:rPr>
          <w:rFonts w:ascii="Times New Roman" w:eastAsia="宋体" w:hAnsi="Times New Roman" w:cs="Times New Roman"/>
          <w:b/>
          <w:bCs/>
          <w:sz w:val="24"/>
          <w:szCs w:val="24"/>
        </w:rPr>
        <w:lastRenderedPageBreak/>
        <w:t>三、股东和实际控制人情况</w:t>
      </w:r>
      <w:bookmarkEnd w:id="137"/>
    </w:p>
    <w:p w14:paraId="1C6087E1" w14:textId="77777777" w:rsidR="00E32FE0" w:rsidRPr="005B5EC1" w:rsidRDefault="00000000">
      <w:pPr>
        <w:pStyle w:val="3"/>
        <w:spacing w:line="280" w:lineRule="exact"/>
        <w:jc w:val="left"/>
        <w:rPr>
          <w:rFonts w:ascii="Times New Roman" w:hAnsi="Times New Roman" w:cs="Times New Roman"/>
          <w:b/>
          <w:bCs/>
        </w:rPr>
      </w:pPr>
      <w:bookmarkStart w:id="138" w:name="_Toc989027"/>
      <w:r w:rsidRPr="005B5EC1">
        <w:rPr>
          <w:rFonts w:ascii="Times New Roman" w:hAnsi="Times New Roman" w:cs="Times New Roman"/>
          <w:b/>
          <w:bCs/>
        </w:rPr>
        <w:t>1</w:t>
      </w:r>
      <w:r w:rsidRPr="005B5EC1">
        <w:rPr>
          <w:rFonts w:ascii="Times New Roman" w:hAnsi="Times New Roman" w:cs="Times New Roman"/>
          <w:b/>
          <w:bCs/>
        </w:rPr>
        <w:t>、公司股东数量及持股情况</w:t>
      </w:r>
      <w:bookmarkEnd w:id="138"/>
    </w:p>
    <w:p w14:paraId="3E498D98"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单位：股</w:t>
      </w:r>
    </w:p>
    <w:tbl>
      <w:tblPr>
        <w:tblW w:w="983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264"/>
        <w:gridCol w:w="1386"/>
        <w:gridCol w:w="992"/>
        <w:gridCol w:w="1134"/>
        <w:gridCol w:w="992"/>
        <w:gridCol w:w="567"/>
        <w:gridCol w:w="1134"/>
        <w:gridCol w:w="1292"/>
        <w:gridCol w:w="1071"/>
      </w:tblGrid>
      <w:tr w:rsidR="00E32FE0" w:rsidRPr="005B5EC1" w14:paraId="6D4CC13A"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shd w:val="clear" w:color="auto" w:fill="D3D3D3"/>
            <w:vAlign w:val="center"/>
          </w:tcPr>
          <w:p w14:paraId="26C9C54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报告期末普通股股东总数</w:t>
            </w:r>
          </w:p>
        </w:tc>
        <w:tc>
          <w:tcPr>
            <w:tcW w:w="1386" w:type="dxa"/>
            <w:tcBorders>
              <w:top w:val="single" w:sz="2" w:space="0" w:color="auto"/>
              <w:left w:val="single" w:sz="2" w:space="0" w:color="auto"/>
              <w:bottom w:val="single" w:sz="2" w:space="0" w:color="auto"/>
              <w:right w:val="single" w:sz="2" w:space="0" w:color="auto"/>
            </w:tcBorders>
            <w:vAlign w:val="center"/>
          </w:tcPr>
          <w:p w14:paraId="25A306F2"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28,923</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A4E41EF" w14:textId="77777777" w:rsidR="00E32FE0" w:rsidRPr="005B5EC1" w:rsidRDefault="00000000" w:rsidP="00324955">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年度报告披露日前上一月末普通股股东总数</w:t>
            </w:r>
          </w:p>
        </w:tc>
        <w:tc>
          <w:tcPr>
            <w:tcW w:w="1134" w:type="dxa"/>
            <w:tcBorders>
              <w:top w:val="single" w:sz="2" w:space="0" w:color="auto"/>
              <w:left w:val="single" w:sz="2" w:space="0" w:color="auto"/>
              <w:bottom w:val="single" w:sz="2" w:space="0" w:color="auto"/>
              <w:right w:val="single" w:sz="2" w:space="0" w:color="auto"/>
            </w:tcBorders>
            <w:vAlign w:val="center"/>
          </w:tcPr>
          <w:p w14:paraId="27446DBB"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31,120</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73254D0" w14:textId="77777777" w:rsidR="00E32FE0" w:rsidRPr="005B5EC1" w:rsidRDefault="00000000" w:rsidP="00324955">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报告期末表决权恢复的优先股股东总数（如有）（参见注</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w:t>
            </w:r>
          </w:p>
        </w:tc>
        <w:tc>
          <w:tcPr>
            <w:tcW w:w="567" w:type="dxa"/>
            <w:tcBorders>
              <w:top w:val="single" w:sz="2" w:space="0" w:color="auto"/>
              <w:left w:val="single" w:sz="2" w:space="0" w:color="auto"/>
              <w:bottom w:val="single" w:sz="2" w:space="0" w:color="auto"/>
              <w:right w:val="single" w:sz="2" w:space="0" w:color="auto"/>
            </w:tcBorders>
            <w:vAlign w:val="center"/>
          </w:tcPr>
          <w:p w14:paraId="30EC53AE"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24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55302D0" w14:textId="77777777" w:rsidR="00E32FE0" w:rsidRPr="005B5EC1" w:rsidRDefault="00000000" w:rsidP="00324955">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年度报告披露日前上一月末表决权恢复的优先股股东总数（如有）（参见注</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w:t>
            </w:r>
          </w:p>
        </w:tc>
        <w:tc>
          <w:tcPr>
            <w:tcW w:w="1071" w:type="dxa"/>
            <w:tcBorders>
              <w:top w:val="single" w:sz="2" w:space="0" w:color="auto"/>
              <w:left w:val="single" w:sz="2" w:space="0" w:color="auto"/>
              <w:bottom w:val="single" w:sz="2" w:space="0" w:color="auto"/>
              <w:right w:val="single" w:sz="2" w:space="0" w:color="auto"/>
            </w:tcBorders>
            <w:vAlign w:val="center"/>
          </w:tcPr>
          <w:p w14:paraId="0C9FE625"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21D76998" w14:textId="77777777" w:rsidTr="00324955">
        <w:trPr>
          <w:trHeight w:val="240"/>
          <w:jc w:val="center"/>
        </w:trPr>
        <w:tc>
          <w:tcPr>
            <w:tcW w:w="9832"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349DB93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持股</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以上的股东或前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名股东持股情况（不含通过转融通出借股份）</w:t>
            </w:r>
          </w:p>
        </w:tc>
      </w:tr>
      <w:tr w:rsidR="00E32FE0" w:rsidRPr="005B5EC1" w14:paraId="6E5AA7A9" w14:textId="77777777" w:rsidTr="00F506FC">
        <w:trPr>
          <w:trHeight w:val="240"/>
          <w:jc w:val="center"/>
        </w:trPr>
        <w:tc>
          <w:tcPr>
            <w:tcW w:w="12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FFAB44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股东名称</w:t>
            </w:r>
          </w:p>
        </w:tc>
        <w:tc>
          <w:tcPr>
            <w:tcW w:w="138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E3BDC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股东性质</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F4199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持股比例</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58591D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报告期末持股数量</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38A7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报告期内增减变动情况</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87E641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持有有限售条件的股份数量</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D1AB2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持有无限售条件的股份数量</w:t>
            </w:r>
          </w:p>
        </w:tc>
        <w:tc>
          <w:tcPr>
            <w:tcW w:w="236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DA0D6B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质押、标记或冻结情况</w:t>
            </w:r>
          </w:p>
        </w:tc>
      </w:tr>
      <w:tr w:rsidR="00E32FE0" w:rsidRPr="005B5EC1" w14:paraId="45A0F3A8" w14:textId="77777777" w:rsidTr="00F506FC">
        <w:trPr>
          <w:trHeight w:val="240"/>
          <w:jc w:val="center"/>
        </w:trPr>
        <w:tc>
          <w:tcPr>
            <w:tcW w:w="126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DEF588" w14:textId="77777777" w:rsidR="00E32FE0" w:rsidRPr="005B5EC1" w:rsidRDefault="00E32FE0">
            <w:pPr>
              <w:rPr>
                <w:rFonts w:ascii="Times New Roman" w:hAnsi="Times New Roman" w:cs="Times New Roman"/>
              </w:rPr>
            </w:pPr>
          </w:p>
        </w:tc>
        <w:tc>
          <w:tcPr>
            <w:tcW w:w="138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27E350D" w14:textId="77777777" w:rsidR="00E32FE0" w:rsidRPr="005B5EC1" w:rsidRDefault="00E32FE0">
            <w:pPr>
              <w:rPr>
                <w:rFonts w:ascii="Times New Roman" w:hAnsi="Times New Roman" w:cs="Times New Roman"/>
              </w:rPr>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EC61AF9" w14:textId="77777777" w:rsidR="00E32FE0" w:rsidRPr="005B5EC1" w:rsidRDefault="00E32FE0">
            <w:pPr>
              <w:rPr>
                <w:rFonts w:ascii="Times New Roman"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05A7D6" w14:textId="77777777" w:rsidR="00E32FE0" w:rsidRPr="005B5EC1" w:rsidRDefault="00E32FE0">
            <w:pPr>
              <w:rPr>
                <w:rFonts w:ascii="Times New Roman" w:hAnsi="Times New Roman" w:cs="Times New Roman"/>
              </w:rPr>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1048D5D" w14:textId="77777777" w:rsidR="00E32FE0" w:rsidRPr="005B5EC1" w:rsidRDefault="00E32FE0">
            <w:pPr>
              <w:rPr>
                <w:rFonts w:ascii="Times New Roman" w:hAnsi="Times New Roman" w:cs="Times New Roman"/>
              </w:rPr>
            </w:pPr>
          </w:p>
        </w:tc>
        <w:tc>
          <w:tcPr>
            <w:tcW w:w="56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B013B5" w14:textId="77777777" w:rsidR="00E32FE0" w:rsidRPr="005B5EC1" w:rsidRDefault="00E32FE0">
            <w:pPr>
              <w:rPr>
                <w:rFonts w:ascii="Times New Roman"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F0E863" w14:textId="77777777" w:rsidR="00E32FE0" w:rsidRPr="005B5EC1" w:rsidRDefault="00E32FE0">
            <w:pPr>
              <w:rPr>
                <w:rFonts w:ascii="Times New Roman" w:hAnsi="Times New Roman" w:cs="Times New Roman"/>
              </w:rPr>
            </w:pPr>
          </w:p>
        </w:tc>
        <w:tc>
          <w:tcPr>
            <w:tcW w:w="1292" w:type="dxa"/>
            <w:tcBorders>
              <w:top w:val="single" w:sz="2" w:space="0" w:color="auto"/>
              <w:left w:val="single" w:sz="2" w:space="0" w:color="auto"/>
              <w:bottom w:val="single" w:sz="2" w:space="0" w:color="auto"/>
              <w:right w:val="single" w:sz="2" w:space="0" w:color="auto"/>
            </w:tcBorders>
            <w:shd w:val="clear" w:color="auto" w:fill="D3D3D3"/>
            <w:vAlign w:val="center"/>
          </w:tcPr>
          <w:p w14:paraId="240FEB7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股份状态</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1C820D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数量</w:t>
            </w:r>
          </w:p>
        </w:tc>
      </w:tr>
      <w:tr w:rsidR="00E32FE0" w:rsidRPr="005B5EC1" w14:paraId="5353515F"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4AB0512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6926AFF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0C3A8728"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27.23%</w:t>
            </w:r>
          </w:p>
        </w:tc>
        <w:tc>
          <w:tcPr>
            <w:tcW w:w="1134" w:type="dxa"/>
            <w:tcBorders>
              <w:top w:val="single" w:sz="2" w:space="0" w:color="auto"/>
              <w:left w:val="single" w:sz="2" w:space="0" w:color="auto"/>
              <w:bottom w:val="single" w:sz="2" w:space="0" w:color="auto"/>
              <w:right w:val="single" w:sz="2" w:space="0" w:color="auto"/>
            </w:tcBorders>
            <w:vAlign w:val="center"/>
          </w:tcPr>
          <w:p w14:paraId="3C5FC1E1"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293,885,800</w:t>
            </w:r>
          </w:p>
        </w:tc>
        <w:tc>
          <w:tcPr>
            <w:tcW w:w="992" w:type="dxa"/>
            <w:tcBorders>
              <w:top w:val="single" w:sz="2" w:space="0" w:color="auto"/>
              <w:left w:val="single" w:sz="2" w:space="0" w:color="auto"/>
              <w:bottom w:val="single" w:sz="2" w:space="0" w:color="auto"/>
              <w:right w:val="single" w:sz="2" w:space="0" w:color="auto"/>
            </w:tcBorders>
            <w:vAlign w:val="center"/>
          </w:tcPr>
          <w:p w14:paraId="409D9EFE"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14:paraId="79E95056"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06BBD9D3"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293,885,800</w:t>
            </w:r>
          </w:p>
        </w:tc>
        <w:tc>
          <w:tcPr>
            <w:tcW w:w="1292" w:type="dxa"/>
            <w:tcBorders>
              <w:top w:val="single" w:sz="2" w:space="0" w:color="auto"/>
              <w:left w:val="single" w:sz="2" w:space="0" w:color="auto"/>
              <w:bottom w:val="single" w:sz="2" w:space="0" w:color="auto"/>
              <w:right w:val="single" w:sz="2" w:space="0" w:color="auto"/>
            </w:tcBorders>
            <w:vAlign w:val="center"/>
          </w:tcPr>
          <w:p w14:paraId="6FA01A63"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质押</w:t>
            </w:r>
          </w:p>
        </w:tc>
        <w:tc>
          <w:tcPr>
            <w:tcW w:w="1071" w:type="dxa"/>
            <w:tcBorders>
              <w:top w:val="single" w:sz="2" w:space="0" w:color="auto"/>
              <w:left w:val="single" w:sz="2" w:space="0" w:color="auto"/>
              <w:bottom w:val="single" w:sz="2" w:space="0" w:color="auto"/>
              <w:right w:val="single" w:sz="2" w:space="0" w:color="auto"/>
            </w:tcBorders>
            <w:vAlign w:val="center"/>
          </w:tcPr>
          <w:p w14:paraId="6C2144A5" w14:textId="5316AF94"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119,245,800</w:t>
            </w:r>
          </w:p>
        </w:tc>
      </w:tr>
      <w:tr w:rsidR="00E32FE0" w:rsidRPr="005B5EC1" w14:paraId="6015EB6D"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3E6584D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莱阳银龙投资有限公司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57A662C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2528665A"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7.29%</w:t>
            </w:r>
          </w:p>
        </w:tc>
        <w:tc>
          <w:tcPr>
            <w:tcW w:w="1134" w:type="dxa"/>
            <w:tcBorders>
              <w:top w:val="single" w:sz="2" w:space="0" w:color="auto"/>
              <w:left w:val="single" w:sz="2" w:space="0" w:color="auto"/>
              <w:bottom w:val="single" w:sz="2" w:space="0" w:color="auto"/>
              <w:right w:val="single" w:sz="2" w:space="0" w:color="auto"/>
            </w:tcBorders>
            <w:vAlign w:val="center"/>
          </w:tcPr>
          <w:p w14:paraId="19EB606A"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78,676,000</w:t>
            </w:r>
          </w:p>
        </w:tc>
        <w:tc>
          <w:tcPr>
            <w:tcW w:w="992" w:type="dxa"/>
            <w:tcBorders>
              <w:top w:val="single" w:sz="2" w:space="0" w:color="auto"/>
              <w:left w:val="single" w:sz="2" w:space="0" w:color="auto"/>
              <w:bottom w:val="single" w:sz="2" w:space="0" w:color="auto"/>
              <w:right w:val="single" w:sz="2" w:space="0" w:color="auto"/>
            </w:tcBorders>
            <w:vAlign w:val="center"/>
          </w:tcPr>
          <w:p w14:paraId="75DE948D"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14:paraId="76F5E173"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51D6FF46"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78,676,000</w:t>
            </w:r>
          </w:p>
        </w:tc>
        <w:tc>
          <w:tcPr>
            <w:tcW w:w="1292" w:type="dxa"/>
            <w:tcBorders>
              <w:top w:val="single" w:sz="2" w:space="0" w:color="auto"/>
              <w:left w:val="single" w:sz="2" w:space="0" w:color="auto"/>
              <w:bottom w:val="single" w:sz="2" w:space="0" w:color="auto"/>
              <w:right w:val="single" w:sz="2" w:space="0" w:color="auto"/>
            </w:tcBorders>
            <w:vAlign w:val="center"/>
          </w:tcPr>
          <w:p w14:paraId="400BFC11"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26D1F7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01E74082"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43F58BD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青岛洪亨亚和实业有限公司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3E0194E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5DB998A3"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5.53%</w:t>
            </w:r>
          </w:p>
        </w:tc>
        <w:tc>
          <w:tcPr>
            <w:tcW w:w="1134" w:type="dxa"/>
            <w:tcBorders>
              <w:top w:val="single" w:sz="2" w:space="0" w:color="auto"/>
              <w:left w:val="single" w:sz="2" w:space="0" w:color="auto"/>
              <w:bottom w:val="single" w:sz="2" w:space="0" w:color="auto"/>
              <w:right w:val="single" w:sz="2" w:space="0" w:color="auto"/>
            </w:tcBorders>
            <w:vAlign w:val="center"/>
          </w:tcPr>
          <w:p w14:paraId="34218CB1"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59,714,200</w:t>
            </w:r>
          </w:p>
        </w:tc>
        <w:tc>
          <w:tcPr>
            <w:tcW w:w="992" w:type="dxa"/>
            <w:tcBorders>
              <w:top w:val="single" w:sz="2" w:space="0" w:color="auto"/>
              <w:left w:val="single" w:sz="2" w:space="0" w:color="auto"/>
              <w:bottom w:val="single" w:sz="2" w:space="0" w:color="auto"/>
              <w:right w:val="single" w:sz="2" w:space="0" w:color="auto"/>
            </w:tcBorders>
            <w:vAlign w:val="center"/>
          </w:tcPr>
          <w:p w14:paraId="061F3639"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14:paraId="766FECF7"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3EE2ABC7"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59,714,200</w:t>
            </w:r>
          </w:p>
        </w:tc>
        <w:tc>
          <w:tcPr>
            <w:tcW w:w="1292" w:type="dxa"/>
            <w:tcBorders>
              <w:top w:val="single" w:sz="2" w:space="0" w:color="auto"/>
              <w:left w:val="single" w:sz="2" w:space="0" w:color="auto"/>
              <w:bottom w:val="single" w:sz="2" w:space="0" w:color="auto"/>
              <w:right w:val="single" w:sz="2" w:space="0" w:color="auto"/>
            </w:tcBorders>
            <w:vAlign w:val="center"/>
          </w:tcPr>
          <w:p w14:paraId="18E4C870"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1BEA2D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3DAA022F"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1FA27BF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深圳市钜珲实业有限公司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377A8A2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7313A9D9"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3.83%</w:t>
            </w:r>
          </w:p>
        </w:tc>
        <w:tc>
          <w:tcPr>
            <w:tcW w:w="1134" w:type="dxa"/>
            <w:tcBorders>
              <w:top w:val="single" w:sz="2" w:space="0" w:color="auto"/>
              <w:left w:val="single" w:sz="2" w:space="0" w:color="auto"/>
              <w:bottom w:val="single" w:sz="2" w:space="0" w:color="auto"/>
              <w:right w:val="single" w:sz="2" w:space="0" w:color="auto"/>
            </w:tcBorders>
            <w:vAlign w:val="center"/>
          </w:tcPr>
          <w:p w14:paraId="5467F14D"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41,307,484</w:t>
            </w:r>
          </w:p>
        </w:tc>
        <w:tc>
          <w:tcPr>
            <w:tcW w:w="992" w:type="dxa"/>
            <w:tcBorders>
              <w:top w:val="single" w:sz="2" w:space="0" w:color="auto"/>
              <w:left w:val="single" w:sz="2" w:space="0" w:color="auto"/>
              <w:bottom w:val="single" w:sz="2" w:space="0" w:color="auto"/>
              <w:right w:val="single" w:sz="2" w:space="0" w:color="auto"/>
            </w:tcBorders>
            <w:vAlign w:val="center"/>
          </w:tcPr>
          <w:p w14:paraId="32A10066"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41,307,484</w:t>
            </w:r>
          </w:p>
        </w:tc>
        <w:tc>
          <w:tcPr>
            <w:tcW w:w="567" w:type="dxa"/>
            <w:tcBorders>
              <w:top w:val="single" w:sz="2" w:space="0" w:color="auto"/>
              <w:left w:val="single" w:sz="2" w:space="0" w:color="auto"/>
              <w:bottom w:val="single" w:sz="2" w:space="0" w:color="auto"/>
              <w:right w:val="single" w:sz="2" w:space="0" w:color="auto"/>
            </w:tcBorders>
            <w:vAlign w:val="center"/>
          </w:tcPr>
          <w:p w14:paraId="65991255"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3C613972"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41,307,484</w:t>
            </w:r>
          </w:p>
        </w:tc>
        <w:tc>
          <w:tcPr>
            <w:tcW w:w="1292" w:type="dxa"/>
            <w:tcBorders>
              <w:top w:val="single" w:sz="2" w:space="0" w:color="auto"/>
              <w:left w:val="single" w:sz="2" w:space="0" w:color="auto"/>
              <w:bottom w:val="single" w:sz="2" w:space="0" w:color="auto"/>
              <w:right w:val="single" w:sz="2" w:space="0" w:color="auto"/>
            </w:tcBorders>
            <w:vAlign w:val="center"/>
          </w:tcPr>
          <w:p w14:paraId="78E599D6"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1B4B95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5F942C75"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3E228C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银河德睿资本管理有限公司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4E77085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4788BD63"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3.43%</w:t>
            </w:r>
          </w:p>
        </w:tc>
        <w:tc>
          <w:tcPr>
            <w:tcW w:w="1134" w:type="dxa"/>
            <w:tcBorders>
              <w:top w:val="single" w:sz="2" w:space="0" w:color="auto"/>
              <w:left w:val="single" w:sz="2" w:space="0" w:color="auto"/>
              <w:bottom w:val="single" w:sz="2" w:space="0" w:color="auto"/>
              <w:right w:val="single" w:sz="2" w:space="0" w:color="auto"/>
            </w:tcBorders>
            <w:vAlign w:val="center"/>
          </w:tcPr>
          <w:p w14:paraId="63D6647E"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37,028,135</w:t>
            </w:r>
          </w:p>
        </w:tc>
        <w:tc>
          <w:tcPr>
            <w:tcW w:w="992" w:type="dxa"/>
            <w:tcBorders>
              <w:top w:val="single" w:sz="2" w:space="0" w:color="auto"/>
              <w:left w:val="single" w:sz="2" w:space="0" w:color="auto"/>
              <w:bottom w:val="single" w:sz="2" w:space="0" w:color="auto"/>
              <w:right w:val="single" w:sz="2" w:space="0" w:color="auto"/>
            </w:tcBorders>
            <w:vAlign w:val="center"/>
          </w:tcPr>
          <w:p w14:paraId="32DA1456"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214,830</w:t>
            </w:r>
          </w:p>
        </w:tc>
        <w:tc>
          <w:tcPr>
            <w:tcW w:w="567" w:type="dxa"/>
            <w:tcBorders>
              <w:top w:val="single" w:sz="2" w:space="0" w:color="auto"/>
              <w:left w:val="single" w:sz="2" w:space="0" w:color="auto"/>
              <w:bottom w:val="single" w:sz="2" w:space="0" w:color="auto"/>
              <w:right w:val="single" w:sz="2" w:space="0" w:color="auto"/>
            </w:tcBorders>
            <w:vAlign w:val="center"/>
          </w:tcPr>
          <w:p w14:paraId="734AE38F"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1B08C742"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37,028,135</w:t>
            </w:r>
          </w:p>
        </w:tc>
        <w:tc>
          <w:tcPr>
            <w:tcW w:w="1292" w:type="dxa"/>
            <w:tcBorders>
              <w:top w:val="single" w:sz="2" w:space="0" w:color="auto"/>
              <w:left w:val="single" w:sz="2" w:space="0" w:color="auto"/>
              <w:bottom w:val="single" w:sz="2" w:space="0" w:color="auto"/>
              <w:right w:val="single" w:sz="2" w:space="0" w:color="auto"/>
            </w:tcBorders>
            <w:vAlign w:val="center"/>
          </w:tcPr>
          <w:p w14:paraId="3AD0EE71"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7C5839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36FE1764"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527A686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晟弘资产管理（珠海）有限公司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3D03565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44130551"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2.72%</w:t>
            </w:r>
          </w:p>
        </w:tc>
        <w:tc>
          <w:tcPr>
            <w:tcW w:w="1134" w:type="dxa"/>
            <w:tcBorders>
              <w:top w:val="single" w:sz="2" w:space="0" w:color="auto"/>
              <w:left w:val="single" w:sz="2" w:space="0" w:color="auto"/>
              <w:bottom w:val="single" w:sz="2" w:space="0" w:color="auto"/>
              <w:right w:val="single" w:sz="2" w:space="0" w:color="auto"/>
            </w:tcBorders>
            <w:vAlign w:val="center"/>
          </w:tcPr>
          <w:p w14:paraId="28BFCE7E"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29,376,135</w:t>
            </w:r>
          </w:p>
        </w:tc>
        <w:tc>
          <w:tcPr>
            <w:tcW w:w="992" w:type="dxa"/>
            <w:tcBorders>
              <w:top w:val="single" w:sz="2" w:space="0" w:color="auto"/>
              <w:left w:val="single" w:sz="2" w:space="0" w:color="auto"/>
              <w:bottom w:val="single" w:sz="2" w:space="0" w:color="auto"/>
              <w:right w:val="single" w:sz="2" w:space="0" w:color="auto"/>
            </w:tcBorders>
            <w:vAlign w:val="center"/>
          </w:tcPr>
          <w:p w14:paraId="616177FC"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14:paraId="7344F1EF"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3702538A"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29,376,135</w:t>
            </w:r>
          </w:p>
        </w:tc>
        <w:tc>
          <w:tcPr>
            <w:tcW w:w="1292" w:type="dxa"/>
            <w:tcBorders>
              <w:top w:val="single" w:sz="2" w:space="0" w:color="auto"/>
              <w:left w:val="single" w:sz="2" w:space="0" w:color="auto"/>
              <w:bottom w:val="single" w:sz="2" w:space="0" w:color="auto"/>
              <w:right w:val="single" w:sz="2" w:space="0" w:color="auto"/>
            </w:tcBorders>
            <w:vAlign w:val="center"/>
          </w:tcPr>
          <w:p w14:paraId="6F4B9665"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41D5828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57F9CC3E"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4CD42BB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上海鼎译智能科技有限公司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029D39B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64BCB49D"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1.84%</w:t>
            </w:r>
          </w:p>
        </w:tc>
        <w:tc>
          <w:tcPr>
            <w:tcW w:w="1134" w:type="dxa"/>
            <w:tcBorders>
              <w:top w:val="single" w:sz="2" w:space="0" w:color="auto"/>
              <w:left w:val="single" w:sz="2" w:space="0" w:color="auto"/>
              <w:bottom w:val="single" w:sz="2" w:space="0" w:color="auto"/>
              <w:right w:val="single" w:sz="2" w:space="0" w:color="auto"/>
            </w:tcBorders>
            <w:vAlign w:val="center"/>
          </w:tcPr>
          <w:p w14:paraId="3669EAA4"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19,822,971</w:t>
            </w:r>
          </w:p>
        </w:tc>
        <w:tc>
          <w:tcPr>
            <w:tcW w:w="992" w:type="dxa"/>
            <w:tcBorders>
              <w:top w:val="single" w:sz="2" w:space="0" w:color="auto"/>
              <w:left w:val="single" w:sz="2" w:space="0" w:color="auto"/>
              <w:bottom w:val="single" w:sz="2" w:space="0" w:color="auto"/>
              <w:right w:val="single" w:sz="2" w:space="0" w:color="auto"/>
            </w:tcBorders>
            <w:vAlign w:val="center"/>
          </w:tcPr>
          <w:p w14:paraId="185B6CDF"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-1,293,200</w:t>
            </w:r>
          </w:p>
        </w:tc>
        <w:tc>
          <w:tcPr>
            <w:tcW w:w="567" w:type="dxa"/>
            <w:tcBorders>
              <w:top w:val="single" w:sz="2" w:space="0" w:color="auto"/>
              <w:left w:val="single" w:sz="2" w:space="0" w:color="auto"/>
              <w:bottom w:val="single" w:sz="2" w:space="0" w:color="auto"/>
              <w:right w:val="single" w:sz="2" w:space="0" w:color="auto"/>
            </w:tcBorders>
            <w:vAlign w:val="center"/>
          </w:tcPr>
          <w:p w14:paraId="066C71F2"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095BF69B"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19,822,971</w:t>
            </w:r>
          </w:p>
        </w:tc>
        <w:tc>
          <w:tcPr>
            <w:tcW w:w="1292" w:type="dxa"/>
            <w:tcBorders>
              <w:top w:val="single" w:sz="2" w:space="0" w:color="auto"/>
              <w:left w:val="single" w:sz="2" w:space="0" w:color="auto"/>
              <w:bottom w:val="single" w:sz="2" w:space="0" w:color="auto"/>
              <w:right w:val="single" w:sz="2" w:space="0" w:color="auto"/>
            </w:tcBorders>
            <w:vAlign w:val="center"/>
          </w:tcPr>
          <w:p w14:paraId="281059CC"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1651B7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6F8EA985"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251D547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广州森控实业有限公司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713D5EC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5A6A9997"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w:t>
            </w:r>
          </w:p>
        </w:tc>
        <w:tc>
          <w:tcPr>
            <w:tcW w:w="1134" w:type="dxa"/>
            <w:tcBorders>
              <w:top w:val="single" w:sz="2" w:space="0" w:color="auto"/>
              <w:left w:val="single" w:sz="2" w:space="0" w:color="auto"/>
              <w:bottom w:val="single" w:sz="2" w:space="0" w:color="auto"/>
              <w:right w:val="single" w:sz="2" w:space="0" w:color="auto"/>
            </w:tcBorders>
            <w:vAlign w:val="center"/>
          </w:tcPr>
          <w:p w14:paraId="46931BD5"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18,747,390</w:t>
            </w:r>
          </w:p>
        </w:tc>
        <w:tc>
          <w:tcPr>
            <w:tcW w:w="992" w:type="dxa"/>
            <w:tcBorders>
              <w:top w:val="single" w:sz="2" w:space="0" w:color="auto"/>
              <w:left w:val="single" w:sz="2" w:space="0" w:color="auto"/>
              <w:bottom w:val="single" w:sz="2" w:space="0" w:color="auto"/>
              <w:right w:val="single" w:sz="2" w:space="0" w:color="auto"/>
            </w:tcBorders>
            <w:vAlign w:val="center"/>
          </w:tcPr>
          <w:p w14:paraId="149F9C63"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14,747,390</w:t>
            </w:r>
          </w:p>
        </w:tc>
        <w:tc>
          <w:tcPr>
            <w:tcW w:w="567" w:type="dxa"/>
            <w:tcBorders>
              <w:top w:val="single" w:sz="2" w:space="0" w:color="auto"/>
              <w:left w:val="single" w:sz="2" w:space="0" w:color="auto"/>
              <w:bottom w:val="single" w:sz="2" w:space="0" w:color="auto"/>
              <w:right w:val="single" w:sz="2" w:space="0" w:color="auto"/>
            </w:tcBorders>
            <w:vAlign w:val="center"/>
          </w:tcPr>
          <w:p w14:paraId="4A3F4BEB"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79505AEC"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18,747,390</w:t>
            </w:r>
          </w:p>
        </w:tc>
        <w:tc>
          <w:tcPr>
            <w:tcW w:w="1292" w:type="dxa"/>
            <w:tcBorders>
              <w:top w:val="single" w:sz="2" w:space="0" w:color="auto"/>
              <w:left w:val="single" w:sz="2" w:space="0" w:color="auto"/>
              <w:bottom w:val="single" w:sz="2" w:space="0" w:color="auto"/>
              <w:right w:val="single" w:sz="2" w:space="0" w:color="auto"/>
            </w:tcBorders>
            <w:vAlign w:val="center"/>
          </w:tcPr>
          <w:p w14:paraId="1ABD06CC"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60BA8B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3321F7FD"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4F0A3C7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广州钜甄实业有限公司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56BD8E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411FCAD9"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w:t>
            </w:r>
          </w:p>
        </w:tc>
        <w:tc>
          <w:tcPr>
            <w:tcW w:w="1134" w:type="dxa"/>
            <w:tcBorders>
              <w:top w:val="single" w:sz="2" w:space="0" w:color="auto"/>
              <w:left w:val="single" w:sz="2" w:space="0" w:color="auto"/>
              <w:bottom w:val="single" w:sz="2" w:space="0" w:color="auto"/>
              <w:right w:val="single" w:sz="2" w:space="0" w:color="auto"/>
            </w:tcBorders>
            <w:vAlign w:val="center"/>
          </w:tcPr>
          <w:p w14:paraId="7BB5B0A2"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17,289,315</w:t>
            </w:r>
          </w:p>
        </w:tc>
        <w:tc>
          <w:tcPr>
            <w:tcW w:w="992" w:type="dxa"/>
            <w:tcBorders>
              <w:top w:val="single" w:sz="2" w:space="0" w:color="auto"/>
              <w:left w:val="single" w:sz="2" w:space="0" w:color="auto"/>
              <w:bottom w:val="single" w:sz="2" w:space="0" w:color="auto"/>
              <w:right w:val="single" w:sz="2" w:space="0" w:color="auto"/>
            </w:tcBorders>
            <w:vAlign w:val="center"/>
          </w:tcPr>
          <w:p w14:paraId="044633D6"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17,289,315</w:t>
            </w:r>
          </w:p>
        </w:tc>
        <w:tc>
          <w:tcPr>
            <w:tcW w:w="567" w:type="dxa"/>
            <w:tcBorders>
              <w:top w:val="single" w:sz="2" w:space="0" w:color="auto"/>
              <w:left w:val="single" w:sz="2" w:space="0" w:color="auto"/>
              <w:bottom w:val="single" w:sz="2" w:space="0" w:color="auto"/>
              <w:right w:val="single" w:sz="2" w:space="0" w:color="auto"/>
            </w:tcBorders>
            <w:vAlign w:val="center"/>
          </w:tcPr>
          <w:p w14:paraId="143F4B52"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5B395391"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17,289,315</w:t>
            </w:r>
          </w:p>
        </w:tc>
        <w:tc>
          <w:tcPr>
            <w:tcW w:w="1292" w:type="dxa"/>
            <w:tcBorders>
              <w:top w:val="single" w:sz="2" w:space="0" w:color="auto"/>
              <w:left w:val="single" w:sz="2" w:space="0" w:color="auto"/>
              <w:bottom w:val="single" w:sz="2" w:space="0" w:color="auto"/>
              <w:right w:val="single" w:sz="2" w:space="0" w:color="auto"/>
            </w:tcBorders>
            <w:vAlign w:val="center"/>
          </w:tcPr>
          <w:p w14:paraId="4147C628"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7989B6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09D2C73D" w14:textId="77777777" w:rsidTr="00F506FC">
        <w:trPr>
          <w:trHeight w:val="240"/>
          <w:jc w:val="center"/>
        </w:trPr>
        <w:tc>
          <w:tcPr>
            <w:tcW w:w="1264" w:type="dxa"/>
            <w:tcBorders>
              <w:top w:val="single" w:sz="2" w:space="0" w:color="auto"/>
              <w:left w:val="single" w:sz="2" w:space="0" w:color="auto"/>
              <w:bottom w:val="single" w:sz="2" w:space="0" w:color="auto"/>
              <w:right w:val="single" w:sz="2" w:space="0" w:color="auto"/>
            </w:tcBorders>
            <w:vAlign w:val="center"/>
          </w:tcPr>
          <w:p w14:paraId="393382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上海梵钏实业有限公司</w:t>
            </w:r>
          </w:p>
        </w:tc>
        <w:tc>
          <w:tcPr>
            <w:tcW w:w="1386" w:type="dxa"/>
            <w:tcBorders>
              <w:top w:val="single" w:sz="2" w:space="0" w:color="auto"/>
              <w:left w:val="single" w:sz="2" w:space="0" w:color="auto"/>
              <w:bottom w:val="single" w:sz="2" w:space="0" w:color="auto"/>
              <w:right w:val="single" w:sz="2" w:space="0" w:color="auto"/>
            </w:tcBorders>
            <w:vAlign w:val="center"/>
          </w:tcPr>
          <w:p w14:paraId="0810D7B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093104D1"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w:t>
            </w:r>
          </w:p>
        </w:tc>
        <w:tc>
          <w:tcPr>
            <w:tcW w:w="1134" w:type="dxa"/>
            <w:tcBorders>
              <w:top w:val="single" w:sz="2" w:space="0" w:color="auto"/>
              <w:left w:val="single" w:sz="2" w:space="0" w:color="auto"/>
              <w:bottom w:val="single" w:sz="2" w:space="0" w:color="auto"/>
              <w:right w:val="single" w:sz="2" w:space="0" w:color="auto"/>
            </w:tcBorders>
            <w:vAlign w:val="center"/>
          </w:tcPr>
          <w:p w14:paraId="38927E46"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13,801,050</w:t>
            </w:r>
          </w:p>
        </w:tc>
        <w:tc>
          <w:tcPr>
            <w:tcW w:w="992" w:type="dxa"/>
            <w:tcBorders>
              <w:top w:val="single" w:sz="2" w:space="0" w:color="auto"/>
              <w:left w:val="single" w:sz="2" w:space="0" w:color="auto"/>
              <w:bottom w:val="single" w:sz="2" w:space="0" w:color="auto"/>
              <w:right w:val="single" w:sz="2" w:space="0" w:color="auto"/>
            </w:tcBorders>
            <w:vAlign w:val="center"/>
          </w:tcPr>
          <w:p w14:paraId="67030DAE"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13,801,050</w:t>
            </w:r>
          </w:p>
        </w:tc>
        <w:tc>
          <w:tcPr>
            <w:tcW w:w="567" w:type="dxa"/>
            <w:tcBorders>
              <w:top w:val="single" w:sz="2" w:space="0" w:color="auto"/>
              <w:left w:val="single" w:sz="2" w:space="0" w:color="auto"/>
              <w:bottom w:val="single" w:sz="2" w:space="0" w:color="auto"/>
              <w:right w:val="single" w:sz="2" w:space="0" w:color="auto"/>
            </w:tcBorders>
            <w:vAlign w:val="center"/>
          </w:tcPr>
          <w:p w14:paraId="7B30CCA2"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1A276FCB" w14:textId="77777777" w:rsidR="00E32FE0" w:rsidRPr="005B5EC1" w:rsidRDefault="00000000" w:rsidP="00324955">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13,801,050</w:t>
            </w:r>
          </w:p>
        </w:tc>
        <w:tc>
          <w:tcPr>
            <w:tcW w:w="1292" w:type="dxa"/>
            <w:tcBorders>
              <w:top w:val="single" w:sz="2" w:space="0" w:color="auto"/>
              <w:left w:val="single" w:sz="2" w:space="0" w:color="auto"/>
              <w:bottom w:val="single" w:sz="2" w:space="0" w:color="auto"/>
              <w:right w:val="single" w:sz="2" w:space="0" w:color="auto"/>
            </w:tcBorders>
            <w:vAlign w:val="center"/>
          </w:tcPr>
          <w:p w14:paraId="75F88BD8"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1071" w:type="dxa"/>
            <w:tcBorders>
              <w:top w:val="single" w:sz="2" w:space="0" w:color="auto"/>
              <w:left w:val="single" w:sz="2" w:space="0" w:color="auto"/>
              <w:bottom w:val="single" w:sz="2" w:space="0" w:color="auto"/>
              <w:right w:val="single" w:sz="2" w:space="0" w:color="auto"/>
            </w:tcBorders>
            <w:vAlign w:val="center"/>
          </w:tcPr>
          <w:p w14:paraId="5B19DA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r>
      <w:tr w:rsidR="00E32FE0" w:rsidRPr="005B5EC1" w14:paraId="5C9AF1DA" w14:textId="77777777" w:rsidTr="00324955">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632240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战略投资者或一般法人因配售新股成为前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名股东的情况（如有）（参见注</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w:t>
            </w:r>
          </w:p>
        </w:tc>
        <w:tc>
          <w:tcPr>
            <w:tcW w:w="7182" w:type="dxa"/>
            <w:gridSpan w:val="7"/>
            <w:tcBorders>
              <w:top w:val="single" w:sz="2" w:space="0" w:color="auto"/>
              <w:left w:val="single" w:sz="2" w:space="0" w:color="auto"/>
              <w:bottom w:val="single" w:sz="2" w:space="0" w:color="auto"/>
              <w:right w:val="single" w:sz="2" w:space="0" w:color="auto"/>
            </w:tcBorders>
            <w:vAlign w:val="center"/>
          </w:tcPr>
          <w:p w14:paraId="7C9E366D" w14:textId="77777777" w:rsidR="00E32FE0" w:rsidRPr="005B5EC1" w:rsidRDefault="00000000" w:rsidP="00324955">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5A296B39" w14:textId="77777777" w:rsidTr="00324955">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F3D149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上述股东关联关系或一致行动的说明</w:t>
            </w:r>
          </w:p>
        </w:tc>
        <w:tc>
          <w:tcPr>
            <w:tcW w:w="7182" w:type="dxa"/>
            <w:gridSpan w:val="7"/>
            <w:tcBorders>
              <w:top w:val="single" w:sz="2" w:space="0" w:color="auto"/>
              <w:left w:val="single" w:sz="2" w:space="0" w:color="auto"/>
              <w:bottom w:val="single" w:sz="2" w:space="0" w:color="auto"/>
              <w:right w:val="single" w:sz="2" w:space="0" w:color="auto"/>
            </w:tcBorders>
            <w:vAlign w:val="center"/>
          </w:tcPr>
          <w:p w14:paraId="254B70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公司未知前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股东之间是否存在关联关系，也未知是否属于一致行动人。</w:t>
            </w:r>
          </w:p>
        </w:tc>
      </w:tr>
      <w:tr w:rsidR="00E32FE0" w:rsidRPr="005B5EC1" w14:paraId="6AD72628" w14:textId="77777777" w:rsidTr="00324955">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20344A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上述股东涉及委托</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受托表决权、放弃表决权情况的说明</w:t>
            </w:r>
          </w:p>
        </w:tc>
        <w:tc>
          <w:tcPr>
            <w:tcW w:w="7182" w:type="dxa"/>
            <w:gridSpan w:val="7"/>
            <w:tcBorders>
              <w:top w:val="single" w:sz="2" w:space="0" w:color="auto"/>
              <w:left w:val="single" w:sz="2" w:space="0" w:color="auto"/>
              <w:bottom w:val="single" w:sz="2" w:space="0" w:color="auto"/>
              <w:right w:val="single" w:sz="2" w:space="0" w:color="auto"/>
            </w:tcBorders>
            <w:vAlign w:val="center"/>
          </w:tcPr>
          <w:p w14:paraId="526E41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1198F564" w14:textId="77777777" w:rsidTr="00324955">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ADFB76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名股东中存在回购专户的特别说明（如有）（参见注</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w:t>
            </w:r>
          </w:p>
        </w:tc>
        <w:tc>
          <w:tcPr>
            <w:tcW w:w="7182" w:type="dxa"/>
            <w:gridSpan w:val="7"/>
            <w:tcBorders>
              <w:top w:val="single" w:sz="2" w:space="0" w:color="auto"/>
              <w:left w:val="single" w:sz="2" w:space="0" w:color="auto"/>
              <w:bottom w:val="single" w:sz="2" w:space="0" w:color="auto"/>
              <w:right w:val="single" w:sz="2" w:space="0" w:color="auto"/>
            </w:tcBorders>
            <w:vAlign w:val="center"/>
          </w:tcPr>
          <w:p w14:paraId="538ADE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名股东中，山东龙大美食股份有限公司回购专用证券账户持有</w:t>
            </w:r>
            <w:r w:rsidRPr="005B5EC1">
              <w:rPr>
                <w:rFonts w:ascii="Times New Roman" w:eastAsia="宋体" w:hAnsi="Times New Roman" w:cs="Times New Roman"/>
                <w:sz w:val="18"/>
                <w:szCs w:val="18"/>
              </w:rPr>
              <w:t>41,417,183</w:t>
            </w:r>
            <w:r w:rsidRPr="005B5EC1">
              <w:rPr>
                <w:rFonts w:ascii="Times New Roman" w:eastAsia="宋体" w:hAnsi="Times New Roman" w:cs="Times New Roman"/>
                <w:sz w:val="18"/>
                <w:szCs w:val="18"/>
              </w:rPr>
              <w:t>股，持有比例为</w:t>
            </w:r>
            <w:r w:rsidRPr="005B5EC1">
              <w:rPr>
                <w:rFonts w:ascii="Times New Roman" w:eastAsia="宋体" w:hAnsi="Times New Roman" w:cs="Times New Roman"/>
                <w:sz w:val="18"/>
                <w:szCs w:val="18"/>
              </w:rPr>
              <w:t>3.84%</w:t>
            </w:r>
            <w:r w:rsidRPr="005B5EC1">
              <w:rPr>
                <w:rFonts w:ascii="Times New Roman" w:eastAsia="宋体" w:hAnsi="Times New Roman" w:cs="Times New Roman"/>
                <w:sz w:val="18"/>
                <w:szCs w:val="18"/>
              </w:rPr>
              <w:t>。</w:t>
            </w:r>
          </w:p>
        </w:tc>
      </w:tr>
      <w:tr w:rsidR="00E32FE0" w:rsidRPr="005B5EC1" w14:paraId="1772F46D" w14:textId="77777777" w:rsidTr="00324955">
        <w:trPr>
          <w:trHeight w:val="240"/>
          <w:jc w:val="center"/>
        </w:trPr>
        <w:tc>
          <w:tcPr>
            <w:tcW w:w="9832"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340AA54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名无限售条件股东持股情况（不含通过转融通出借股份、高管锁定股）</w:t>
            </w:r>
          </w:p>
        </w:tc>
      </w:tr>
      <w:tr w:rsidR="00E32FE0" w:rsidRPr="005B5EC1" w14:paraId="5198AC1F" w14:textId="77777777" w:rsidTr="00F506FC">
        <w:trPr>
          <w:trHeight w:val="240"/>
          <w:jc w:val="center"/>
        </w:trPr>
        <w:tc>
          <w:tcPr>
            <w:tcW w:w="2650"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017C17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股东名称</w:t>
            </w:r>
          </w:p>
        </w:tc>
        <w:tc>
          <w:tcPr>
            <w:tcW w:w="4819"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A65606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报告期末持有无限售条件股份数量</w:t>
            </w:r>
          </w:p>
        </w:tc>
        <w:tc>
          <w:tcPr>
            <w:tcW w:w="236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E2FFA0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股份种类</w:t>
            </w:r>
          </w:p>
        </w:tc>
      </w:tr>
      <w:tr w:rsidR="00E32FE0" w:rsidRPr="005B5EC1" w14:paraId="0245CE63" w14:textId="77777777" w:rsidTr="00F506FC">
        <w:trPr>
          <w:trHeight w:val="240"/>
          <w:jc w:val="center"/>
        </w:trPr>
        <w:tc>
          <w:tcPr>
            <w:tcW w:w="2650"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69101493" w14:textId="77777777" w:rsidR="00E32FE0" w:rsidRPr="005B5EC1" w:rsidRDefault="00E32FE0">
            <w:pPr>
              <w:rPr>
                <w:rFonts w:ascii="Times New Roman" w:hAnsi="Times New Roman" w:cs="Times New Roman"/>
              </w:rPr>
            </w:pPr>
          </w:p>
        </w:tc>
        <w:tc>
          <w:tcPr>
            <w:tcW w:w="4819"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14:paraId="28F23A26" w14:textId="77777777" w:rsidR="00E32FE0" w:rsidRPr="005B5EC1" w:rsidRDefault="00E32FE0">
            <w:pPr>
              <w:rPr>
                <w:rFonts w:ascii="Times New Roman" w:hAnsi="Times New Roman" w:cs="Times New Roman"/>
              </w:rPr>
            </w:pPr>
          </w:p>
        </w:tc>
        <w:tc>
          <w:tcPr>
            <w:tcW w:w="1292" w:type="dxa"/>
            <w:tcBorders>
              <w:top w:val="single" w:sz="2" w:space="0" w:color="auto"/>
              <w:left w:val="single" w:sz="2" w:space="0" w:color="auto"/>
              <w:bottom w:val="single" w:sz="2" w:space="0" w:color="auto"/>
              <w:right w:val="single" w:sz="2" w:space="0" w:color="auto"/>
            </w:tcBorders>
            <w:shd w:val="clear" w:color="auto" w:fill="D3D3D3"/>
            <w:vAlign w:val="center"/>
          </w:tcPr>
          <w:p w14:paraId="6FAD891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股份种类</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F71F8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数量</w:t>
            </w:r>
          </w:p>
        </w:tc>
      </w:tr>
      <w:tr w:rsidR="00E32FE0" w:rsidRPr="005B5EC1" w14:paraId="449EC5D0"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4B0B605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蓝润发展控股集团有限公司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0E7BC2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293,885,800</w:t>
            </w:r>
          </w:p>
        </w:tc>
        <w:tc>
          <w:tcPr>
            <w:tcW w:w="1292" w:type="dxa"/>
            <w:tcBorders>
              <w:top w:val="single" w:sz="2" w:space="0" w:color="auto"/>
              <w:left w:val="single" w:sz="2" w:space="0" w:color="auto"/>
              <w:bottom w:val="single" w:sz="2" w:space="0" w:color="auto"/>
              <w:right w:val="single" w:sz="2" w:space="0" w:color="auto"/>
            </w:tcBorders>
            <w:vAlign w:val="center"/>
          </w:tcPr>
          <w:p w14:paraId="3CD4F7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511F9B8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293,885,800</w:t>
            </w:r>
          </w:p>
        </w:tc>
      </w:tr>
      <w:tr w:rsidR="00E32FE0" w:rsidRPr="005B5EC1" w14:paraId="1D0BFBF4"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1A179D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莱阳银龙投资有限公司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170B726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78,676,000</w:t>
            </w:r>
          </w:p>
        </w:tc>
        <w:tc>
          <w:tcPr>
            <w:tcW w:w="1292" w:type="dxa"/>
            <w:tcBorders>
              <w:top w:val="single" w:sz="2" w:space="0" w:color="auto"/>
              <w:left w:val="single" w:sz="2" w:space="0" w:color="auto"/>
              <w:bottom w:val="single" w:sz="2" w:space="0" w:color="auto"/>
              <w:right w:val="single" w:sz="2" w:space="0" w:color="auto"/>
            </w:tcBorders>
            <w:vAlign w:val="center"/>
          </w:tcPr>
          <w:p w14:paraId="2D31380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543F577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78,676,000</w:t>
            </w:r>
          </w:p>
        </w:tc>
      </w:tr>
      <w:tr w:rsidR="00E32FE0" w:rsidRPr="005B5EC1" w14:paraId="48079D73"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6FCD733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青岛洪亨亚和实业有限公司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37C8F7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59,714,200</w:t>
            </w:r>
          </w:p>
        </w:tc>
        <w:tc>
          <w:tcPr>
            <w:tcW w:w="1292" w:type="dxa"/>
            <w:tcBorders>
              <w:top w:val="single" w:sz="2" w:space="0" w:color="auto"/>
              <w:left w:val="single" w:sz="2" w:space="0" w:color="auto"/>
              <w:bottom w:val="single" w:sz="2" w:space="0" w:color="auto"/>
              <w:right w:val="single" w:sz="2" w:space="0" w:color="auto"/>
            </w:tcBorders>
            <w:vAlign w:val="center"/>
          </w:tcPr>
          <w:p w14:paraId="33C97F6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54291B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59,714,200</w:t>
            </w:r>
          </w:p>
        </w:tc>
      </w:tr>
      <w:tr w:rsidR="00E32FE0" w:rsidRPr="005B5EC1" w14:paraId="277ED3B9"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673022E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深圳市钜珲实业有限公司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3CB73D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41,307,484</w:t>
            </w:r>
          </w:p>
        </w:tc>
        <w:tc>
          <w:tcPr>
            <w:tcW w:w="1292" w:type="dxa"/>
            <w:tcBorders>
              <w:top w:val="single" w:sz="2" w:space="0" w:color="auto"/>
              <w:left w:val="single" w:sz="2" w:space="0" w:color="auto"/>
              <w:bottom w:val="single" w:sz="2" w:space="0" w:color="auto"/>
              <w:right w:val="single" w:sz="2" w:space="0" w:color="auto"/>
            </w:tcBorders>
            <w:vAlign w:val="center"/>
          </w:tcPr>
          <w:p w14:paraId="5CC6D0B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524120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41,307,484</w:t>
            </w:r>
          </w:p>
        </w:tc>
      </w:tr>
      <w:tr w:rsidR="00E32FE0" w:rsidRPr="005B5EC1" w14:paraId="14059EED"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478D3AF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银河德睿资本管理有限公司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101B2E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37,028,135</w:t>
            </w:r>
          </w:p>
        </w:tc>
        <w:tc>
          <w:tcPr>
            <w:tcW w:w="1292" w:type="dxa"/>
            <w:tcBorders>
              <w:top w:val="single" w:sz="2" w:space="0" w:color="auto"/>
              <w:left w:val="single" w:sz="2" w:space="0" w:color="auto"/>
              <w:bottom w:val="single" w:sz="2" w:space="0" w:color="auto"/>
              <w:right w:val="single" w:sz="2" w:space="0" w:color="auto"/>
            </w:tcBorders>
            <w:vAlign w:val="center"/>
          </w:tcPr>
          <w:p w14:paraId="7DD2F2F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20C080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37,028,135</w:t>
            </w:r>
          </w:p>
        </w:tc>
      </w:tr>
      <w:tr w:rsidR="00E32FE0" w:rsidRPr="005B5EC1" w14:paraId="5A5C623D"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36AEA4F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晟弘资产管理（珠海）有限公司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64FC75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29,376,135</w:t>
            </w:r>
          </w:p>
        </w:tc>
        <w:tc>
          <w:tcPr>
            <w:tcW w:w="1292" w:type="dxa"/>
            <w:tcBorders>
              <w:top w:val="single" w:sz="2" w:space="0" w:color="auto"/>
              <w:left w:val="single" w:sz="2" w:space="0" w:color="auto"/>
              <w:bottom w:val="single" w:sz="2" w:space="0" w:color="auto"/>
              <w:right w:val="single" w:sz="2" w:space="0" w:color="auto"/>
            </w:tcBorders>
            <w:vAlign w:val="center"/>
          </w:tcPr>
          <w:p w14:paraId="442BBF7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5D5D2B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29,376,135</w:t>
            </w:r>
          </w:p>
        </w:tc>
      </w:tr>
      <w:tr w:rsidR="00E32FE0" w:rsidRPr="005B5EC1" w14:paraId="1B848064"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2531A9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上海鼎译智能科技有限公司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7D4D2A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19,822,971</w:t>
            </w:r>
          </w:p>
        </w:tc>
        <w:tc>
          <w:tcPr>
            <w:tcW w:w="1292" w:type="dxa"/>
            <w:tcBorders>
              <w:top w:val="single" w:sz="2" w:space="0" w:color="auto"/>
              <w:left w:val="single" w:sz="2" w:space="0" w:color="auto"/>
              <w:bottom w:val="single" w:sz="2" w:space="0" w:color="auto"/>
              <w:right w:val="single" w:sz="2" w:space="0" w:color="auto"/>
            </w:tcBorders>
            <w:vAlign w:val="center"/>
          </w:tcPr>
          <w:p w14:paraId="147356D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27D7C3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19,822,971</w:t>
            </w:r>
          </w:p>
        </w:tc>
      </w:tr>
      <w:tr w:rsidR="00E32FE0" w:rsidRPr="005B5EC1" w14:paraId="23027CF9"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453E4AA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广州森控实业有限公司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01C1D5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18,747,390</w:t>
            </w:r>
          </w:p>
        </w:tc>
        <w:tc>
          <w:tcPr>
            <w:tcW w:w="1292" w:type="dxa"/>
            <w:tcBorders>
              <w:top w:val="single" w:sz="2" w:space="0" w:color="auto"/>
              <w:left w:val="single" w:sz="2" w:space="0" w:color="auto"/>
              <w:bottom w:val="single" w:sz="2" w:space="0" w:color="auto"/>
              <w:right w:val="single" w:sz="2" w:space="0" w:color="auto"/>
            </w:tcBorders>
            <w:vAlign w:val="center"/>
          </w:tcPr>
          <w:p w14:paraId="041D407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713F43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18,747,390</w:t>
            </w:r>
          </w:p>
        </w:tc>
      </w:tr>
      <w:tr w:rsidR="00E32FE0" w:rsidRPr="005B5EC1" w14:paraId="69F2C07F"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31812BA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广州钜甄实业有限公司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4374A5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17,289,315</w:t>
            </w:r>
          </w:p>
        </w:tc>
        <w:tc>
          <w:tcPr>
            <w:tcW w:w="1292" w:type="dxa"/>
            <w:tcBorders>
              <w:top w:val="single" w:sz="2" w:space="0" w:color="auto"/>
              <w:left w:val="single" w:sz="2" w:space="0" w:color="auto"/>
              <w:bottom w:val="single" w:sz="2" w:space="0" w:color="auto"/>
              <w:right w:val="single" w:sz="2" w:space="0" w:color="auto"/>
            </w:tcBorders>
            <w:vAlign w:val="center"/>
          </w:tcPr>
          <w:p w14:paraId="6D038E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3C6E2E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17,289,315</w:t>
            </w:r>
          </w:p>
        </w:tc>
      </w:tr>
      <w:tr w:rsidR="00E32FE0" w:rsidRPr="005B5EC1" w14:paraId="3998122A" w14:textId="77777777" w:rsidTr="00F506FC">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vAlign w:val="center"/>
          </w:tcPr>
          <w:p w14:paraId="20CFAC6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上海梵钏实业有限公司</w:t>
            </w:r>
          </w:p>
        </w:tc>
        <w:tc>
          <w:tcPr>
            <w:tcW w:w="4819" w:type="dxa"/>
            <w:gridSpan w:val="5"/>
            <w:tcBorders>
              <w:top w:val="single" w:sz="2" w:space="0" w:color="auto"/>
              <w:left w:val="single" w:sz="2" w:space="0" w:color="auto"/>
              <w:bottom w:val="single" w:sz="2" w:space="0" w:color="auto"/>
              <w:right w:val="single" w:sz="2" w:space="0" w:color="auto"/>
            </w:tcBorders>
            <w:vAlign w:val="center"/>
          </w:tcPr>
          <w:p w14:paraId="5A1553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13,801,050</w:t>
            </w:r>
          </w:p>
        </w:tc>
        <w:tc>
          <w:tcPr>
            <w:tcW w:w="1292" w:type="dxa"/>
            <w:tcBorders>
              <w:top w:val="single" w:sz="2" w:space="0" w:color="auto"/>
              <w:left w:val="single" w:sz="2" w:space="0" w:color="auto"/>
              <w:bottom w:val="single" w:sz="2" w:space="0" w:color="auto"/>
              <w:right w:val="single" w:sz="2" w:space="0" w:color="auto"/>
            </w:tcBorders>
            <w:vAlign w:val="center"/>
          </w:tcPr>
          <w:p w14:paraId="7F31CAF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人民币普通股</w:t>
            </w:r>
          </w:p>
        </w:tc>
        <w:tc>
          <w:tcPr>
            <w:tcW w:w="1071" w:type="dxa"/>
            <w:tcBorders>
              <w:top w:val="single" w:sz="2" w:space="0" w:color="auto"/>
              <w:left w:val="single" w:sz="2" w:space="0" w:color="auto"/>
              <w:bottom w:val="single" w:sz="2" w:space="0" w:color="auto"/>
              <w:right w:val="single" w:sz="2" w:space="0" w:color="auto"/>
            </w:tcBorders>
            <w:vAlign w:val="center"/>
          </w:tcPr>
          <w:p w14:paraId="344441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13,801,050</w:t>
            </w:r>
          </w:p>
        </w:tc>
      </w:tr>
      <w:tr w:rsidR="00E32FE0" w:rsidRPr="005B5EC1" w14:paraId="69C3D16D" w14:textId="77777777" w:rsidTr="00324955">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9FDB55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名无限售流通股股东之间，以及前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名无限售流通股股东和前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名股东之间关联关系或一致行动的说明</w:t>
            </w:r>
          </w:p>
        </w:tc>
        <w:tc>
          <w:tcPr>
            <w:tcW w:w="7182" w:type="dxa"/>
            <w:gridSpan w:val="7"/>
            <w:tcBorders>
              <w:top w:val="single" w:sz="2" w:space="0" w:color="auto"/>
              <w:left w:val="single" w:sz="2" w:space="0" w:color="auto"/>
              <w:bottom w:val="single" w:sz="2" w:space="0" w:color="auto"/>
              <w:right w:val="single" w:sz="2" w:space="0" w:color="auto"/>
            </w:tcBorders>
            <w:vAlign w:val="center"/>
          </w:tcPr>
          <w:p w14:paraId="3521B9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公司未知前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股东之间是否存在关联关系，也未知是否属于一致行动人。</w:t>
            </w:r>
          </w:p>
        </w:tc>
      </w:tr>
      <w:tr w:rsidR="00E32FE0" w:rsidRPr="005B5EC1" w14:paraId="0EF31C63" w14:textId="77777777" w:rsidTr="00324955">
        <w:trPr>
          <w:trHeight w:val="240"/>
          <w:jc w:val="center"/>
        </w:trPr>
        <w:tc>
          <w:tcPr>
            <w:tcW w:w="26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8462FE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名普通股股东参与融资融券业务情况说明（如有）（参见注</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w:t>
            </w:r>
          </w:p>
        </w:tc>
        <w:tc>
          <w:tcPr>
            <w:tcW w:w="7182" w:type="dxa"/>
            <w:gridSpan w:val="7"/>
            <w:tcBorders>
              <w:top w:val="single" w:sz="2" w:space="0" w:color="auto"/>
              <w:left w:val="single" w:sz="2" w:space="0" w:color="auto"/>
              <w:bottom w:val="single" w:sz="2" w:space="0" w:color="auto"/>
              <w:right w:val="single" w:sz="2" w:space="0" w:color="auto"/>
            </w:tcBorders>
            <w:vAlign w:val="center"/>
          </w:tcPr>
          <w:p w14:paraId="57A924BC" w14:textId="77777777" w:rsidR="00E32FE0" w:rsidRPr="005B5EC1" w:rsidRDefault="00000000" w:rsidP="00F506FC">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股东蓝润发展控股集团有限公司通过东海证券股份有限公司客户信用交易担保证券账户持有</w:t>
            </w:r>
            <w:r w:rsidRPr="005B5EC1">
              <w:rPr>
                <w:rFonts w:ascii="Times New Roman" w:eastAsia="宋体" w:hAnsi="Times New Roman" w:cs="Times New Roman"/>
                <w:sz w:val="18"/>
                <w:szCs w:val="18"/>
              </w:rPr>
              <w:t xml:space="preserve">34,000,000 </w:t>
            </w:r>
            <w:r w:rsidRPr="005B5EC1">
              <w:rPr>
                <w:rFonts w:ascii="Times New Roman" w:eastAsia="宋体" w:hAnsi="Times New Roman" w:cs="Times New Roman"/>
                <w:sz w:val="18"/>
                <w:szCs w:val="18"/>
              </w:rPr>
              <w:t>股；股东深圳市钜珲实业有限公司通过中邮证券有限责任公司客户信用交易担保证券账户持有</w:t>
            </w:r>
            <w:r w:rsidRPr="005B5EC1">
              <w:rPr>
                <w:rFonts w:ascii="Times New Roman" w:eastAsia="宋体" w:hAnsi="Times New Roman" w:cs="Times New Roman"/>
                <w:sz w:val="18"/>
                <w:szCs w:val="18"/>
              </w:rPr>
              <w:t>41,305,500</w:t>
            </w:r>
            <w:r w:rsidRPr="005B5EC1">
              <w:rPr>
                <w:rFonts w:ascii="Times New Roman" w:eastAsia="宋体" w:hAnsi="Times New Roman" w:cs="Times New Roman"/>
                <w:sz w:val="18"/>
                <w:szCs w:val="18"/>
              </w:rPr>
              <w:t>股；股东晟弘资产管理（珠海）有限公司通过广发证券股份有限公司客户信用交易担保证券账户持有</w:t>
            </w:r>
            <w:r w:rsidRPr="005B5EC1">
              <w:rPr>
                <w:rFonts w:ascii="Times New Roman" w:eastAsia="宋体" w:hAnsi="Times New Roman" w:cs="Times New Roman"/>
                <w:sz w:val="18"/>
                <w:szCs w:val="18"/>
              </w:rPr>
              <w:t xml:space="preserve">29,376,135 </w:t>
            </w:r>
            <w:r w:rsidRPr="005B5EC1">
              <w:rPr>
                <w:rFonts w:ascii="Times New Roman" w:eastAsia="宋体" w:hAnsi="Times New Roman" w:cs="Times New Roman"/>
                <w:sz w:val="18"/>
                <w:szCs w:val="18"/>
              </w:rPr>
              <w:t>股；股东上海鼎译智能科技有限公司通过长城证券股份有限公司客户信用交易担保证券账户持有</w:t>
            </w:r>
            <w:r w:rsidRPr="005B5EC1">
              <w:rPr>
                <w:rFonts w:ascii="Times New Roman" w:eastAsia="宋体" w:hAnsi="Times New Roman" w:cs="Times New Roman"/>
                <w:sz w:val="18"/>
                <w:szCs w:val="18"/>
              </w:rPr>
              <w:t xml:space="preserve"> 19,822,971</w:t>
            </w:r>
            <w:r w:rsidRPr="005B5EC1">
              <w:rPr>
                <w:rFonts w:ascii="Times New Roman" w:eastAsia="宋体" w:hAnsi="Times New Roman" w:cs="Times New Roman"/>
                <w:sz w:val="18"/>
                <w:szCs w:val="18"/>
              </w:rPr>
              <w:t>股；股东广州森控实业有限公司通过东兴证券股份有限公司客户信用交易担保证券账户持有</w:t>
            </w:r>
            <w:r w:rsidRPr="005B5EC1">
              <w:rPr>
                <w:rFonts w:ascii="Times New Roman" w:eastAsia="宋体" w:hAnsi="Times New Roman" w:cs="Times New Roman"/>
                <w:sz w:val="18"/>
                <w:szCs w:val="18"/>
              </w:rPr>
              <w:t>18,747,390</w:t>
            </w:r>
            <w:r w:rsidRPr="005B5EC1">
              <w:rPr>
                <w:rFonts w:ascii="Times New Roman" w:eastAsia="宋体" w:hAnsi="Times New Roman" w:cs="Times New Roman"/>
                <w:sz w:val="18"/>
                <w:szCs w:val="18"/>
              </w:rPr>
              <w:t>股；股东广州钜甄实业有限公司通过中信建投证券股份有限公司客户信用交易担保证券账户持有</w:t>
            </w:r>
            <w:r w:rsidRPr="005B5EC1">
              <w:rPr>
                <w:rFonts w:ascii="Times New Roman" w:eastAsia="宋体" w:hAnsi="Times New Roman" w:cs="Times New Roman"/>
                <w:sz w:val="18"/>
                <w:szCs w:val="18"/>
              </w:rPr>
              <w:t>17,281,600</w:t>
            </w:r>
            <w:r w:rsidRPr="005B5EC1">
              <w:rPr>
                <w:rFonts w:ascii="Times New Roman" w:eastAsia="宋体" w:hAnsi="Times New Roman" w:cs="Times New Roman"/>
                <w:sz w:val="18"/>
                <w:szCs w:val="18"/>
              </w:rPr>
              <w:t>股；股东上海梵钏实业有限公司通过长城证券股份有限公司客户信用交易担保证券账户持有</w:t>
            </w:r>
            <w:r w:rsidRPr="005B5EC1">
              <w:rPr>
                <w:rFonts w:ascii="Times New Roman" w:eastAsia="宋体" w:hAnsi="Times New Roman" w:cs="Times New Roman"/>
                <w:sz w:val="18"/>
                <w:szCs w:val="18"/>
              </w:rPr>
              <w:t>13,801,050</w:t>
            </w:r>
            <w:r w:rsidRPr="005B5EC1">
              <w:rPr>
                <w:rFonts w:ascii="Times New Roman" w:eastAsia="宋体" w:hAnsi="Times New Roman" w:cs="Times New Roman"/>
                <w:sz w:val="18"/>
                <w:szCs w:val="18"/>
              </w:rPr>
              <w:t>股。</w:t>
            </w:r>
          </w:p>
        </w:tc>
      </w:tr>
    </w:tbl>
    <w:p w14:paraId="1F94BE8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持股</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以上股东、前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名股东及前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名无限售流通股股东参与转融通业务出借股份情况</w:t>
      </w:r>
    </w:p>
    <w:p w14:paraId="285D52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F227C5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名股东及前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名无限售流通股股东因转融通出借</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归还原因导致较上期发生变化</w:t>
      </w:r>
    </w:p>
    <w:p w14:paraId="0909F7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E62B29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名普通股股东、前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名无限售条件普通股股东在报告期内是否进行约定购回交易</w:t>
      </w:r>
    </w:p>
    <w:p w14:paraId="0B6A8A4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114862F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名普通股股东、前</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名无限售条件普通股股东在报告期内未进行约定购回交易。</w:t>
      </w:r>
    </w:p>
    <w:p w14:paraId="2109AA60" w14:textId="77777777" w:rsidR="00E32FE0" w:rsidRPr="005B5EC1" w:rsidRDefault="00000000">
      <w:pPr>
        <w:pStyle w:val="3"/>
        <w:spacing w:line="280" w:lineRule="exact"/>
        <w:jc w:val="left"/>
        <w:rPr>
          <w:rFonts w:ascii="Times New Roman" w:hAnsi="Times New Roman" w:cs="Times New Roman"/>
          <w:b/>
          <w:bCs/>
        </w:rPr>
      </w:pPr>
      <w:bookmarkStart w:id="139" w:name="_Toc989028"/>
      <w:r w:rsidRPr="005B5EC1">
        <w:rPr>
          <w:rFonts w:ascii="Times New Roman" w:hAnsi="Times New Roman" w:cs="Times New Roman"/>
          <w:b/>
          <w:bCs/>
        </w:rPr>
        <w:t>2</w:t>
      </w:r>
      <w:r w:rsidRPr="005B5EC1">
        <w:rPr>
          <w:rFonts w:ascii="Times New Roman" w:hAnsi="Times New Roman" w:cs="Times New Roman"/>
          <w:b/>
          <w:bCs/>
        </w:rPr>
        <w:t>、公司控股股东情况</w:t>
      </w:r>
      <w:bookmarkEnd w:id="139"/>
    </w:p>
    <w:p w14:paraId="0AD9D60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控股股东性质：自然人控股</w:t>
      </w:r>
    </w:p>
    <w:p w14:paraId="61F4AA6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控股股东类型：法人</w:t>
      </w:r>
    </w:p>
    <w:tbl>
      <w:tblPr>
        <w:tblW w:w="9923"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1276"/>
        <w:gridCol w:w="1701"/>
        <w:gridCol w:w="1984"/>
        <w:gridCol w:w="3544"/>
      </w:tblGrid>
      <w:tr w:rsidR="00E32FE0" w:rsidRPr="005B5EC1" w14:paraId="36237E59" w14:textId="77777777" w:rsidTr="00F506FC">
        <w:trPr>
          <w:trHeight w:val="240"/>
          <w:jc w:val="center"/>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02390AE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控股股东名称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1650F1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单位负责人</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7D0011B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成立日期</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06B5553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组织机构代码</w:t>
            </w:r>
          </w:p>
        </w:tc>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14:paraId="75937CB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主要经营业务</w:t>
            </w:r>
          </w:p>
        </w:tc>
      </w:tr>
      <w:tr w:rsidR="00E32FE0" w:rsidRPr="005B5EC1" w14:paraId="0158C31C" w14:textId="77777777" w:rsidTr="00F506FC">
        <w:trPr>
          <w:trHeight w:val="240"/>
          <w:jc w:val="center"/>
        </w:trPr>
        <w:tc>
          <w:tcPr>
            <w:tcW w:w="1418" w:type="dxa"/>
            <w:tcBorders>
              <w:top w:val="single" w:sz="2" w:space="0" w:color="auto"/>
              <w:left w:val="single" w:sz="2" w:space="0" w:color="auto"/>
              <w:bottom w:val="single" w:sz="2" w:space="0" w:color="auto"/>
              <w:right w:val="single" w:sz="2" w:space="0" w:color="auto"/>
            </w:tcBorders>
            <w:vAlign w:val="center"/>
          </w:tcPr>
          <w:p w14:paraId="0AB2F37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276" w:type="dxa"/>
            <w:tcBorders>
              <w:top w:val="single" w:sz="2" w:space="0" w:color="auto"/>
              <w:left w:val="single" w:sz="2" w:space="0" w:color="auto"/>
              <w:bottom w:val="single" w:sz="2" w:space="0" w:color="auto"/>
              <w:right w:val="single" w:sz="2" w:space="0" w:color="auto"/>
            </w:tcBorders>
            <w:vAlign w:val="center"/>
          </w:tcPr>
          <w:p w14:paraId="0E334C51" w14:textId="77777777" w:rsidR="00E32FE0" w:rsidRPr="005B5EC1" w:rsidRDefault="00000000" w:rsidP="00F506FC">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张力</w:t>
            </w:r>
          </w:p>
        </w:tc>
        <w:tc>
          <w:tcPr>
            <w:tcW w:w="1701" w:type="dxa"/>
            <w:tcBorders>
              <w:top w:val="single" w:sz="2" w:space="0" w:color="auto"/>
              <w:left w:val="single" w:sz="2" w:space="0" w:color="auto"/>
              <w:bottom w:val="single" w:sz="2" w:space="0" w:color="auto"/>
              <w:right w:val="single" w:sz="2" w:space="0" w:color="auto"/>
            </w:tcBorders>
            <w:vAlign w:val="center"/>
          </w:tcPr>
          <w:p w14:paraId="61036D5B" w14:textId="77777777" w:rsidR="00E32FE0" w:rsidRPr="005B5EC1" w:rsidRDefault="00000000" w:rsidP="00F506FC">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2015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14</w:t>
            </w:r>
            <w:r w:rsidRPr="005B5EC1">
              <w:rPr>
                <w:rFonts w:ascii="Times New Roman" w:eastAsia="宋体" w:hAnsi="Times New Roman" w:cs="Times New Roman"/>
                <w:sz w:val="18"/>
                <w:szCs w:val="18"/>
              </w:rPr>
              <w:t>日</w:t>
            </w:r>
          </w:p>
        </w:tc>
        <w:tc>
          <w:tcPr>
            <w:tcW w:w="1984" w:type="dxa"/>
            <w:tcBorders>
              <w:top w:val="single" w:sz="2" w:space="0" w:color="auto"/>
              <w:left w:val="single" w:sz="2" w:space="0" w:color="auto"/>
              <w:bottom w:val="single" w:sz="2" w:space="0" w:color="auto"/>
              <w:right w:val="single" w:sz="2" w:space="0" w:color="auto"/>
            </w:tcBorders>
            <w:vAlign w:val="center"/>
          </w:tcPr>
          <w:p w14:paraId="5B872329" w14:textId="77777777" w:rsidR="00E32FE0" w:rsidRPr="005B5EC1" w:rsidRDefault="00000000" w:rsidP="00F506FC">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914403003595139881</w:t>
            </w:r>
          </w:p>
        </w:tc>
        <w:tc>
          <w:tcPr>
            <w:tcW w:w="3544" w:type="dxa"/>
            <w:tcBorders>
              <w:top w:val="single" w:sz="2" w:space="0" w:color="auto"/>
              <w:left w:val="single" w:sz="2" w:space="0" w:color="auto"/>
              <w:bottom w:val="single" w:sz="2" w:space="0" w:color="auto"/>
              <w:right w:val="single" w:sz="2" w:space="0" w:color="auto"/>
            </w:tcBorders>
            <w:vAlign w:val="center"/>
          </w:tcPr>
          <w:p w14:paraId="6A5CB3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兴办实业（具体项目另行申报）；受托资产管理、投资管理（不得从事信托、金融资产管理、证券资产管理及其他限制项目）；投资咨询、财务顾问、经济信息咨询、企业管理咨询（以上均不含限制项目）；企业营销策划；接受金融机构委托从事金融外包服务（根据法律、行政法规、国务院决定等规定需要审批的，依法取得相关审批文件后方可经营）；计算机软件的技术开发；受托管理股权投资基金</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不得从事证券投资活动；不得以公开方式募集资金开展投资活动；不得从事公开募集基金管理业务</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；对未上市企业进行股权投资；开展股权投资和企业上市咨询业</w:t>
            </w:r>
            <w:r w:rsidRPr="005B5EC1">
              <w:rPr>
                <w:rFonts w:ascii="Times New Roman" w:eastAsia="宋体" w:hAnsi="Times New Roman" w:cs="Times New Roman"/>
                <w:sz w:val="18"/>
                <w:szCs w:val="18"/>
              </w:rPr>
              <w:lastRenderedPageBreak/>
              <w:t>务；国内贸易、经营进出口业务；（不含专营、专控、专卖商品）；农牧技术咨询。（以上各项涉及法律、行政法规、国务院决定禁止的项目除外，限制的项目须取得许可后方可经营）家畜、饲料、肉制品、家禽销售；仓储服务。</w:t>
            </w:r>
          </w:p>
        </w:tc>
      </w:tr>
    </w:tbl>
    <w:p w14:paraId="4541CCF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控股股东报告期内变更</w:t>
      </w:r>
    </w:p>
    <w:p w14:paraId="0861A1C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48870D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公司报告期控股股东未发生变更。</w:t>
      </w:r>
    </w:p>
    <w:p w14:paraId="215DB343" w14:textId="77777777" w:rsidR="00E32FE0" w:rsidRPr="005B5EC1" w:rsidRDefault="00000000">
      <w:pPr>
        <w:pStyle w:val="3"/>
        <w:spacing w:line="280" w:lineRule="exact"/>
        <w:jc w:val="left"/>
        <w:rPr>
          <w:rFonts w:ascii="Times New Roman" w:hAnsi="Times New Roman" w:cs="Times New Roman"/>
          <w:b/>
          <w:bCs/>
        </w:rPr>
      </w:pPr>
      <w:bookmarkStart w:id="140" w:name="_Toc989029"/>
      <w:r w:rsidRPr="005B5EC1">
        <w:rPr>
          <w:rFonts w:ascii="Times New Roman" w:hAnsi="Times New Roman" w:cs="Times New Roman"/>
          <w:b/>
          <w:bCs/>
        </w:rPr>
        <w:t>3</w:t>
      </w:r>
      <w:r w:rsidRPr="005B5EC1">
        <w:rPr>
          <w:rFonts w:ascii="Times New Roman" w:hAnsi="Times New Roman" w:cs="Times New Roman"/>
          <w:b/>
          <w:bCs/>
        </w:rPr>
        <w:t>、公司实际控制人及其一致行动人</w:t>
      </w:r>
      <w:bookmarkEnd w:id="140"/>
    </w:p>
    <w:p w14:paraId="22B2CBF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实际控制人性质：境内自然人</w:t>
      </w:r>
    </w:p>
    <w:p w14:paraId="40466B5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实际控制人类型：自然人</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48801F2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88FAD9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实际控制人姓名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B031EF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与实际控制人关系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C7006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国籍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A667AC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是否取得其他国家或地区居留权</w:t>
            </w:r>
          </w:p>
        </w:tc>
      </w:tr>
      <w:tr w:rsidR="00E32FE0" w:rsidRPr="005B5EC1" w14:paraId="52E8141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7637B0F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戴学斌</w:t>
            </w:r>
          </w:p>
        </w:tc>
        <w:tc>
          <w:tcPr>
            <w:tcW w:w="2410" w:type="dxa"/>
            <w:tcBorders>
              <w:top w:val="single" w:sz="2" w:space="0" w:color="auto"/>
              <w:left w:val="single" w:sz="2" w:space="0" w:color="auto"/>
              <w:bottom w:val="single" w:sz="2" w:space="0" w:color="auto"/>
              <w:right w:val="single" w:sz="2" w:space="0" w:color="auto"/>
            </w:tcBorders>
            <w:vAlign w:val="center"/>
          </w:tcPr>
          <w:p w14:paraId="518D14D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本人</w:t>
            </w:r>
          </w:p>
        </w:tc>
        <w:tc>
          <w:tcPr>
            <w:tcW w:w="2410" w:type="dxa"/>
            <w:tcBorders>
              <w:top w:val="single" w:sz="2" w:space="0" w:color="auto"/>
              <w:left w:val="single" w:sz="2" w:space="0" w:color="auto"/>
              <w:bottom w:val="single" w:sz="2" w:space="0" w:color="auto"/>
              <w:right w:val="single" w:sz="2" w:space="0" w:color="auto"/>
            </w:tcBorders>
            <w:vAlign w:val="center"/>
          </w:tcPr>
          <w:p w14:paraId="2C64D0E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中国</w:t>
            </w:r>
          </w:p>
        </w:tc>
        <w:tc>
          <w:tcPr>
            <w:tcW w:w="2410" w:type="dxa"/>
            <w:tcBorders>
              <w:top w:val="single" w:sz="2" w:space="0" w:color="auto"/>
              <w:left w:val="single" w:sz="2" w:space="0" w:color="auto"/>
              <w:bottom w:val="single" w:sz="2" w:space="0" w:color="auto"/>
              <w:right w:val="single" w:sz="2" w:space="0" w:color="auto"/>
            </w:tcBorders>
            <w:vAlign w:val="center"/>
          </w:tcPr>
          <w:p w14:paraId="32ADDC4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20640E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2C56913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董翔</w:t>
            </w:r>
          </w:p>
        </w:tc>
        <w:tc>
          <w:tcPr>
            <w:tcW w:w="2410" w:type="dxa"/>
            <w:tcBorders>
              <w:top w:val="single" w:sz="2" w:space="0" w:color="auto"/>
              <w:left w:val="single" w:sz="2" w:space="0" w:color="auto"/>
              <w:bottom w:val="single" w:sz="2" w:space="0" w:color="auto"/>
              <w:right w:val="single" w:sz="2" w:space="0" w:color="auto"/>
            </w:tcBorders>
            <w:vAlign w:val="center"/>
          </w:tcPr>
          <w:p w14:paraId="100DB7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本人</w:t>
            </w:r>
          </w:p>
        </w:tc>
        <w:tc>
          <w:tcPr>
            <w:tcW w:w="2410" w:type="dxa"/>
            <w:tcBorders>
              <w:top w:val="single" w:sz="2" w:space="0" w:color="auto"/>
              <w:left w:val="single" w:sz="2" w:space="0" w:color="auto"/>
              <w:bottom w:val="single" w:sz="2" w:space="0" w:color="auto"/>
              <w:right w:val="single" w:sz="2" w:space="0" w:color="auto"/>
            </w:tcBorders>
            <w:vAlign w:val="center"/>
          </w:tcPr>
          <w:p w14:paraId="7956143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中国</w:t>
            </w:r>
          </w:p>
        </w:tc>
        <w:tc>
          <w:tcPr>
            <w:tcW w:w="2410" w:type="dxa"/>
            <w:tcBorders>
              <w:top w:val="single" w:sz="2" w:space="0" w:color="auto"/>
              <w:left w:val="single" w:sz="2" w:space="0" w:color="auto"/>
              <w:bottom w:val="single" w:sz="2" w:space="0" w:color="auto"/>
              <w:right w:val="single" w:sz="2" w:space="0" w:color="auto"/>
            </w:tcBorders>
            <w:vAlign w:val="center"/>
          </w:tcPr>
          <w:p w14:paraId="7651FA8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5D1804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4F4A8A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主要职业及职务</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38F5B946" w14:textId="64D7D625"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戴学斌：第十四届全国人大代表、怡君控股有限公司经理、执行董事，蓝润集团有限公司执行董事兼总经理，蓝润发展控股集团有限公司董事长。董翔现任蓝润发展</w:t>
            </w:r>
            <w:r w:rsidR="00CB3A29" w:rsidRPr="005B5EC1">
              <w:rPr>
                <w:rFonts w:ascii="Times New Roman" w:eastAsia="宋体" w:hAnsi="Times New Roman" w:cs="Times New Roman" w:hint="eastAsia"/>
                <w:sz w:val="18"/>
                <w:szCs w:val="18"/>
              </w:rPr>
              <w:t>监事</w:t>
            </w:r>
            <w:r w:rsidRPr="005B5EC1">
              <w:rPr>
                <w:rFonts w:ascii="Times New Roman" w:eastAsia="宋体" w:hAnsi="Times New Roman" w:cs="Times New Roman"/>
                <w:sz w:val="18"/>
                <w:szCs w:val="18"/>
              </w:rPr>
              <w:t>。</w:t>
            </w:r>
          </w:p>
        </w:tc>
      </w:tr>
      <w:tr w:rsidR="00E32FE0" w:rsidRPr="005B5EC1" w14:paraId="3207C08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133196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过去</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年曾控股的境内外上市公司情况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14:paraId="7063718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戴学斌曾为运盛（上海）医疗科技股份有限公司实际控制人之一。</w:t>
            </w:r>
          </w:p>
        </w:tc>
      </w:tr>
    </w:tbl>
    <w:p w14:paraId="6E70FAF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实际控制人报告期内变更</w:t>
      </w:r>
    </w:p>
    <w:p w14:paraId="7F59ABD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E22B26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公司报告期实际控制人未发生变更。</w:t>
      </w:r>
    </w:p>
    <w:p w14:paraId="0423A63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公司与实际控制人之间的产权及控制关系的方框图</w:t>
      </w:r>
    </w:p>
    <w:p w14:paraId="66AB47D1" w14:textId="77777777" w:rsidR="00E32FE0" w:rsidRPr="005B5EC1" w:rsidRDefault="00000000">
      <w:pPr>
        <w:spacing w:before="40" w:after="40" w:line="0" w:lineRule="atLeast"/>
        <w:jc w:val="center"/>
        <w:rPr>
          <w:rFonts w:ascii="Times New Roman" w:eastAsia="宋体" w:hAnsi="Times New Roman" w:cs="Times New Roman"/>
        </w:rPr>
      </w:pPr>
      <w:r w:rsidRPr="005B5EC1">
        <w:rPr>
          <w:rFonts w:ascii="Times New Roman" w:eastAsia="宋体" w:hAnsi="Times New Roman" w:cs="Times New Roman"/>
          <w:noProof/>
        </w:rPr>
        <w:drawing>
          <wp:inline distT="0" distB="0" distL="0" distR="0" wp14:anchorId="6EA1104D" wp14:editId="33FB5408">
            <wp:extent cx="1676400" cy="2719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stretch>
                      <a:fillRect/>
                    </a:stretch>
                  </pic:blipFill>
                  <pic:spPr>
                    <a:xfrm>
                      <a:off x="0" y="0"/>
                      <a:ext cx="1676400" cy="2719388"/>
                    </a:xfrm>
                    <a:prstGeom prst="rect">
                      <a:avLst/>
                    </a:prstGeom>
                  </pic:spPr>
                </pic:pic>
              </a:graphicData>
            </a:graphic>
          </wp:inline>
        </w:drawing>
      </w:r>
    </w:p>
    <w:p w14:paraId="53EF089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实际控制人通过信托或其他资产管理方式控制公司</w:t>
      </w:r>
    </w:p>
    <w:p w14:paraId="1429B01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E5572BF" w14:textId="77777777" w:rsidR="00E32FE0" w:rsidRPr="005B5EC1" w:rsidRDefault="00000000">
      <w:pPr>
        <w:pStyle w:val="3"/>
        <w:spacing w:line="280" w:lineRule="exact"/>
        <w:jc w:val="left"/>
        <w:rPr>
          <w:rFonts w:ascii="Times New Roman" w:hAnsi="Times New Roman" w:cs="Times New Roman"/>
          <w:b/>
          <w:bCs/>
        </w:rPr>
      </w:pPr>
      <w:bookmarkStart w:id="141" w:name="_Toc989030"/>
      <w:r w:rsidRPr="005B5EC1">
        <w:rPr>
          <w:rFonts w:ascii="Times New Roman" w:hAnsi="Times New Roman" w:cs="Times New Roman"/>
          <w:b/>
          <w:bCs/>
        </w:rPr>
        <w:t>4</w:t>
      </w:r>
      <w:r w:rsidRPr="005B5EC1">
        <w:rPr>
          <w:rFonts w:ascii="Times New Roman" w:hAnsi="Times New Roman" w:cs="Times New Roman"/>
          <w:b/>
          <w:bCs/>
        </w:rPr>
        <w:t>、公司控股股东或第一大股东及其一致行动人累计质押股份数量占其所持公司股份数量比例达到</w:t>
      </w:r>
      <w:r w:rsidRPr="005B5EC1">
        <w:rPr>
          <w:rFonts w:ascii="Times New Roman" w:hAnsi="Times New Roman" w:cs="Times New Roman"/>
          <w:b/>
          <w:bCs/>
        </w:rPr>
        <w:t>80%</w:t>
      </w:r>
      <w:bookmarkEnd w:id="141"/>
    </w:p>
    <w:p w14:paraId="4F1FBDB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FBCDA8A" w14:textId="77777777" w:rsidR="00E32FE0" w:rsidRPr="005B5EC1" w:rsidRDefault="00000000">
      <w:pPr>
        <w:pStyle w:val="3"/>
        <w:spacing w:line="280" w:lineRule="exact"/>
        <w:jc w:val="left"/>
        <w:rPr>
          <w:rFonts w:ascii="Times New Roman" w:hAnsi="Times New Roman" w:cs="Times New Roman"/>
          <w:b/>
          <w:bCs/>
        </w:rPr>
      </w:pPr>
      <w:bookmarkStart w:id="142" w:name="_Toc989031"/>
      <w:r w:rsidRPr="005B5EC1">
        <w:rPr>
          <w:rFonts w:ascii="Times New Roman" w:hAnsi="Times New Roman" w:cs="Times New Roman"/>
          <w:b/>
          <w:bCs/>
        </w:rPr>
        <w:lastRenderedPageBreak/>
        <w:t>5</w:t>
      </w:r>
      <w:r w:rsidRPr="005B5EC1">
        <w:rPr>
          <w:rFonts w:ascii="Times New Roman" w:hAnsi="Times New Roman" w:cs="Times New Roman"/>
          <w:b/>
          <w:bCs/>
        </w:rPr>
        <w:t>、其他持股在</w:t>
      </w:r>
      <w:r w:rsidRPr="005B5EC1">
        <w:rPr>
          <w:rFonts w:ascii="Times New Roman" w:hAnsi="Times New Roman" w:cs="Times New Roman"/>
          <w:b/>
          <w:bCs/>
        </w:rPr>
        <w:t>10%</w:t>
      </w:r>
      <w:r w:rsidRPr="005B5EC1">
        <w:rPr>
          <w:rFonts w:ascii="Times New Roman" w:hAnsi="Times New Roman" w:cs="Times New Roman"/>
          <w:b/>
          <w:bCs/>
        </w:rPr>
        <w:t>以上的法人股东</w:t>
      </w:r>
      <w:bookmarkEnd w:id="142"/>
    </w:p>
    <w:p w14:paraId="5B188C3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7C70625" w14:textId="77777777" w:rsidR="00E32FE0" w:rsidRPr="005B5EC1" w:rsidRDefault="00000000">
      <w:pPr>
        <w:pStyle w:val="3"/>
        <w:spacing w:line="280" w:lineRule="exact"/>
        <w:jc w:val="left"/>
        <w:rPr>
          <w:rFonts w:ascii="Times New Roman" w:hAnsi="Times New Roman" w:cs="Times New Roman"/>
          <w:b/>
          <w:bCs/>
        </w:rPr>
      </w:pPr>
      <w:bookmarkStart w:id="143" w:name="_Toc989032"/>
      <w:r w:rsidRPr="005B5EC1">
        <w:rPr>
          <w:rFonts w:ascii="Times New Roman" w:hAnsi="Times New Roman" w:cs="Times New Roman"/>
          <w:b/>
          <w:bCs/>
        </w:rPr>
        <w:t>6</w:t>
      </w:r>
      <w:r w:rsidRPr="005B5EC1">
        <w:rPr>
          <w:rFonts w:ascii="Times New Roman" w:hAnsi="Times New Roman" w:cs="Times New Roman"/>
          <w:b/>
          <w:bCs/>
        </w:rPr>
        <w:t>、控股股东、实际控制人、重组方及其他承诺主体股份限制减持情况</w:t>
      </w:r>
      <w:bookmarkEnd w:id="143"/>
    </w:p>
    <w:p w14:paraId="0943AB3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40AF994"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44" w:name="_Toc989033"/>
      <w:r w:rsidRPr="005B5EC1">
        <w:rPr>
          <w:rFonts w:ascii="Times New Roman" w:eastAsia="宋体" w:hAnsi="Times New Roman" w:cs="Times New Roman"/>
          <w:b/>
          <w:bCs/>
          <w:sz w:val="24"/>
          <w:szCs w:val="24"/>
        </w:rPr>
        <w:t>四、股份回购在报告期的具体实施情况</w:t>
      </w:r>
      <w:bookmarkEnd w:id="144"/>
    </w:p>
    <w:p w14:paraId="34154B8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股份回购的实施进展情况</w:t>
      </w:r>
    </w:p>
    <w:p w14:paraId="2FFF4CB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02DE33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采用集中竞价交易方式减持回购股份的实施进展情况</w:t>
      </w:r>
    </w:p>
    <w:p w14:paraId="2B718DD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E5A5BA0"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2B79D4A8"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145" w:name="_Toc989034"/>
      <w:r w:rsidRPr="005B5EC1">
        <w:rPr>
          <w:rFonts w:ascii="Times New Roman" w:eastAsia="宋体" w:hAnsi="Times New Roman" w:cs="Times New Roman"/>
          <w:b/>
          <w:bCs/>
          <w:sz w:val="32"/>
          <w:szCs w:val="32"/>
        </w:rPr>
        <w:lastRenderedPageBreak/>
        <w:t>第八节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优先股相关情况</w:t>
      </w:r>
      <w:bookmarkEnd w:id="145"/>
    </w:p>
    <w:p w14:paraId="7BDFE81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7D81AB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报告期公司不存在优先股。</w:t>
      </w:r>
    </w:p>
    <w:p w14:paraId="1884CBD9"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146" w:name="_Toc989035"/>
      <w:r w:rsidRPr="005B5EC1">
        <w:rPr>
          <w:rFonts w:ascii="Times New Roman" w:eastAsia="宋体" w:hAnsi="Times New Roman" w:cs="Times New Roman"/>
          <w:b/>
          <w:bCs/>
          <w:sz w:val="32"/>
          <w:szCs w:val="32"/>
        </w:rPr>
        <w:t>第九节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债券相关情况</w:t>
      </w:r>
      <w:bookmarkEnd w:id="146"/>
    </w:p>
    <w:p w14:paraId="398D0B9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73036052"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47" w:name="_Toc989036"/>
      <w:r w:rsidRPr="005B5EC1">
        <w:rPr>
          <w:rFonts w:ascii="Times New Roman" w:eastAsia="宋体" w:hAnsi="Times New Roman" w:cs="Times New Roman"/>
          <w:b/>
          <w:bCs/>
          <w:sz w:val="24"/>
          <w:szCs w:val="24"/>
        </w:rPr>
        <w:t>一、企业债券</w:t>
      </w:r>
      <w:bookmarkEnd w:id="147"/>
    </w:p>
    <w:p w14:paraId="6393254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F09AF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报告期公司不存在企业债券。</w:t>
      </w:r>
    </w:p>
    <w:p w14:paraId="518EFC3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48" w:name="_Toc989037"/>
      <w:r w:rsidRPr="005B5EC1">
        <w:rPr>
          <w:rFonts w:ascii="Times New Roman" w:eastAsia="宋体" w:hAnsi="Times New Roman" w:cs="Times New Roman"/>
          <w:b/>
          <w:bCs/>
          <w:sz w:val="24"/>
          <w:szCs w:val="24"/>
        </w:rPr>
        <w:t>二、公司债券</w:t>
      </w:r>
      <w:bookmarkEnd w:id="148"/>
    </w:p>
    <w:p w14:paraId="756DC0C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E89C8D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报告期公司不存在公司债券。</w:t>
      </w:r>
    </w:p>
    <w:p w14:paraId="56E9E60C"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49" w:name="_Toc989038"/>
      <w:r w:rsidRPr="005B5EC1">
        <w:rPr>
          <w:rFonts w:ascii="Times New Roman" w:eastAsia="宋体" w:hAnsi="Times New Roman" w:cs="Times New Roman"/>
          <w:b/>
          <w:bCs/>
          <w:sz w:val="24"/>
          <w:szCs w:val="24"/>
        </w:rPr>
        <w:t>三、非金融企业债务融资工具</w:t>
      </w:r>
      <w:bookmarkEnd w:id="149"/>
    </w:p>
    <w:p w14:paraId="662B385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31C731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报告期公司不存在非金融企业债务融资工具。</w:t>
      </w:r>
    </w:p>
    <w:p w14:paraId="1577EFE8"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50" w:name="_Toc989039"/>
      <w:r w:rsidRPr="005B5EC1">
        <w:rPr>
          <w:rFonts w:ascii="Times New Roman" w:eastAsia="宋体" w:hAnsi="Times New Roman" w:cs="Times New Roman"/>
          <w:b/>
          <w:bCs/>
          <w:sz w:val="24"/>
          <w:szCs w:val="24"/>
        </w:rPr>
        <w:t>四、可转换公司债券</w:t>
      </w:r>
      <w:bookmarkEnd w:id="150"/>
    </w:p>
    <w:p w14:paraId="353B53C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4008B6A1" w14:textId="77777777" w:rsidR="00E32FE0" w:rsidRPr="005B5EC1" w:rsidRDefault="00000000">
      <w:pPr>
        <w:pStyle w:val="3"/>
        <w:spacing w:line="280" w:lineRule="exact"/>
        <w:jc w:val="left"/>
        <w:rPr>
          <w:rFonts w:ascii="Times New Roman" w:hAnsi="Times New Roman" w:cs="Times New Roman"/>
          <w:b/>
          <w:bCs/>
        </w:rPr>
      </w:pPr>
      <w:bookmarkStart w:id="151" w:name="_Toc989040"/>
      <w:r w:rsidRPr="005B5EC1">
        <w:rPr>
          <w:rFonts w:ascii="Times New Roman" w:hAnsi="Times New Roman" w:cs="Times New Roman"/>
          <w:b/>
          <w:bCs/>
        </w:rPr>
        <w:t>1</w:t>
      </w:r>
      <w:r w:rsidRPr="005B5EC1">
        <w:rPr>
          <w:rFonts w:ascii="Times New Roman" w:hAnsi="Times New Roman" w:cs="Times New Roman"/>
          <w:b/>
          <w:bCs/>
        </w:rPr>
        <w:t>、转股价格历次调整情况</w:t>
      </w:r>
      <w:bookmarkEnd w:id="151"/>
    </w:p>
    <w:p w14:paraId="29531C13" w14:textId="77777777" w:rsidR="00AF139E" w:rsidRPr="005B5EC1" w:rsidRDefault="00000000" w:rsidP="00C453ED">
      <w:pPr>
        <w:pStyle w:val="a3"/>
        <w:spacing w:before="0" w:beforeAutospacing="0" w:after="0" w:afterAutospacing="0" w:line="276" w:lineRule="auto"/>
        <w:ind w:firstLineChars="200" w:firstLine="360"/>
        <w:jc w:val="both"/>
        <w:divId w:val="91827257"/>
        <w:rPr>
          <w:rFonts w:ascii="Times New Roman" w:hAnsi="Times New Roman" w:cs="Times New Roman"/>
          <w:sz w:val="18"/>
          <w:szCs w:val="18"/>
        </w:rPr>
      </w:pPr>
      <w:r w:rsidRPr="005B5EC1">
        <w:rPr>
          <w:rFonts w:ascii="Times New Roman" w:hAnsi="Times New Roman" w:cs="Times New Roman"/>
          <w:sz w:val="18"/>
          <w:szCs w:val="18"/>
        </w:rPr>
        <w:t>经中国证券监督管理委员会</w:t>
      </w:r>
      <w:r w:rsidRPr="005B5EC1">
        <w:rPr>
          <w:rFonts w:ascii="Times New Roman" w:hAnsi="Times New Roman" w:cs="Times New Roman"/>
          <w:sz w:val="18"/>
          <w:szCs w:val="18"/>
        </w:rPr>
        <w:t>“</w:t>
      </w:r>
      <w:r w:rsidRPr="005B5EC1">
        <w:rPr>
          <w:rFonts w:ascii="Times New Roman" w:hAnsi="Times New Roman" w:cs="Times New Roman"/>
          <w:sz w:val="18"/>
          <w:szCs w:val="18"/>
        </w:rPr>
        <w:t>证监许可</w:t>
      </w:r>
      <w:r w:rsidRPr="005B5EC1">
        <w:rPr>
          <w:rFonts w:ascii="Times New Roman" w:hAnsi="Times New Roman" w:cs="Times New Roman"/>
          <w:sz w:val="18"/>
          <w:szCs w:val="18"/>
        </w:rPr>
        <w:t>[2020]1077</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核准，公司于</w:t>
      </w:r>
      <w:r w:rsidRPr="005B5EC1">
        <w:rPr>
          <w:rFonts w:ascii="Times New Roman" w:hAnsi="Times New Roman" w:cs="Times New Roman"/>
          <w:sz w:val="18"/>
          <w:szCs w:val="18"/>
        </w:rPr>
        <w:t>2020</w:t>
      </w:r>
      <w:r w:rsidRPr="005B5EC1">
        <w:rPr>
          <w:rFonts w:ascii="Times New Roman" w:hAnsi="Times New Roman" w:cs="Times New Roman"/>
          <w:sz w:val="18"/>
          <w:szCs w:val="18"/>
        </w:rPr>
        <w:t>年</w:t>
      </w:r>
      <w:r w:rsidRPr="005B5EC1">
        <w:rPr>
          <w:rFonts w:ascii="Times New Roman" w:hAnsi="Times New Roman" w:cs="Times New Roman"/>
          <w:sz w:val="18"/>
          <w:szCs w:val="18"/>
        </w:rPr>
        <w:t>7</w:t>
      </w:r>
      <w:r w:rsidRPr="005B5EC1">
        <w:rPr>
          <w:rFonts w:ascii="Times New Roman" w:hAnsi="Times New Roman" w:cs="Times New Roman"/>
          <w:sz w:val="18"/>
          <w:szCs w:val="18"/>
        </w:rPr>
        <w:t>月</w:t>
      </w:r>
      <w:r w:rsidRPr="005B5EC1">
        <w:rPr>
          <w:rFonts w:ascii="Times New Roman" w:hAnsi="Times New Roman" w:cs="Times New Roman"/>
          <w:sz w:val="18"/>
          <w:szCs w:val="18"/>
        </w:rPr>
        <w:t>13</w:t>
      </w:r>
      <w:r w:rsidRPr="005B5EC1">
        <w:rPr>
          <w:rFonts w:ascii="Times New Roman" w:hAnsi="Times New Roman" w:cs="Times New Roman"/>
          <w:sz w:val="18"/>
          <w:szCs w:val="18"/>
        </w:rPr>
        <w:t>日公开发行了</w:t>
      </w:r>
      <w:r w:rsidRPr="005B5EC1">
        <w:rPr>
          <w:rFonts w:ascii="Times New Roman" w:hAnsi="Times New Roman" w:cs="Times New Roman"/>
          <w:sz w:val="18"/>
          <w:szCs w:val="18"/>
        </w:rPr>
        <w:t>950</w:t>
      </w:r>
      <w:r w:rsidRPr="005B5EC1">
        <w:rPr>
          <w:rFonts w:ascii="Times New Roman" w:hAnsi="Times New Roman" w:cs="Times New Roman"/>
          <w:sz w:val="18"/>
          <w:szCs w:val="18"/>
        </w:rPr>
        <w:t>万张可转换公司债券，每张面值</w:t>
      </w:r>
      <w:r w:rsidRPr="005B5EC1">
        <w:rPr>
          <w:rFonts w:ascii="Times New Roman" w:hAnsi="Times New Roman" w:cs="Times New Roman"/>
          <w:sz w:val="18"/>
          <w:szCs w:val="18"/>
        </w:rPr>
        <w:t>100</w:t>
      </w:r>
      <w:r w:rsidRPr="005B5EC1">
        <w:rPr>
          <w:rFonts w:ascii="Times New Roman" w:hAnsi="Times New Roman" w:cs="Times New Roman"/>
          <w:sz w:val="18"/>
          <w:szCs w:val="18"/>
        </w:rPr>
        <w:t>元，发行总额</w:t>
      </w:r>
      <w:r w:rsidRPr="005B5EC1">
        <w:rPr>
          <w:rFonts w:ascii="Times New Roman" w:hAnsi="Times New Roman" w:cs="Times New Roman"/>
          <w:sz w:val="18"/>
          <w:szCs w:val="18"/>
        </w:rPr>
        <w:t xml:space="preserve"> 95,000.00</w:t>
      </w:r>
      <w:r w:rsidRPr="005B5EC1">
        <w:rPr>
          <w:rFonts w:ascii="Times New Roman" w:hAnsi="Times New Roman" w:cs="Times New Roman"/>
          <w:sz w:val="18"/>
          <w:szCs w:val="18"/>
        </w:rPr>
        <w:t>万元。经深交所</w:t>
      </w:r>
      <w:r w:rsidRPr="005B5EC1">
        <w:rPr>
          <w:rFonts w:ascii="Times New Roman" w:hAnsi="Times New Roman" w:cs="Times New Roman"/>
          <w:sz w:val="18"/>
          <w:szCs w:val="18"/>
        </w:rPr>
        <w:t>“</w:t>
      </w:r>
      <w:r w:rsidRPr="005B5EC1">
        <w:rPr>
          <w:rFonts w:ascii="Times New Roman" w:hAnsi="Times New Roman" w:cs="Times New Roman"/>
          <w:sz w:val="18"/>
          <w:szCs w:val="18"/>
        </w:rPr>
        <w:t>深证上</w:t>
      </w:r>
      <w:r w:rsidRPr="005B5EC1">
        <w:rPr>
          <w:rFonts w:ascii="Times New Roman" w:hAnsi="Times New Roman" w:cs="Times New Roman"/>
          <w:sz w:val="18"/>
          <w:szCs w:val="18"/>
        </w:rPr>
        <w:t>[2020]683</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文同意，公司</w:t>
      </w:r>
      <w:r w:rsidRPr="005B5EC1">
        <w:rPr>
          <w:rFonts w:ascii="Times New Roman" w:hAnsi="Times New Roman" w:cs="Times New Roman"/>
          <w:sz w:val="18"/>
          <w:szCs w:val="18"/>
        </w:rPr>
        <w:t>95,000.00</w:t>
      </w:r>
      <w:r w:rsidRPr="005B5EC1">
        <w:rPr>
          <w:rFonts w:ascii="Times New Roman" w:hAnsi="Times New Roman" w:cs="Times New Roman"/>
          <w:sz w:val="18"/>
          <w:szCs w:val="18"/>
        </w:rPr>
        <w:t>万元可转换公司债券于</w:t>
      </w:r>
      <w:r w:rsidRPr="005B5EC1">
        <w:rPr>
          <w:rFonts w:ascii="Times New Roman" w:hAnsi="Times New Roman" w:cs="Times New Roman"/>
          <w:sz w:val="18"/>
          <w:szCs w:val="18"/>
        </w:rPr>
        <w:t>2020</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7</w:t>
      </w:r>
      <w:r w:rsidRPr="005B5EC1">
        <w:rPr>
          <w:rFonts w:ascii="Times New Roman" w:hAnsi="Times New Roman" w:cs="Times New Roman"/>
          <w:sz w:val="18"/>
          <w:szCs w:val="18"/>
        </w:rPr>
        <w:t>日起在深交所挂牌交易，债券简称</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，债券代码</w:t>
      </w:r>
      <w:r w:rsidRPr="005B5EC1">
        <w:rPr>
          <w:rFonts w:ascii="Times New Roman" w:hAnsi="Times New Roman" w:cs="Times New Roman"/>
          <w:sz w:val="18"/>
          <w:szCs w:val="18"/>
        </w:rPr>
        <w:t>“128119.SZ”</w:t>
      </w:r>
      <w:r w:rsidRPr="005B5EC1">
        <w:rPr>
          <w:rFonts w:ascii="Times New Roman" w:hAnsi="Times New Roman" w:cs="Times New Roman"/>
          <w:sz w:val="18"/>
          <w:szCs w:val="18"/>
        </w:rPr>
        <w:t>。因公司实施完成了</w:t>
      </w:r>
      <w:r w:rsidRPr="005B5EC1">
        <w:rPr>
          <w:rFonts w:ascii="Times New Roman" w:hAnsi="Times New Roman" w:cs="Times New Roman"/>
          <w:sz w:val="18"/>
          <w:szCs w:val="18"/>
        </w:rPr>
        <w:t>3</w:t>
      </w:r>
      <w:r w:rsidRPr="005B5EC1">
        <w:rPr>
          <w:rFonts w:ascii="Times New Roman" w:hAnsi="Times New Roman" w:cs="Times New Roman"/>
          <w:sz w:val="18"/>
          <w:szCs w:val="18"/>
        </w:rPr>
        <w:t>名股权激励对象限制性股票的回购注销事宜，公司总股本发生变化。根据公司可转换公司债券转股价格调整的相关条款，</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的转股价由初始转股价格</w:t>
      </w:r>
      <w:r w:rsidRPr="005B5EC1">
        <w:rPr>
          <w:rFonts w:ascii="Times New Roman" w:hAnsi="Times New Roman" w:cs="Times New Roman"/>
          <w:sz w:val="18"/>
          <w:szCs w:val="18"/>
        </w:rPr>
        <w:t>9.56</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股调整为</w:t>
      </w:r>
      <w:r w:rsidRPr="005B5EC1">
        <w:rPr>
          <w:rFonts w:ascii="Times New Roman" w:hAnsi="Times New Roman" w:cs="Times New Roman"/>
          <w:sz w:val="18"/>
          <w:szCs w:val="18"/>
        </w:rPr>
        <w:t>9.57</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股。调整后的转股价格自</w:t>
      </w:r>
      <w:r w:rsidRPr="005B5EC1">
        <w:rPr>
          <w:rFonts w:ascii="Times New Roman" w:hAnsi="Times New Roman" w:cs="Times New Roman"/>
          <w:sz w:val="18"/>
          <w:szCs w:val="18"/>
        </w:rPr>
        <w:t xml:space="preserve"> 2020</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14</w:t>
      </w:r>
      <w:r w:rsidRPr="005B5EC1">
        <w:rPr>
          <w:rFonts w:ascii="Times New Roman" w:hAnsi="Times New Roman" w:cs="Times New Roman"/>
          <w:sz w:val="18"/>
          <w:szCs w:val="18"/>
        </w:rPr>
        <w:t>日起生效。</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4</w:t>
      </w:r>
      <w:r w:rsidRPr="005B5EC1">
        <w:rPr>
          <w:rFonts w:ascii="Times New Roman" w:hAnsi="Times New Roman" w:cs="Times New Roman"/>
          <w:sz w:val="18"/>
          <w:szCs w:val="18"/>
        </w:rPr>
        <w:t>月</w:t>
      </w:r>
      <w:r w:rsidRPr="005B5EC1">
        <w:rPr>
          <w:rFonts w:ascii="Times New Roman" w:hAnsi="Times New Roman" w:cs="Times New Roman"/>
          <w:sz w:val="18"/>
          <w:szCs w:val="18"/>
        </w:rPr>
        <w:t>30</w:t>
      </w:r>
      <w:r w:rsidRPr="005B5EC1">
        <w:rPr>
          <w:rFonts w:ascii="Times New Roman" w:hAnsi="Times New Roman" w:cs="Times New Roman"/>
          <w:sz w:val="18"/>
          <w:szCs w:val="18"/>
        </w:rPr>
        <w:t>日，公司实施完成了</w:t>
      </w:r>
      <w:r w:rsidRPr="005B5EC1">
        <w:rPr>
          <w:rFonts w:ascii="Times New Roman" w:hAnsi="Times New Roman" w:cs="Times New Roman"/>
          <w:sz w:val="18"/>
          <w:szCs w:val="18"/>
        </w:rPr>
        <w:t>2020</w:t>
      </w:r>
      <w:r w:rsidRPr="005B5EC1">
        <w:rPr>
          <w:rFonts w:ascii="Times New Roman" w:hAnsi="Times New Roman" w:cs="Times New Roman"/>
          <w:sz w:val="18"/>
          <w:szCs w:val="18"/>
        </w:rPr>
        <w:t>年度权益分派方案。根据公司可转换公司债券转股价格调整的相关条款，</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的转股价格由</w:t>
      </w:r>
      <w:r w:rsidRPr="005B5EC1">
        <w:rPr>
          <w:rFonts w:ascii="Times New Roman" w:hAnsi="Times New Roman" w:cs="Times New Roman"/>
          <w:sz w:val="18"/>
          <w:szCs w:val="18"/>
        </w:rPr>
        <w:t>9.57</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股调整为</w:t>
      </w:r>
      <w:r w:rsidRPr="005B5EC1">
        <w:rPr>
          <w:rFonts w:ascii="Times New Roman" w:hAnsi="Times New Roman" w:cs="Times New Roman"/>
          <w:sz w:val="18"/>
          <w:szCs w:val="18"/>
        </w:rPr>
        <w:t>9.38</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股。调整后的转股价格自</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4</w:t>
      </w:r>
      <w:r w:rsidRPr="005B5EC1">
        <w:rPr>
          <w:rFonts w:ascii="Times New Roman" w:hAnsi="Times New Roman" w:cs="Times New Roman"/>
          <w:sz w:val="18"/>
          <w:szCs w:val="18"/>
        </w:rPr>
        <w:t>月</w:t>
      </w:r>
      <w:r w:rsidRPr="005B5EC1">
        <w:rPr>
          <w:rFonts w:ascii="Times New Roman" w:hAnsi="Times New Roman" w:cs="Times New Roman"/>
          <w:sz w:val="18"/>
          <w:szCs w:val="18"/>
        </w:rPr>
        <w:t>30</w:t>
      </w:r>
      <w:r w:rsidRPr="005B5EC1">
        <w:rPr>
          <w:rFonts w:ascii="Times New Roman" w:hAnsi="Times New Roman" w:cs="Times New Roman"/>
          <w:sz w:val="18"/>
          <w:szCs w:val="18"/>
        </w:rPr>
        <w:t>日起生效。自前次转股价格调整日</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4</w:t>
      </w:r>
      <w:r w:rsidRPr="005B5EC1">
        <w:rPr>
          <w:rFonts w:ascii="Times New Roman" w:hAnsi="Times New Roman" w:cs="Times New Roman"/>
          <w:sz w:val="18"/>
          <w:szCs w:val="18"/>
        </w:rPr>
        <w:t>月</w:t>
      </w:r>
      <w:r w:rsidRPr="005B5EC1">
        <w:rPr>
          <w:rFonts w:ascii="Times New Roman" w:hAnsi="Times New Roman" w:cs="Times New Roman"/>
          <w:sz w:val="18"/>
          <w:szCs w:val="18"/>
        </w:rPr>
        <w:t>30</w:t>
      </w:r>
      <w:r w:rsidRPr="005B5EC1">
        <w:rPr>
          <w:rFonts w:ascii="Times New Roman" w:hAnsi="Times New Roman" w:cs="Times New Roman"/>
          <w:sz w:val="18"/>
          <w:szCs w:val="18"/>
        </w:rPr>
        <w:t>日起至</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2</w:t>
      </w:r>
      <w:r w:rsidRPr="005B5EC1">
        <w:rPr>
          <w:rFonts w:ascii="Times New Roman" w:hAnsi="Times New Roman" w:cs="Times New Roman"/>
          <w:sz w:val="18"/>
          <w:szCs w:val="18"/>
        </w:rPr>
        <w:t>日，公司总股本因激励对象自主行权以及公司非公开发行股票上市成功发生变化，根据公司可转换公司债券转股价格调整的相关条款，</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的转股价由</w:t>
      </w:r>
      <w:r w:rsidRPr="005B5EC1">
        <w:rPr>
          <w:rFonts w:ascii="Times New Roman" w:hAnsi="Times New Roman" w:cs="Times New Roman"/>
          <w:sz w:val="18"/>
          <w:szCs w:val="18"/>
        </w:rPr>
        <w:t>9.38</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股调整为</w:t>
      </w:r>
      <w:r w:rsidRPr="005B5EC1">
        <w:rPr>
          <w:rFonts w:ascii="Times New Roman" w:hAnsi="Times New Roman" w:cs="Times New Roman"/>
          <w:sz w:val="18"/>
          <w:szCs w:val="18"/>
        </w:rPr>
        <w:t>9.29</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股。调整后的转股价格自</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12</w:t>
      </w:r>
      <w:r w:rsidRPr="005B5EC1">
        <w:rPr>
          <w:rFonts w:ascii="Times New Roman" w:hAnsi="Times New Roman" w:cs="Times New Roman"/>
          <w:sz w:val="18"/>
          <w:szCs w:val="18"/>
        </w:rPr>
        <w:t>日起生效。自前次转股价格调整日至</w:t>
      </w: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3</w:t>
      </w:r>
      <w:r w:rsidRPr="005B5EC1">
        <w:rPr>
          <w:rFonts w:ascii="Times New Roman" w:hAnsi="Times New Roman" w:cs="Times New Roman"/>
          <w:sz w:val="18"/>
          <w:szCs w:val="18"/>
        </w:rPr>
        <w:t>月</w:t>
      </w:r>
      <w:r w:rsidRPr="005B5EC1">
        <w:rPr>
          <w:rFonts w:ascii="Times New Roman" w:hAnsi="Times New Roman" w:cs="Times New Roman"/>
          <w:sz w:val="18"/>
          <w:szCs w:val="18"/>
        </w:rPr>
        <w:t>28</w:t>
      </w:r>
      <w:r w:rsidRPr="005B5EC1">
        <w:rPr>
          <w:rFonts w:ascii="Times New Roman" w:hAnsi="Times New Roman" w:cs="Times New Roman"/>
          <w:sz w:val="18"/>
          <w:szCs w:val="18"/>
        </w:rPr>
        <w:t>日，公司总股本因激励对象自主行权以及限制性股票回购注销而发生变化，根据公司可转换公司债券转股价格调整的相关条款，</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的转股价由</w:t>
      </w:r>
      <w:r w:rsidRPr="005B5EC1">
        <w:rPr>
          <w:rFonts w:ascii="Times New Roman" w:hAnsi="Times New Roman" w:cs="Times New Roman"/>
          <w:sz w:val="18"/>
          <w:szCs w:val="18"/>
        </w:rPr>
        <w:t>9.29</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股调整为</w:t>
      </w:r>
      <w:r w:rsidRPr="005B5EC1">
        <w:rPr>
          <w:rFonts w:ascii="Times New Roman" w:hAnsi="Times New Roman" w:cs="Times New Roman"/>
          <w:sz w:val="18"/>
          <w:szCs w:val="18"/>
        </w:rPr>
        <w:t>9.28</w:t>
      </w:r>
      <w:r w:rsidRPr="005B5EC1">
        <w:rPr>
          <w:rFonts w:ascii="Times New Roman" w:hAnsi="Times New Roman" w:cs="Times New Roman"/>
          <w:sz w:val="18"/>
          <w:szCs w:val="18"/>
        </w:rPr>
        <w:lastRenderedPageBreak/>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股。调整后的转股价格自</w:t>
      </w: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3</w:t>
      </w:r>
      <w:r w:rsidRPr="005B5EC1">
        <w:rPr>
          <w:rFonts w:ascii="Times New Roman" w:hAnsi="Times New Roman" w:cs="Times New Roman"/>
          <w:sz w:val="18"/>
          <w:szCs w:val="18"/>
        </w:rPr>
        <w:t>月</w:t>
      </w:r>
      <w:r w:rsidRPr="005B5EC1">
        <w:rPr>
          <w:rFonts w:ascii="Times New Roman" w:hAnsi="Times New Roman" w:cs="Times New Roman"/>
          <w:sz w:val="18"/>
          <w:szCs w:val="18"/>
        </w:rPr>
        <w:t>31</w:t>
      </w:r>
      <w:r w:rsidRPr="005B5EC1">
        <w:rPr>
          <w:rFonts w:ascii="Times New Roman" w:hAnsi="Times New Roman" w:cs="Times New Roman"/>
          <w:sz w:val="18"/>
          <w:szCs w:val="18"/>
        </w:rPr>
        <w:t>日起生效。自前次转股价格调整日至</w:t>
      </w: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17</w:t>
      </w:r>
      <w:r w:rsidRPr="005B5EC1">
        <w:rPr>
          <w:rFonts w:ascii="Times New Roman" w:hAnsi="Times New Roman" w:cs="Times New Roman"/>
          <w:sz w:val="18"/>
          <w:szCs w:val="18"/>
        </w:rPr>
        <w:t>日，公司总股本因激励对象自主行权以及限制性股票回购注销而发生变化，根据公司可转换公司债券转股价格调整的相关条款，</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的转股价由</w:t>
      </w:r>
      <w:r w:rsidRPr="005B5EC1">
        <w:rPr>
          <w:rFonts w:ascii="Times New Roman" w:hAnsi="Times New Roman" w:cs="Times New Roman"/>
          <w:sz w:val="18"/>
          <w:szCs w:val="18"/>
        </w:rPr>
        <w:t>9.28</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股调整为</w:t>
      </w:r>
      <w:r w:rsidRPr="005B5EC1">
        <w:rPr>
          <w:rFonts w:ascii="Times New Roman" w:hAnsi="Times New Roman" w:cs="Times New Roman"/>
          <w:sz w:val="18"/>
          <w:szCs w:val="18"/>
        </w:rPr>
        <w:t>9.30</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股。调整后的转股价格自</w:t>
      </w: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19</w:t>
      </w:r>
      <w:r w:rsidRPr="005B5EC1">
        <w:rPr>
          <w:rFonts w:ascii="Times New Roman" w:hAnsi="Times New Roman" w:cs="Times New Roman"/>
          <w:sz w:val="18"/>
          <w:szCs w:val="18"/>
        </w:rPr>
        <w:t>日起生效。</w:t>
      </w:r>
    </w:p>
    <w:p w14:paraId="7468D9B8" w14:textId="77777777" w:rsidR="00E32FE0" w:rsidRPr="005B5EC1" w:rsidRDefault="00000000">
      <w:pPr>
        <w:pStyle w:val="3"/>
        <w:spacing w:line="280" w:lineRule="exact"/>
        <w:jc w:val="left"/>
        <w:rPr>
          <w:rFonts w:ascii="Times New Roman" w:hAnsi="Times New Roman" w:cs="Times New Roman"/>
          <w:b/>
          <w:bCs/>
        </w:rPr>
      </w:pPr>
      <w:bookmarkStart w:id="152" w:name="_Toc989041"/>
      <w:r w:rsidRPr="005B5EC1">
        <w:rPr>
          <w:rFonts w:ascii="Times New Roman" w:hAnsi="Times New Roman" w:cs="Times New Roman"/>
          <w:b/>
          <w:bCs/>
        </w:rPr>
        <w:t>2</w:t>
      </w:r>
      <w:r w:rsidRPr="005B5EC1">
        <w:rPr>
          <w:rFonts w:ascii="Times New Roman" w:hAnsi="Times New Roman" w:cs="Times New Roman"/>
          <w:b/>
          <w:bCs/>
        </w:rPr>
        <w:t>、累计转股情况</w:t>
      </w:r>
      <w:bookmarkEnd w:id="152"/>
    </w:p>
    <w:p w14:paraId="7575595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923"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942"/>
        <w:gridCol w:w="1200"/>
        <w:gridCol w:w="926"/>
        <w:gridCol w:w="1276"/>
        <w:gridCol w:w="1185"/>
        <w:gridCol w:w="897"/>
        <w:gridCol w:w="1071"/>
        <w:gridCol w:w="1434"/>
        <w:gridCol w:w="992"/>
      </w:tblGrid>
      <w:tr w:rsidR="00E32FE0" w:rsidRPr="005B5EC1" w14:paraId="0F99C8B4" w14:textId="77777777" w:rsidTr="00C453ED">
        <w:trPr>
          <w:trHeight w:val="240"/>
          <w:jc w:val="center"/>
        </w:trPr>
        <w:tc>
          <w:tcPr>
            <w:tcW w:w="942" w:type="dxa"/>
            <w:tcBorders>
              <w:top w:val="single" w:sz="2" w:space="0" w:color="auto"/>
              <w:left w:val="single" w:sz="2" w:space="0" w:color="auto"/>
              <w:bottom w:val="single" w:sz="2" w:space="0" w:color="auto"/>
              <w:right w:val="single" w:sz="2" w:space="0" w:color="auto"/>
            </w:tcBorders>
            <w:shd w:val="clear" w:color="auto" w:fill="D3D3D3"/>
            <w:vAlign w:val="center"/>
          </w:tcPr>
          <w:p w14:paraId="31F1FF7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转债简称</w:t>
            </w:r>
          </w:p>
        </w:tc>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BE1E7A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转股起止日期</w:t>
            </w:r>
          </w:p>
        </w:tc>
        <w:tc>
          <w:tcPr>
            <w:tcW w:w="926" w:type="dxa"/>
            <w:tcBorders>
              <w:top w:val="single" w:sz="2" w:space="0" w:color="auto"/>
              <w:left w:val="single" w:sz="2" w:space="0" w:color="auto"/>
              <w:bottom w:val="single" w:sz="2" w:space="0" w:color="auto"/>
              <w:right w:val="single" w:sz="2" w:space="0" w:color="auto"/>
            </w:tcBorders>
            <w:shd w:val="clear" w:color="auto" w:fill="D3D3D3"/>
            <w:vAlign w:val="center"/>
          </w:tcPr>
          <w:p w14:paraId="148185D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发行总量（张）</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47F8EA4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发行总金额（元）</w:t>
            </w:r>
          </w:p>
        </w:tc>
        <w:tc>
          <w:tcPr>
            <w:tcW w:w="1185" w:type="dxa"/>
            <w:tcBorders>
              <w:top w:val="single" w:sz="2" w:space="0" w:color="auto"/>
              <w:left w:val="single" w:sz="2" w:space="0" w:color="auto"/>
              <w:bottom w:val="single" w:sz="2" w:space="0" w:color="auto"/>
              <w:right w:val="single" w:sz="2" w:space="0" w:color="auto"/>
            </w:tcBorders>
            <w:shd w:val="clear" w:color="auto" w:fill="D3D3D3"/>
            <w:vAlign w:val="center"/>
          </w:tcPr>
          <w:p w14:paraId="3340060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累计转股金额（元）</w:t>
            </w:r>
          </w:p>
        </w:tc>
        <w:tc>
          <w:tcPr>
            <w:tcW w:w="897" w:type="dxa"/>
            <w:tcBorders>
              <w:top w:val="single" w:sz="2" w:space="0" w:color="auto"/>
              <w:left w:val="single" w:sz="2" w:space="0" w:color="auto"/>
              <w:bottom w:val="single" w:sz="2" w:space="0" w:color="auto"/>
              <w:right w:val="single" w:sz="2" w:space="0" w:color="auto"/>
            </w:tcBorders>
            <w:shd w:val="clear" w:color="auto" w:fill="D3D3D3"/>
            <w:vAlign w:val="center"/>
          </w:tcPr>
          <w:p w14:paraId="3A33ED6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累计转股数（股）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528088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转股数量占转股开始日前公司已发行股份总额的比例</w:t>
            </w:r>
          </w:p>
        </w:tc>
        <w:tc>
          <w:tcPr>
            <w:tcW w:w="1434" w:type="dxa"/>
            <w:tcBorders>
              <w:top w:val="single" w:sz="2" w:space="0" w:color="auto"/>
              <w:left w:val="single" w:sz="2" w:space="0" w:color="auto"/>
              <w:bottom w:val="single" w:sz="2" w:space="0" w:color="auto"/>
              <w:right w:val="single" w:sz="2" w:space="0" w:color="auto"/>
            </w:tcBorders>
            <w:shd w:val="clear" w:color="auto" w:fill="D3D3D3"/>
            <w:vAlign w:val="center"/>
          </w:tcPr>
          <w:p w14:paraId="1BDBD0A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尚未转股金额（元）</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AE1482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未转股金额占发行总金额的比例</w:t>
            </w:r>
          </w:p>
        </w:tc>
      </w:tr>
      <w:tr w:rsidR="00E32FE0" w:rsidRPr="005B5EC1" w14:paraId="3ACEB521" w14:textId="77777777" w:rsidTr="00C453ED">
        <w:trPr>
          <w:trHeight w:val="240"/>
          <w:jc w:val="center"/>
        </w:trPr>
        <w:tc>
          <w:tcPr>
            <w:tcW w:w="942" w:type="dxa"/>
            <w:tcBorders>
              <w:top w:val="single" w:sz="2" w:space="0" w:color="auto"/>
              <w:left w:val="single" w:sz="2" w:space="0" w:color="auto"/>
              <w:bottom w:val="single" w:sz="2" w:space="0" w:color="auto"/>
              <w:right w:val="single" w:sz="2" w:space="0" w:color="auto"/>
            </w:tcBorders>
            <w:vAlign w:val="center"/>
          </w:tcPr>
          <w:p w14:paraId="19B54E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龙大转债</w:t>
            </w:r>
          </w:p>
        </w:tc>
        <w:tc>
          <w:tcPr>
            <w:tcW w:w="1200" w:type="dxa"/>
            <w:tcBorders>
              <w:top w:val="single" w:sz="2" w:space="0" w:color="auto"/>
              <w:left w:val="single" w:sz="2" w:space="0" w:color="auto"/>
              <w:bottom w:val="single" w:sz="2" w:space="0" w:color="auto"/>
              <w:right w:val="single" w:sz="2" w:space="0" w:color="auto"/>
            </w:tcBorders>
            <w:vAlign w:val="center"/>
          </w:tcPr>
          <w:p w14:paraId="5B88A5B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日至</w:t>
            </w:r>
            <w:r w:rsidRPr="005B5EC1">
              <w:rPr>
                <w:rFonts w:ascii="Times New Roman" w:eastAsia="宋体" w:hAnsi="Times New Roman" w:cs="Times New Roman"/>
                <w:sz w:val="18"/>
                <w:szCs w:val="18"/>
              </w:rPr>
              <w:t>2026</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926" w:type="dxa"/>
            <w:tcBorders>
              <w:top w:val="single" w:sz="2" w:space="0" w:color="auto"/>
              <w:left w:val="single" w:sz="2" w:space="0" w:color="auto"/>
              <w:bottom w:val="single" w:sz="2" w:space="0" w:color="auto"/>
              <w:right w:val="single" w:sz="2" w:space="0" w:color="auto"/>
            </w:tcBorders>
            <w:vAlign w:val="center"/>
          </w:tcPr>
          <w:p w14:paraId="2449AE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9,500,000</w:t>
            </w:r>
          </w:p>
        </w:tc>
        <w:tc>
          <w:tcPr>
            <w:tcW w:w="1276" w:type="dxa"/>
            <w:tcBorders>
              <w:top w:val="single" w:sz="2" w:space="0" w:color="auto"/>
              <w:left w:val="single" w:sz="2" w:space="0" w:color="auto"/>
              <w:bottom w:val="single" w:sz="2" w:space="0" w:color="auto"/>
              <w:right w:val="single" w:sz="2" w:space="0" w:color="auto"/>
            </w:tcBorders>
            <w:vAlign w:val="center"/>
          </w:tcPr>
          <w:p w14:paraId="39C3C2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950,000,000.00</w:t>
            </w:r>
          </w:p>
        </w:tc>
        <w:tc>
          <w:tcPr>
            <w:tcW w:w="1185" w:type="dxa"/>
            <w:tcBorders>
              <w:top w:val="single" w:sz="2" w:space="0" w:color="auto"/>
              <w:left w:val="single" w:sz="2" w:space="0" w:color="auto"/>
              <w:bottom w:val="single" w:sz="2" w:space="0" w:color="auto"/>
              <w:right w:val="single" w:sz="2" w:space="0" w:color="auto"/>
            </w:tcBorders>
            <w:vAlign w:val="center"/>
          </w:tcPr>
          <w:p w14:paraId="25F9E1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3,947,300.00</w:t>
            </w:r>
          </w:p>
        </w:tc>
        <w:tc>
          <w:tcPr>
            <w:tcW w:w="897" w:type="dxa"/>
            <w:tcBorders>
              <w:top w:val="single" w:sz="2" w:space="0" w:color="auto"/>
              <w:left w:val="single" w:sz="2" w:space="0" w:color="auto"/>
              <w:bottom w:val="single" w:sz="2" w:space="0" w:color="auto"/>
              <w:right w:val="single" w:sz="2" w:space="0" w:color="auto"/>
            </w:tcBorders>
            <w:vAlign w:val="center"/>
          </w:tcPr>
          <w:p w14:paraId="7E4B8E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418,494</w:t>
            </w:r>
          </w:p>
        </w:tc>
        <w:tc>
          <w:tcPr>
            <w:tcW w:w="1071" w:type="dxa"/>
            <w:tcBorders>
              <w:top w:val="single" w:sz="2" w:space="0" w:color="auto"/>
              <w:left w:val="single" w:sz="2" w:space="0" w:color="auto"/>
              <w:bottom w:val="single" w:sz="2" w:space="0" w:color="auto"/>
              <w:right w:val="single" w:sz="2" w:space="0" w:color="auto"/>
            </w:tcBorders>
            <w:vAlign w:val="center"/>
          </w:tcPr>
          <w:p w14:paraId="33B0A45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0.04%</w:t>
            </w:r>
          </w:p>
        </w:tc>
        <w:tc>
          <w:tcPr>
            <w:tcW w:w="1434" w:type="dxa"/>
            <w:tcBorders>
              <w:top w:val="single" w:sz="2" w:space="0" w:color="auto"/>
              <w:left w:val="single" w:sz="2" w:space="0" w:color="auto"/>
              <w:bottom w:val="single" w:sz="2" w:space="0" w:color="auto"/>
              <w:right w:val="single" w:sz="2" w:space="0" w:color="auto"/>
            </w:tcBorders>
            <w:vAlign w:val="center"/>
          </w:tcPr>
          <w:p w14:paraId="1A9D34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946,052,700.00</w:t>
            </w:r>
          </w:p>
        </w:tc>
        <w:tc>
          <w:tcPr>
            <w:tcW w:w="992" w:type="dxa"/>
            <w:tcBorders>
              <w:top w:val="single" w:sz="2" w:space="0" w:color="auto"/>
              <w:left w:val="single" w:sz="2" w:space="0" w:color="auto"/>
              <w:bottom w:val="single" w:sz="2" w:space="0" w:color="auto"/>
              <w:right w:val="single" w:sz="2" w:space="0" w:color="auto"/>
            </w:tcBorders>
            <w:vAlign w:val="center"/>
          </w:tcPr>
          <w:p w14:paraId="1BF255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99.58%</w:t>
            </w:r>
          </w:p>
        </w:tc>
      </w:tr>
    </w:tbl>
    <w:p w14:paraId="27078B8E" w14:textId="77777777" w:rsidR="00E32FE0" w:rsidRPr="005B5EC1" w:rsidRDefault="00000000">
      <w:pPr>
        <w:pStyle w:val="3"/>
        <w:spacing w:line="280" w:lineRule="exact"/>
        <w:jc w:val="left"/>
        <w:rPr>
          <w:rFonts w:ascii="Times New Roman" w:hAnsi="Times New Roman" w:cs="Times New Roman"/>
          <w:b/>
          <w:bCs/>
        </w:rPr>
      </w:pPr>
      <w:bookmarkStart w:id="153" w:name="_Toc989042"/>
      <w:r w:rsidRPr="005B5EC1">
        <w:rPr>
          <w:rFonts w:ascii="Times New Roman" w:hAnsi="Times New Roman" w:cs="Times New Roman"/>
          <w:b/>
          <w:bCs/>
        </w:rPr>
        <w:t>3</w:t>
      </w:r>
      <w:r w:rsidRPr="005B5EC1">
        <w:rPr>
          <w:rFonts w:ascii="Times New Roman" w:hAnsi="Times New Roman" w:cs="Times New Roman"/>
          <w:b/>
          <w:bCs/>
        </w:rPr>
        <w:t>、前十名可转债持有人情况</w:t>
      </w:r>
      <w:bookmarkEnd w:id="153"/>
    </w:p>
    <w:tbl>
      <w:tblPr>
        <w:tblW w:w="9923"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2835"/>
        <w:gridCol w:w="1273"/>
        <w:gridCol w:w="1607"/>
        <w:gridCol w:w="1607"/>
        <w:gridCol w:w="1891"/>
      </w:tblGrid>
      <w:tr w:rsidR="00E32FE0" w:rsidRPr="005B5EC1" w14:paraId="474BBB0C"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shd w:val="clear" w:color="auto" w:fill="D3D3D3"/>
            <w:vAlign w:val="center"/>
          </w:tcPr>
          <w:p w14:paraId="678194E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序号</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71399B2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可转债持有人名称</w:t>
            </w:r>
          </w:p>
        </w:tc>
        <w:tc>
          <w:tcPr>
            <w:tcW w:w="1273" w:type="dxa"/>
            <w:tcBorders>
              <w:top w:val="single" w:sz="2" w:space="0" w:color="auto"/>
              <w:left w:val="single" w:sz="2" w:space="0" w:color="auto"/>
              <w:bottom w:val="single" w:sz="2" w:space="0" w:color="auto"/>
              <w:right w:val="single" w:sz="2" w:space="0" w:color="auto"/>
            </w:tcBorders>
            <w:shd w:val="clear" w:color="auto" w:fill="D3D3D3"/>
            <w:vAlign w:val="center"/>
          </w:tcPr>
          <w:p w14:paraId="4A03484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可转债持有人性质</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AF9469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报告期末持有可转债数量（张）</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481573B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报告期末持有可转债金额（元）</w:t>
            </w:r>
          </w:p>
        </w:tc>
        <w:tc>
          <w:tcPr>
            <w:tcW w:w="1891" w:type="dxa"/>
            <w:tcBorders>
              <w:top w:val="single" w:sz="2" w:space="0" w:color="auto"/>
              <w:left w:val="single" w:sz="2" w:space="0" w:color="auto"/>
              <w:bottom w:val="single" w:sz="2" w:space="0" w:color="auto"/>
              <w:right w:val="single" w:sz="2" w:space="0" w:color="auto"/>
            </w:tcBorders>
            <w:shd w:val="clear" w:color="auto" w:fill="D3D3D3"/>
            <w:vAlign w:val="center"/>
          </w:tcPr>
          <w:p w14:paraId="7A05B05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报告期末持有可转债占比</w:t>
            </w:r>
          </w:p>
        </w:tc>
      </w:tr>
      <w:tr w:rsidR="00E32FE0" w:rsidRPr="005B5EC1" w14:paraId="09C21D62"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3F539E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2835" w:type="dxa"/>
            <w:tcBorders>
              <w:top w:val="single" w:sz="2" w:space="0" w:color="auto"/>
              <w:left w:val="single" w:sz="2" w:space="0" w:color="auto"/>
              <w:bottom w:val="single" w:sz="2" w:space="0" w:color="auto"/>
              <w:right w:val="single" w:sz="2" w:space="0" w:color="auto"/>
            </w:tcBorders>
            <w:vAlign w:val="center"/>
          </w:tcPr>
          <w:p w14:paraId="05F4072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中国银行股份有限公司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易方达稳健收益债券型证券投资基金</w:t>
            </w:r>
          </w:p>
        </w:tc>
        <w:tc>
          <w:tcPr>
            <w:tcW w:w="1273" w:type="dxa"/>
            <w:tcBorders>
              <w:top w:val="single" w:sz="2" w:space="0" w:color="auto"/>
              <w:left w:val="single" w:sz="2" w:space="0" w:color="auto"/>
              <w:bottom w:val="single" w:sz="2" w:space="0" w:color="auto"/>
              <w:right w:val="single" w:sz="2" w:space="0" w:color="auto"/>
            </w:tcBorders>
            <w:vAlign w:val="center"/>
          </w:tcPr>
          <w:p w14:paraId="7DC3A3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555ED6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550,366</w:t>
            </w:r>
          </w:p>
        </w:tc>
        <w:tc>
          <w:tcPr>
            <w:tcW w:w="1607" w:type="dxa"/>
            <w:tcBorders>
              <w:top w:val="single" w:sz="2" w:space="0" w:color="auto"/>
              <w:left w:val="single" w:sz="2" w:space="0" w:color="auto"/>
              <w:bottom w:val="single" w:sz="2" w:space="0" w:color="auto"/>
              <w:right w:val="single" w:sz="2" w:space="0" w:color="auto"/>
            </w:tcBorders>
            <w:vAlign w:val="center"/>
          </w:tcPr>
          <w:p w14:paraId="3260F4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55,036,600.00</w:t>
            </w:r>
          </w:p>
        </w:tc>
        <w:tc>
          <w:tcPr>
            <w:tcW w:w="1891" w:type="dxa"/>
            <w:tcBorders>
              <w:top w:val="single" w:sz="2" w:space="0" w:color="auto"/>
              <w:left w:val="single" w:sz="2" w:space="0" w:color="auto"/>
              <w:bottom w:val="single" w:sz="2" w:space="0" w:color="auto"/>
              <w:right w:val="single" w:sz="2" w:space="0" w:color="auto"/>
            </w:tcBorders>
            <w:vAlign w:val="center"/>
          </w:tcPr>
          <w:p w14:paraId="4C80F1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5.82%</w:t>
            </w:r>
          </w:p>
        </w:tc>
      </w:tr>
      <w:tr w:rsidR="00E32FE0" w:rsidRPr="005B5EC1" w14:paraId="3AB3E966"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76EDEA0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p>
        </w:tc>
        <w:tc>
          <w:tcPr>
            <w:tcW w:w="2835" w:type="dxa"/>
            <w:tcBorders>
              <w:top w:val="single" w:sz="2" w:space="0" w:color="auto"/>
              <w:left w:val="single" w:sz="2" w:space="0" w:color="auto"/>
              <w:bottom w:val="single" w:sz="2" w:space="0" w:color="auto"/>
              <w:right w:val="single" w:sz="2" w:space="0" w:color="auto"/>
            </w:tcBorders>
            <w:vAlign w:val="center"/>
          </w:tcPr>
          <w:p w14:paraId="2038F06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西北投资管理（香港）有限公司－西北飞龙基金有限公司</w:t>
            </w:r>
          </w:p>
        </w:tc>
        <w:tc>
          <w:tcPr>
            <w:tcW w:w="1273" w:type="dxa"/>
            <w:tcBorders>
              <w:top w:val="single" w:sz="2" w:space="0" w:color="auto"/>
              <w:left w:val="single" w:sz="2" w:space="0" w:color="auto"/>
              <w:bottom w:val="single" w:sz="2" w:space="0" w:color="auto"/>
              <w:right w:val="single" w:sz="2" w:space="0" w:color="auto"/>
            </w:tcBorders>
            <w:vAlign w:val="center"/>
          </w:tcPr>
          <w:p w14:paraId="436C819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境外法人</w:t>
            </w:r>
          </w:p>
        </w:tc>
        <w:tc>
          <w:tcPr>
            <w:tcW w:w="1607" w:type="dxa"/>
            <w:tcBorders>
              <w:top w:val="single" w:sz="2" w:space="0" w:color="auto"/>
              <w:left w:val="single" w:sz="2" w:space="0" w:color="auto"/>
              <w:bottom w:val="single" w:sz="2" w:space="0" w:color="auto"/>
              <w:right w:val="single" w:sz="2" w:space="0" w:color="auto"/>
            </w:tcBorders>
            <w:vAlign w:val="center"/>
          </w:tcPr>
          <w:p w14:paraId="34B4E26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465,099</w:t>
            </w:r>
          </w:p>
        </w:tc>
        <w:tc>
          <w:tcPr>
            <w:tcW w:w="1607" w:type="dxa"/>
            <w:tcBorders>
              <w:top w:val="single" w:sz="2" w:space="0" w:color="auto"/>
              <w:left w:val="single" w:sz="2" w:space="0" w:color="auto"/>
              <w:bottom w:val="single" w:sz="2" w:space="0" w:color="auto"/>
              <w:right w:val="single" w:sz="2" w:space="0" w:color="auto"/>
            </w:tcBorders>
            <w:vAlign w:val="center"/>
          </w:tcPr>
          <w:p w14:paraId="1A5DC9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46,509,900.00</w:t>
            </w:r>
          </w:p>
        </w:tc>
        <w:tc>
          <w:tcPr>
            <w:tcW w:w="1891" w:type="dxa"/>
            <w:tcBorders>
              <w:top w:val="single" w:sz="2" w:space="0" w:color="auto"/>
              <w:left w:val="single" w:sz="2" w:space="0" w:color="auto"/>
              <w:bottom w:val="single" w:sz="2" w:space="0" w:color="auto"/>
              <w:right w:val="single" w:sz="2" w:space="0" w:color="auto"/>
            </w:tcBorders>
            <w:vAlign w:val="center"/>
          </w:tcPr>
          <w:p w14:paraId="1B1975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4.92%</w:t>
            </w:r>
          </w:p>
        </w:tc>
      </w:tr>
      <w:tr w:rsidR="00E32FE0" w:rsidRPr="005B5EC1" w14:paraId="69CDC749"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230DBD0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p>
        </w:tc>
        <w:tc>
          <w:tcPr>
            <w:tcW w:w="2835" w:type="dxa"/>
            <w:tcBorders>
              <w:top w:val="single" w:sz="2" w:space="0" w:color="auto"/>
              <w:left w:val="single" w:sz="2" w:space="0" w:color="auto"/>
              <w:bottom w:val="single" w:sz="2" w:space="0" w:color="auto"/>
              <w:right w:val="single" w:sz="2" w:space="0" w:color="auto"/>
            </w:tcBorders>
            <w:vAlign w:val="center"/>
          </w:tcPr>
          <w:p w14:paraId="6119A0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中信银行股份有限公司－华夏鼎利债券型发起式证券投资基金</w:t>
            </w:r>
          </w:p>
        </w:tc>
        <w:tc>
          <w:tcPr>
            <w:tcW w:w="1273" w:type="dxa"/>
            <w:tcBorders>
              <w:top w:val="single" w:sz="2" w:space="0" w:color="auto"/>
              <w:left w:val="single" w:sz="2" w:space="0" w:color="auto"/>
              <w:bottom w:val="single" w:sz="2" w:space="0" w:color="auto"/>
              <w:right w:val="single" w:sz="2" w:space="0" w:color="auto"/>
            </w:tcBorders>
            <w:vAlign w:val="center"/>
          </w:tcPr>
          <w:p w14:paraId="2F33968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69229D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412,735</w:t>
            </w:r>
          </w:p>
        </w:tc>
        <w:tc>
          <w:tcPr>
            <w:tcW w:w="1607" w:type="dxa"/>
            <w:tcBorders>
              <w:top w:val="single" w:sz="2" w:space="0" w:color="auto"/>
              <w:left w:val="single" w:sz="2" w:space="0" w:color="auto"/>
              <w:bottom w:val="single" w:sz="2" w:space="0" w:color="auto"/>
              <w:right w:val="single" w:sz="2" w:space="0" w:color="auto"/>
            </w:tcBorders>
            <w:vAlign w:val="center"/>
          </w:tcPr>
          <w:p w14:paraId="7007A7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41,273,500.00</w:t>
            </w:r>
          </w:p>
        </w:tc>
        <w:tc>
          <w:tcPr>
            <w:tcW w:w="1891" w:type="dxa"/>
            <w:tcBorders>
              <w:top w:val="single" w:sz="2" w:space="0" w:color="auto"/>
              <w:left w:val="single" w:sz="2" w:space="0" w:color="auto"/>
              <w:bottom w:val="single" w:sz="2" w:space="0" w:color="auto"/>
              <w:right w:val="single" w:sz="2" w:space="0" w:color="auto"/>
            </w:tcBorders>
            <w:vAlign w:val="center"/>
          </w:tcPr>
          <w:p w14:paraId="70A44A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4.36%</w:t>
            </w:r>
          </w:p>
        </w:tc>
      </w:tr>
      <w:tr w:rsidR="00E32FE0" w:rsidRPr="005B5EC1" w14:paraId="67C0DDB2"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16632C4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p>
        </w:tc>
        <w:tc>
          <w:tcPr>
            <w:tcW w:w="2835" w:type="dxa"/>
            <w:tcBorders>
              <w:top w:val="single" w:sz="2" w:space="0" w:color="auto"/>
              <w:left w:val="single" w:sz="2" w:space="0" w:color="auto"/>
              <w:bottom w:val="single" w:sz="2" w:space="0" w:color="auto"/>
              <w:right w:val="single" w:sz="2" w:space="0" w:color="auto"/>
            </w:tcBorders>
            <w:vAlign w:val="center"/>
          </w:tcPr>
          <w:p w14:paraId="75A6D48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招商银行股份有限公司－博时中证可转债及可交换债券交易型开放式指数证券投资基金</w:t>
            </w:r>
          </w:p>
        </w:tc>
        <w:tc>
          <w:tcPr>
            <w:tcW w:w="1273" w:type="dxa"/>
            <w:tcBorders>
              <w:top w:val="single" w:sz="2" w:space="0" w:color="auto"/>
              <w:left w:val="single" w:sz="2" w:space="0" w:color="auto"/>
              <w:bottom w:val="single" w:sz="2" w:space="0" w:color="auto"/>
              <w:right w:val="single" w:sz="2" w:space="0" w:color="auto"/>
            </w:tcBorders>
            <w:vAlign w:val="center"/>
          </w:tcPr>
          <w:p w14:paraId="1C33D0A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0AD864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391,643</w:t>
            </w:r>
          </w:p>
        </w:tc>
        <w:tc>
          <w:tcPr>
            <w:tcW w:w="1607" w:type="dxa"/>
            <w:tcBorders>
              <w:top w:val="single" w:sz="2" w:space="0" w:color="auto"/>
              <w:left w:val="single" w:sz="2" w:space="0" w:color="auto"/>
              <w:bottom w:val="single" w:sz="2" w:space="0" w:color="auto"/>
              <w:right w:val="single" w:sz="2" w:space="0" w:color="auto"/>
            </w:tcBorders>
            <w:vAlign w:val="center"/>
          </w:tcPr>
          <w:p w14:paraId="2A9511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39,164,300.00</w:t>
            </w:r>
          </w:p>
        </w:tc>
        <w:tc>
          <w:tcPr>
            <w:tcW w:w="1891" w:type="dxa"/>
            <w:tcBorders>
              <w:top w:val="single" w:sz="2" w:space="0" w:color="auto"/>
              <w:left w:val="single" w:sz="2" w:space="0" w:color="auto"/>
              <w:bottom w:val="single" w:sz="2" w:space="0" w:color="auto"/>
              <w:right w:val="single" w:sz="2" w:space="0" w:color="auto"/>
            </w:tcBorders>
            <w:vAlign w:val="center"/>
          </w:tcPr>
          <w:p w14:paraId="33D0AE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4.14%</w:t>
            </w:r>
          </w:p>
        </w:tc>
      </w:tr>
      <w:tr w:rsidR="00E32FE0" w:rsidRPr="005B5EC1" w14:paraId="0A8EE3EA"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6D05DBC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w:t>
            </w:r>
          </w:p>
        </w:tc>
        <w:tc>
          <w:tcPr>
            <w:tcW w:w="2835" w:type="dxa"/>
            <w:tcBorders>
              <w:top w:val="single" w:sz="2" w:space="0" w:color="auto"/>
              <w:left w:val="single" w:sz="2" w:space="0" w:color="auto"/>
              <w:bottom w:val="single" w:sz="2" w:space="0" w:color="auto"/>
              <w:right w:val="single" w:sz="2" w:space="0" w:color="auto"/>
            </w:tcBorders>
            <w:vAlign w:val="center"/>
          </w:tcPr>
          <w:p w14:paraId="14CDC45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大成国际资产管理有限公司－大成中国灵活配置基金</w:t>
            </w:r>
          </w:p>
        </w:tc>
        <w:tc>
          <w:tcPr>
            <w:tcW w:w="1273" w:type="dxa"/>
            <w:tcBorders>
              <w:top w:val="single" w:sz="2" w:space="0" w:color="auto"/>
              <w:left w:val="single" w:sz="2" w:space="0" w:color="auto"/>
              <w:bottom w:val="single" w:sz="2" w:space="0" w:color="auto"/>
              <w:right w:val="single" w:sz="2" w:space="0" w:color="auto"/>
            </w:tcBorders>
            <w:vAlign w:val="center"/>
          </w:tcPr>
          <w:p w14:paraId="34F18C6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境外法人</w:t>
            </w:r>
          </w:p>
        </w:tc>
        <w:tc>
          <w:tcPr>
            <w:tcW w:w="1607" w:type="dxa"/>
            <w:tcBorders>
              <w:top w:val="single" w:sz="2" w:space="0" w:color="auto"/>
              <w:left w:val="single" w:sz="2" w:space="0" w:color="auto"/>
              <w:bottom w:val="single" w:sz="2" w:space="0" w:color="auto"/>
              <w:right w:val="single" w:sz="2" w:space="0" w:color="auto"/>
            </w:tcBorders>
            <w:vAlign w:val="center"/>
          </w:tcPr>
          <w:p w14:paraId="31A332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364,320</w:t>
            </w:r>
          </w:p>
        </w:tc>
        <w:tc>
          <w:tcPr>
            <w:tcW w:w="1607" w:type="dxa"/>
            <w:tcBorders>
              <w:top w:val="single" w:sz="2" w:space="0" w:color="auto"/>
              <w:left w:val="single" w:sz="2" w:space="0" w:color="auto"/>
              <w:bottom w:val="single" w:sz="2" w:space="0" w:color="auto"/>
              <w:right w:val="single" w:sz="2" w:space="0" w:color="auto"/>
            </w:tcBorders>
            <w:vAlign w:val="center"/>
          </w:tcPr>
          <w:p w14:paraId="5CC66A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36,432,000.00</w:t>
            </w:r>
          </w:p>
        </w:tc>
        <w:tc>
          <w:tcPr>
            <w:tcW w:w="1891" w:type="dxa"/>
            <w:tcBorders>
              <w:top w:val="single" w:sz="2" w:space="0" w:color="auto"/>
              <w:left w:val="single" w:sz="2" w:space="0" w:color="auto"/>
              <w:bottom w:val="single" w:sz="2" w:space="0" w:color="auto"/>
              <w:right w:val="single" w:sz="2" w:space="0" w:color="auto"/>
            </w:tcBorders>
            <w:vAlign w:val="center"/>
          </w:tcPr>
          <w:p w14:paraId="42E948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3.85%</w:t>
            </w:r>
          </w:p>
        </w:tc>
      </w:tr>
      <w:tr w:rsidR="00E32FE0" w:rsidRPr="005B5EC1" w14:paraId="6FA4FFF9"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26CA4F3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w:t>
            </w:r>
          </w:p>
        </w:tc>
        <w:tc>
          <w:tcPr>
            <w:tcW w:w="2835" w:type="dxa"/>
            <w:tcBorders>
              <w:top w:val="single" w:sz="2" w:space="0" w:color="auto"/>
              <w:left w:val="single" w:sz="2" w:space="0" w:color="auto"/>
              <w:bottom w:val="single" w:sz="2" w:space="0" w:color="auto"/>
              <w:right w:val="single" w:sz="2" w:space="0" w:color="auto"/>
            </w:tcBorders>
            <w:vAlign w:val="center"/>
          </w:tcPr>
          <w:p w14:paraId="3A4CD3B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钟宝申</w:t>
            </w:r>
          </w:p>
        </w:tc>
        <w:tc>
          <w:tcPr>
            <w:tcW w:w="1273" w:type="dxa"/>
            <w:tcBorders>
              <w:top w:val="single" w:sz="2" w:space="0" w:color="auto"/>
              <w:left w:val="single" w:sz="2" w:space="0" w:color="auto"/>
              <w:bottom w:val="single" w:sz="2" w:space="0" w:color="auto"/>
              <w:right w:val="single" w:sz="2" w:space="0" w:color="auto"/>
            </w:tcBorders>
            <w:vAlign w:val="center"/>
          </w:tcPr>
          <w:p w14:paraId="3062967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境内自然人</w:t>
            </w:r>
          </w:p>
        </w:tc>
        <w:tc>
          <w:tcPr>
            <w:tcW w:w="1607" w:type="dxa"/>
            <w:tcBorders>
              <w:top w:val="single" w:sz="2" w:space="0" w:color="auto"/>
              <w:left w:val="single" w:sz="2" w:space="0" w:color="auto"/>
              <w:bottom w:val="single" w:sz="2" w:space="0" w:color="auto"/>
              <w:right w:val="single" w:sz="2" w:space="0" w:color="auto"/>
            </w:tcBorders>
            <w:vAlign w:val="center"/>
          </w:tcPr>
          <w:p w14:paraId="5133AA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318,853</w:t>
            </w:r>
          </w:p>
        </w:tc>
        <w:tc>
          <w:tcPr>
            <w:tcW w:w="1607" w:type="dxa"/>
            <w:tcBorders>
              <w:top w:val="single" w:sz="2" w:space="0" w:color="auto"/>
              <w:left w:val="single" w:sz="2" w:space="0" w:color="auto"/>
              <w:bottom w:val="single" w:sz="2" w:space="0" w:color="auto"/>
              <w:right w:val="single" w:sz="2" w:space="0" w:color="auto"/>
            </w:tcBorders>
            <w:vAlign w:val="center"/>
          </w:tcPr>
          <w:p w14:paraId="461B04F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31,885,300.00</w:t>
            </w:r>
          </w:p>
        </w:tc>
        <w:tc>
          <w:tcPr>
            <w:tcW w:w="1891" w:type="dxa"/>
            <w:tcBorders>
              <w:top w:val="single" w:sz="2" w:space="0" w:color="auto"/>
              <w:left w:val="single" w:sz="2" w:space="0" w:color="auto"/>
              <w:bottom w:val="single" w:sz="2" w:space="0" w:color="auto"/>
              <w:right w:val="single" w:sz="2" w:space="0" w:color="auto"/>
            </w:tcBorders>
            <w:vAlign w:val="center"/>
          </w:tcPr>
          <w:p w14:paraId="159AD33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3.37%</w:t>
            </w:r>
          </w:p>
        </w:tc>
      </w:tr>
      <w:tr w:rsidR="00E32FE0" w:rsidRPr="005B5EC1" w14:paraId="2EDC7265"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27FCF95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w:t>
            </w:r>
          </w:p>
        </w:tc>
        <w:tc>
          <w:tcPr>
            <w:tcW w:w="2835" w:type="dxa"/>
            <w:tcBorders>
              <w:top w:val="single" w:sz="2" w:space="0" w:color="auto"/>
              <w:left w:val="single" w:sz="2" w:space="0" w:color="auto"/>
              <w:bottom w:val="single" w:sz="2" w:space="0" w:color="auto"/>
              <w:right w:val="single" w:sz="2" w:space="0" w:color="auto"/>
            </w:tcBorders>
            <w:vAlign w:val="center"/>
          </w:tcPr>
          <w:p w14:paraId="2EF6E25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中国建设银行－博时稳定价值债券投资基金</w:t>
            </w:r>
          </w:p>
        </w:tc>
        <w:tc>
          <w:tcPr>
            <w:tcW w:w="1273" w:type="dxa"/>
            <w:tcBorders>
              <w:top w:val="single" w:sz="2" w:space="0" w:color="auto"/>
              <w:left w:val="single" w:sz="2" w:space="0" w:color="auto"/>
              <w:bottom w:val="single" w:sz="2" w:space="0" w:color="auto"/>
              <w:right w:val="single" w:sz="2" w:space="0" w:color="auto"/>
            </w:tcBorders>
            <w:vAlign w:val="center"/>
          </w:tcPr>
          <w:p w14:paraId="5054F1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65B33F3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240,000</w:t>
            </w:r>
          </w:p>
        </w:tc>
        <w:tc>
          <w:tcPr>
            <w:tcW w:w="1607" w:type="dxa"/>
            <w:tcBorders>
              <w:top w:val="single" w:sz="2" w:space="0" w:color="auto"/>
              <w:left w:val="single" w:sz="2" w:space="0" w:color="auto"/>
              <w:bottom w:val="single" w:sz="2" w:space="0" w:color="auto"/>
              <w:right w:val="single" w:sz="2" w:space="0" w:color="auto"/>
            </w:tcBorders>
            <w:vAlign w:val="center"/>
          </w:tcPr>
          <w:p w14:paraId="288C7A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24,000,000.00</w:t>
            </w:r>
          </w:p>
        </w:tc>
        <w:tc>
          <w:tcPr>
            <w:tcW w:w="1891" w:type="dxa"/>
            <w:tcBorders>
              <w:top w:val="single" w:sz="2" w:space="0" w:color="auto"/>
              <w:left w:val="single" w:sz="2" w:space="0" w:color="auto"/>
              <w:bottom w:val="single" w:sz="2" w:space="0" w:color="auto"/>
              <w:right w:val="single" w:sz="2" w:space="0" w:color="auto"/>
            </w:tcBorders>
            <w:vAlign w:val="center"/>
          </w:tcPr>
          <w:p w14:paraId="305458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2.54%</w:t>
            </w:r>
          </w:p>
        </w:tc>
      </w:tr>
      <w:tr w:rsidR="00E32FE0" w:rsidRPr="005B5EC1" w14:paraId="1857E179"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5A1D679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8</w:t>
            </w:r>
          </w:p>
        </w:tc>
        <w:tc>
          <w:tcPr>
            <w:tcW w:w="2835" w:type="dxa"/>
            <w:tcBorders>
              <w:top w:val="single" w:sz="2" w:space="0" w:color="auto"/>
              <w:left w:val="single" w:sz="2" w:space="0" w:color="auto"/>
              <w:bottom w:val="single" w:sz="2" w:space="0" w:color="auto"/>
              <w:right w:val="single" w:sz="2" w:space="0" w:color="auto"/>
            </w:tcBorders>
            <w:vAlign w:val="center"/>
          </w:tcPr>
          <w:p w14:paraId="351B7F4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中国工商银行－富国天利增长债券投资基金</w:t>
            </w:r>
          </w:p>
        </w:tc>
        <w:tc>
          <w:tcPr>
            <w:tcW w:w="1273" w:type="dxa"/>
            <w:tcBorders>
              <w:top w:val="single" w:sz="2" w:space="0" w:color="auto"/>
              <w:left w:val="single" w:sz="2" w:space="0" w:color="auto"/>
              <w:bottom w:val="single" w:sz="2" w:space="0" w:color="auto"/>
              <w:right w:val="single" w:sz="2" w:space="0" w:color="auto"/>
            </w:tcBorders>
            <w:vAlign w:val="center"/>
          </w:tcPr>
          <w:p w14:paraId="7AEE40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211EDF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235,638</w:t>
            </w:r>
          </w:p>
        </w:tc>
        <w:tc>
          <w:tcPr>
            <w:tcW w:w="1607" w:type="dxa"/>
            <w:tcBorders>
              <w:top w:val="single" w:sz="2" w:space="0" w:color="auto"/>
              <w:left w:val="single" w:sz="2" w:space="0" w:color="auto"/>
              <w:bottom w:val="single" w:sz="2" w:space="0" w:color="auto"/>
              <w:right w:val="single" w:sz="2" w:space="0" w:color="auto"/>
            </w:tcBorders>
            <w:vAlign w:val="center"/>
          </w:tcPr>
          <w:p w14:paraId="386183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23,563,800.00</w:t>
            </w:r>
          </w:p>
        </w:tc>
        <w:tc>
          <w:tcPr>
            <w:tcW w:w="1891" w:type="dxa"/>
            <w:tcBorders>
              <w:top w:val="single" w:sz="2" w:space="0" w:color="auto"/>
              <w:left w:val="single" w:sz="2" w:space="0" w:color="auto"/>
              <w:bottom w:val="single" w:sz="2" w:space="0" w:color="auto"/>
              <w:right w:val="single" w:sz="2" w:space="0" w:color="auto"/>
            </w:tcBorders>
            <w:vAlign w:val="center"/>
          </w:tcPr>
          <w:p w14:paraId="0FED29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2.49%</w:t>
            </w:r>
          </w:p>
        </w:tc>
      </w:tr>
      <w:tr w:rsidR="00E32FE0" w:rsidRPr="005B5EC1" w14:paraId="60162063"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7E71A3E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9</w:t>
            </w:r>
          </w:p>
        </w:tc>
        <w:tc>
          <w:tcPr>
            <w:tcW w:w="2835" w:type="dxa"/>
            <w:tcBorders>
              <w:top w:val="single" w:sz="2" w:space="0" w:color="auto"/>
              <w:left w:val="single" w:sz="2" w:space="0" w:color="auto"/>
              <w:bottom w:val="single" w:sz="2" w:space="0" w:color="auto"/>
              <w:right w:val="single" w:sz="2" w:space="0" w:color="auto"/>
            </w:tcBorders>
            <w:vAlign w:val="center"/>
          </w:tcPr>
          <w:p w14:paraId="68A93FD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中国工商银行股份有限公司－中欧可转债债券型证券投资基金</w:t>
            </w:r>
          </w:p>
        </w:tc>
        <w:tc>
          <w:tcPr>
            <w:tcW w:w="1273" w:type="dxa"/>
            <w:tcBorders>
              <w:top w:val="single" w:sz="2" w:space="0" w:color="auto"/>
              <w:left w:val="single" w:sz="2" w:space="0" w:color="auto"/>
              <w:bottom w:val="single" w:sz="2" w:space="0" w:color="auto"/>
              <w:right w:val="single" w:sz="2" w:space="0" w:color="auto"/>
            </w:tcBorders>
            <w:vAlign w:val="center"/>
          </w:tcPr>
          <w:p w14:paraId="4003D9A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6EC0AE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186,260</w:t>
            </w:r>
          </w:p>
        </w:tc>
        <w:tc>
          <w:tcPr>
            <w:tcW w:w="1607" w:type="dxa"/>
            <w:tcBorders>
              <w:top w:val="single" w:sz="2" w:space="0" w:color="auto"/>
              <w:left w:val="single" w:sz="2" w:space="0" w:color="auto"/>
              <w:bottom w:val="single" w:sz="2" w:space="0" w:color="auto"/>
              <w:right w:val="single" w:sz="2" w:space="0" w:color="auto"/>
            </w:tcBorders>
            <w:vAlign w:val="center"/>
          </w:tcPr>
          <w:p w14:paraId="7101F3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18,626,000.00</w:t>
            </w:r>
          </w:p>
        </w:tc>
        <w:tc>
          <w:tcPr>
            <w:tcW w:w="1891" w:type="dxa"/>
            <w:tcBorders>
              <w:top w:val="single" w:sz="2" w:space="0" w:color="auto"/>
              <w:left w:val="single" w:sz="2" w:space="0" w:color="auto"/>
              <w:bottom w:val="single" w:sz="2" w:space="0" w:color="auto"/>
              <w:right w:val="single" w:sz="2" w:space="0" w:color="auto"/>
            </w:tcBorders>
            <w:vAlign w:val="center"/>
          </w:tcPr>
          <w:p w14:paraId="72DB3F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1.97%</w:t>
            </w:r>
          </w:p>
        </w:tc>
      </w:tr>
      <w:tr w:rsidR="00E32FE0" w:rsidRPr="005B5EC1" w14:paraId="050CD782" w14:textId="77777777" w:rsidTr="00C453ED">
        <w:trPr>
          <w:trHeight w:val="240"/>
          <w:jc w:val="center"/>
        </w:trPr>
        <w:tc>
          <w:tcPr>
            <w:tcW w:w="710" w:type="dxa"/>
            <w:tcBorders>
              <w:top w:val="single" w:sz="2" w:space="0" w:color="auto"/>
              <w:left w:val="single" w:sz="2" w:space="0" w:color="auto"/>
              <w:bottom w:val="single" w:sz="2" w:space="0" w:color="auto"/>
              <w:right w:val="single" w:sz="2" w:space="0" w:color="auto"/>
            </w:tcBorders>
            <w:vAlign w:val="center"/>
          </w:tcPr>
          <w:p w14:paraId="4BE5615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w:t>
            </w:r>
          </w:p>
        </w:tc>
        <w:tc>
          <w:tcPr>
            <w:tcW w:w="2835" w:type="dxa"/>
            <w:tcBorders>
              <w:top w:val="single" w:sz="2" w:space="0" w:color="auto"/>
              <w:left w:val="single" w:sz="2" w:space="0" w:color="auto"/>
              <w:bottom w:val="single" w:sz="2" w:space="0" w:color="auto"/>
              <w:right w:val="single" w:sz="2" w:space="0" w:color="auto"/>
            </w:tcBorders>
            <w:vAlign w:val="center"/>
          </w:tcPr>
          <w:p w14:paraId="39D405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中信银行股份有限公司－信澳信用债债券型证券投资基金</w:t>
            </w:r>
          </w:p>
        </w:tc>
        <w:tc>
          <w:tcPr>
            <w:tcW w:w="1273" w:type="dxa"/>
            <w:tcBorders>
              <w:top w:val="single" w:sz="2" w:space="0" w:color="auto"/>
              <w:left w:val="single" w:sz="2" w:space="0" w:color="auto"/>
              <w:bottom w:val="single" w:sz="2" w:space="0" w:color="auto"/>
              <w:right w:val="single" w:sz="2" w:space="0" w:color="auto"/>
            </w:tcBorders>
            <w:vAlign w:val="center"/>
          </w:tcPr>
          <w:p w14:paraId="15DA16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607" w:type="dxa"/>
            <w:tcBorders>
              <w:top w:val="single" w:sz="2" w:space="0" w:color="auto"/>
              <w:left w:val="single" w:sz="2" w:space="0" w:color="auto"/>
              <w:bottom w:val="single" w:sz="2" w:space="0" w:color="auto"/>
              <w:right w:val="single" w:sz="2" w:space="0" w:color="auto"/>
            </w:tcBorders>
            <w:vAlign w:val="center"/>
          </w:tcPr>
          <w:p w14:paraId="6A8C0A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167,660</w:t>
            </w:r>
          </w:p>
        </w:tc>
        <w:tc>
          <w:tcPr>
            <w:tcW w:w="1607" w:type="dxa"/>
            <w:tcBorders>
              <w:top w:val="single" w:sz="2" w:space="0" w:color="auto"/>
              <w:left w:val="single" w:sz="2" w:space="0" w:color="auto"/>
              <w:bottom w:val="single" w:sz="2" w:space="0" w:color="auto"/>
              <w:right w:val="single" w:sz="2" w:space="0" w:color="auto"/>
            </w:tcBorders>
            <w:vAlign w:val="center"/>
          </w:tcPr>
          <w:p w14:paraId="196B34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16,766,000.00</w:t>
            </w:r>
          </w:p>
        </w:tc>
        <w:tc>
          <w:tcPr>
            <w:tcW w:w="1891" w:type="dxa"/>
            <w:tcBorders>
              <w:top w:val="single" w:sz="2" w:space="0" w:color="auto"/>
              <w:left w:val="single" w:sz="2" w:space="0" w:color="auto"/>
              <w:bottom w:val="single" w:sz="2" w:space="0" w:color="auto"/>
              <w:right w:val="single" w:sz="2" w:space="0" w:color="auto"/>
            </w:tcBorders>
            <w:vAlign w:val="center"/>
          </w:tcPr>
          <w:p w14:paraId="40BF46D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1.77%</w:t>
            </w:r>
          </w:p>
        </w:tc>
      </w:tr>
    </w:tbl>
    <w:p w14:paraId="58B45B4F" w14:textId="77777777" w:rsidR="00E32FE0" w:rsidRPr="005B5EC1" w:rsidRDefault="00000000">
      <w:pPr>
        <w:pStyle w:val="3"/>
        <w:spacing w:line="280" w:lineRule="exact"/>
        <w:jc w:val="left"/>
        <w:rPr>
          <w:rFonts w:ascii="Times New Roman" w:hAnsi="Times New Roman" w:cs="Times New Roman"/>
          <w:b/>
          <w:bCs/>
        </w:rPr>
      </w:pPr>
      <w:bookmarkStart w:id="154" w:name="_Toc989043"/>
      <w:r w:rsidRPr="005B5EC1">
        <w:rPr>
          <w:rFonts w:ascii="Times New Roman" w:hAnsi="Times New Roman" w:cs="Times New Roman"/>
          <w:b/>
          <w:bCs/>
        </w:rPr>
        <w:t>4</w:t>
      </w:r>
      <w:r w:rsidRPr="005B5EC1">
        <w:rPr>
          <w:rFonts w:ascii="Times New Roman" w:hAnsi="Times New Roman" w:cs="Times New Roman"/>
          <w:b/>
          <w:bCs/>
        </w:rPr>
        <w:t>、担保人盈利能力、资产状况和信用状况发生重大变化的情况</w:t>
      </w:r>
      <w:bookmarkEnd w:id="154"/>
    </w:p>
    <w:p w14:paraId="1A1FD1A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1BB8382" w14:textId="77777777" w:rsidR="00E32FE0" w:rsidRPr="005B5EC1" w:rsidRDefault="00000000">
      <w:pPr>
        <w:pStyle w:val="3"/>
        <w:spacing w:line="280" w:lineRule="exact"/>
        <w:jc w:val="left"/>
        <w:rPr>
          <w:rFonts w:ascii="Times New Roman" w:hAnsi="Times New Roman" w:cs="Times New Roman"/>
          <w:b/>
          <w:bCs/>
        </w:rPr>
      </w:pPr>
      <w:bookmarkStart w:id="155" w:name="_Toc989044"/>
      <w:r w:rsidRPr="005B5EC1">
        <w:rPr>
          <w:rFonts w:ascii="Times New Roman" w:hAnsi="Times New Roman" w:cs="Times New Roman"/>
          <w:b/>
          <w:bCs/>
        </w:rPr>
        <w:t>5</w:t>
      </w:r>
      <w:r w:rsidRPr="005B5EC1">
        <w:rPr>
          <w:rFonts w:ascii="Times New Roman" w:hAnsi="Times New Roman" w:cs="Times New Roman"/>
          <w:b/>
          <w:bCs/>
        </w:rPr>
        <w:t>、报告期末公司的负债情况、资信变化情况以及在未来年度还债的现金安排</w:t>
      </w:r>
      <w:bookmarkEnd w:id="155"/>
    </w:p>
    <w:p w14:paraId="21B0EBC5" w14:textId="77777777" w:rsidR="00AF139E" w:rsidRPr="005B5EC1" w:rsidRDefault="00000000" w:rsidP="00C453ED">
      <w:pPr>
        <w:pStyle w:val="a3"/>
        <w:spacing w:before="0" w:beforeAutospacing="0" w:after="0" w:afterAutospacing="0" w:line="276" w:lineRule="auto"/>
        <w:ind w:firstLineChars="200" w:firstLine="360"/>
        <w:jc w:val="both"/>
        <w:divId w:val="617566732"/>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1</w:t>
      </w:r>
      <w:r w:rsidRPr="005B5EC1">
        <w:rPr>
          <w:rFonts w:ascii="Times New Roman" w:hAnsi="Times New Roman" w:cs="Times New Roman"/>
          <w:sz w:val="18"/>
          <w:szCs w:val="18"/>
        </w:rPr>
        <w:t>）报告期末公司的会计指标详见本节</w:t>
      </w:r>
      <w:r w:rsidRPr="005B5EC1">
        <w:rPr>
          <w:rFonts w:ascii="Times New Roman" w:hAnsi="Times New Roman" w:cs="Times New Roman"/>
          <w:sz w:val="18"/>
          <w:szCs w:val="18"/>
        </w:rPr>
        <w:t>“</w:t>
      </w:r>
      <w:r w:rsidRPr="005B5EC1">
        <w:rPr>
          <w:rFonts w:ascii="Times New Roman" w:hAnsi="Times New Roman" w:cs="Times New Roman"/>
          <w:sz w:val="18"/>
          <w:szCs w:val="18"/>
        </w:rPr>
        <w:t>八、截至报告期末公司近两年的主要会计数据和财务指标</w:t>
      </w:r>
      <w:r w:rsidRPr="005B5EC1">
        <w:rPr>
          <w:rFonts w:ascii="Times New Roman" w:hAnsi="Times New Roman" w:cs="Times New Roman"/>
          <w:sz w:val="18"/>
          <w:szCs w:val="18"/>
        </w:rPr>
        <w:t>”</w:t>
      </w:r>
      <w:r w:rsidRPr="005B5EC1">
        <w:rPr>
          <w:rFonts w:ascii="Times New Roman" w:hAnsi="Times New Roman" w:cs="Times New Roman"/>
          <w:sz w:val="18"/>
          <w:szCs w:val="18"/>
        </w:rPr>
        <w:t>。</w:t>
      </w:r>
    </w:p>
    <w:p w14:paraId="1B519A5E" w14:textId="77777777" w:rsidR="00AF139E" w:rsidRPr="005B5EC1" w:rsidRDefault="00000000" w:rsidP="00C453ED">
      <w:pPr>
        <w:pStyle w:val="a3"/>
        <w:spacing w:before="0" w:beforeAutospacing="0" w:after="0" w:afterAutospacing="0" w:line="276" w:lineRule="auto"/>
        <w:ind w:firstLineChars="200" w:firstLine="360"/>
        <w:jc w:val="both"/>
        <w:divId w:val="617566732"/>
        <w:rPr>
          <w:rFonts w:ascii="Times New Roman" w:hAnsi="Times New Roman" w:cs="Times New Roman"/>
          <w:sz w:val="18"/>
          <w:szCs w:val="18"/>
        </w:rPr>
      </w:pPr>
      <w:r w:rsidRPr="005B5EC1">
        <w:rPr>
          <w:rFonts w:ascii="Times New Roman" w:hAnsi="Times New Roman" w:cs="Times New Roman"/>
          <w:sz w:val="18"/>
          <w:szCs w:val="18"/>
        </w:rPr>
        <w:lastRenderedPageBreak/>
        <w:t>（</w:t>
      </w:r>
      <w:r w:rsidRPr="005B5EC1">
        <w:rPr>
          <w:rFonts w:ascii="Times New Roman" w:hAnsi="Times New Roman" w:cs="Times New Roman"/>
          <w:sz w:val="18"/>
          <w:szCs w:val="18"/>
        </w:rPr>
        <w:t>2</w:t>
      </w:r>
      <w:r w:rsidRPr="005B5EC1">
        <w:rPr>
          <w:rFonts w:ascii="Times New Roman" w:hAnsi="Times New Roman" w:cs="Times New Roman"/>
          <w:sz w:val="18"/>
          <w:szCs w:val="18"/>
        </w:rPr>
        <w:t>）联合资信评估股份有限公司于</w:t>
      </w:r>
      <w:r w:rsidRPr="005B5EC1">
        <w:rPr>
          <w:rFonts w:ascii="Times New Roman" w:hAnsi="Times New Roman" w:cs="Times New Roman"/>
          <w:sz w:val="18"/>
          <w:szCs w:val="18"/>
        </w:rPr>
        <w:t xml:space="preserve"> 2024</w:t>
      </w:r>
      <w:r w:rsidRPr="005B5EC1">
        <w:rPr>
          <w:rFonts w:ascii="Times New Roman" w:hAnsi="Times New Roman" w:cs="Times New Roman"/>
          <w:sz w:val="18"/>
          <w:szCs w:val="18"/>
        </w:rPr>
        <w:t>年</w:t>
      </w:r>
      <w:r w:rsidRPr="005B5EC1">
        <w:rPr>
          <w:rFonts w:ascii="Times New Roman" w:hAnsi="Times New Roman" w:cs="Times New Roman"/>
          <w:sz w:val="18"/>
          <w:szCs w:val="18"/>
        </w:rPr>
        <w:t>6</w:t>
      </w:r>
      <w:r w:rsidRPr="005B5EC1">
        <w:rPr>
          <w:rFonts w:ascii="Times New Roman" w:hAnsi="Times New Roman" w:cs="Times New Roman"/>
          <w:sz w:val="18"/>
          <w:szCs w:val="18"/>
        </w:rPr>
        <w:t>月</w:t>
      </w:r>
      <w:r w:rsidRPr="005B5EC1">
        <w:rPr>
          <w:rFonts w:ascii="Times New Roman" w:hAnsi="Times New Roman" w:cs="Times New Roman"/>
          <w:sz w:val="18"/>
          <w:szCs w:val="18"/>
        </w:rPr>
        <w:t>14</w:t>
      </w:r>
      <w:r w:rsidRPr="005B5EC1">
        <w:rPr>
          <w:rFonts w:ascii="Times New Roman" w:hAnsi="Times New Roman" w:cs="Times New Roman"/>
          <w:sz w:val="18"/>
          <w:szCs w:val="18"/>
        </w:rPr>
        <w:t>日出具了《山东龙大美食股份有限公司公开发行可转换公司债券</w:t>
      </w:r>
      <w:r w:rsidRPr="005B5EC1">
        <w:rPr>
          <w:rFonts w:ascii="Times New Roman" w:hAnsi="Times New Roman" w:cs="Times New Roman"/>
          <w:sz w:val="18"/>
          <w:szCs w:val="18"/>
        </w:rPr>
        <w:t>2024</w:t>
      </w:r>
      <w:r w:rsidRPr="005B5EC1">
        <w:rPr>
          <w:rFonts w:ascii="Times New Roman" w:hAnsi="Times New Roman" w:cs="Times New Roman"/>
          <w:sz w:val="18"/>
          <w:szCs w:val="18"/>
        </w:rPr>
        <w:t>年跟踪评级报告》（联合〔</w:t>
      </w:r>
      <w:r w:rsidRPr="005B5EC1">
        <w:rPr>
          <w:rFonts w:ascii="Times New Roman" w:hAnsi="Times New Roman" w:cs="Times New Roman"/>
          <w:sz w:val="18"/>
          <w:szCs w:val="18"/>
        </w:rPr>
        <w:t>2024</w:t>
      </w:r>
      <w:r w:rsidRPr="005B5EC1">
        <w:rPr>
          <w:rFonts w:ascii="Times New Roman" w:hAnsi="Times New Roman" w:cs="Times New Roman"/>
          <w:sz w:val="18"/>
          <w:szCs w:val="18"/>
        </w:rPr>
        <w:t>〕</w:t>
      </w:r>
      <w:r w:rsidRPr="005B5EC1">
        <w:rPr>
          <w:rFonts w:ascii="Times New Roman" w:hAnsi="Times New Roman" w:cs="Times New Roman"/>
          <w:sz w:val="18"/>
          <w:szCs w:val="18"/>
        </w:rPr>
        <w:t>4318</w:t>
      </w:r>
      <w:r w:rsidRPr="005B5EC1">
        <w:rPr>
          <w:rFonts w:ascii="Times New Roman" w:hAnsi="Times New Roman" w:cs="Times New Roman"/>
          <w:sz w:val="18"/>
          <w:szCs w:val="18"/>
        </w:rPr>
        <w:t>号），下调山东龙大美食股份有限公司主体长期信用等级为</w:t>
      </w:r>
      <w:r w:rsidRPr="005B5EC1">
        <w:rPr>
          <w:rFonts w:ascii="Times New Roman" w:hAnsi="Times New Roman" w:cs="Times New Roman"/>
          <w:sz w:val="18"/>
          <w:szCs w:val="18"/>
        </w:rPr>
        <w:t>A+</w:t>
      </w:r>
      <w:r w:rsidRPr="005B5EC1">
        <w:rPr>
          <w:rFonts w:ascii="Times New Roman" w:hAnsi="Times New Roman" w:cs="Times New Roman"/>
          <w:sz w:val="18"/>
          <w:szCs w:val="18"/>
        </w:rPr>
        <w:t>，下调</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信用等级为</w:t>
      </w:r>
      <w:r w:rsidRPr="005B5EC1">
        <w:rPr>
          <w:rFonts w:ascii="Times New Roman" w:hAnsi="Times New Roman" w:cs="Times New Roman"/>
          <w:sz w:val="18"/>
          <w:szCs w:val="18"/>
        </w:rPr>
        <w:t>A+</w:t>
      </w:r>
      <w:r w:rsidRPr="005B5EC1">
        <w:rPr>
          <w:rFonts w:ascii="Times New Roman" w:hAnsi="Times New Roman" w:cs="Times New Roman"/>
          <w:sz w:val="18"/>
          <w:szCs w:val="18"/>
        </w:rPr>
        <w:t>，评级展望为稳定。</w:t>
      </w:r>
    </w:p>
    <w:p w14:paraId="1E8C2295" w14:textId="77777777" w:rsidR="00C453ED" w:rsidRPr="005B5EC1" w:rsidRDefault="00000000" w:rsidP="00C453ED">
      <w:pPr>
        <w:pStyle w:val="a3"/>
        <w:spacing w:before="0" w:beforeAutospacing="0" w:after="0" w:afterAutospacing="0" w:line="276" w:lineRule="auto"/>
        <w:ind w:firstLineChars="200" w:firstLine="360"/>
        <w:jc w:val="both"/>
        <w:divId w:val="617566732"/>
        <w:rPr>
          <w:rFonts w:ascii="Times New Roman" w:hAnsi="Times New Roman" w:cs="Times New Roman"/>
          <w:sz w:val="18"/>
          <w:szCs w:val="18"/>
        </w:rPr>
      </w:pPr>
      <w:r w:rsidRPr="005B5EC1">
        <w:rPr>
          <w:rFonts w:ascii="Times New Roman" w:hAnsi="Times New Roman" w:cs="Times New Roman"/>
          <w:sz w:val="18"/>
          <w:szCs w:val="18"/>
        </w:rPr>
        <w:t>变化原因：跟踪期内，公司屠宰及食品产能规模较大，食品业务对公司业绩形成补充。同时，联合资信评估股份有限公司也关注到由于猪肉价格下降、动物疫病等原因，公司发生巨额亏损，各项财务指标有所恶化；公司在建项目未来投资规模较大，且项目收益存在不确定性；存货和应收账款对营运资金形成占用，债务负担重、间接融资渠道有待拓宽以及公司控股股东所持公司股份质押比例较高等因素对公司信用水平可能带来的不利影响。公司经营活动现金流和</w:t>
      </w:r>
      <w:r w:rsidRPr="005B5EC1">
        <w:rPr>
          <w:rFonts w:ascii="Times New Roman" w:hAnsi="Times New Roman" w:cs="Times New Roman"/>
          <w:sz w:val="18"/>
          <w:szCs w:val="18"/>
        </w:rPr>
        <w:t>EBITDA</w:t>
      </w:r>
      <w:r w:rsidRPr="005B5EC1">
        <w:rPr>
          <w:rFonts w:ascii="Times New Roman" w:hAnsi="Times New Roman" w:cs="Times New Roman"/>
          <w:sz w:val="18"/>
          <w:szCs w:val="18"/>
        </w:rPr>
        <w:t>对</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保障能力较差。考虑到未来可能的转股因素，公司对</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的保障能力或将增强。</w:t>
      </w:r>
    </w:p>
    <w:p w14:paraId="249BCBA9" w14:textId="7935C324" w:rsidR="00AF139E" w:rsidRPr="005B5EC1" w:rsidRDefault="00000000" w:rsidP="00C453ED">
      <w:pPr>
        <w:pStyle w:val="a3"/>
        <w:spacing w:before="0" w:beforeAutospacing="0" w:after="0" w:afterAutospacing="0" w:line="276" w:lineRule="auto"/>
        <w:ind w:firstLineChars="200" w:firstLine="360"/>
        <w:jc w:val="both"/>
        <w:divId w:val="617566732"/>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3</w:t>
      </w:r>
      <w:r w:rsidRPr="005B5EC1">
        <w:rPr>
          <w:rFonts w:ascii="Times New Roman" w:hAnsi="Times New Roman" w:cs="Times New Roman"/>
          <w:sz w:val="18"/>
          <w:szCs w:val="18"/>
        </w:rPr>
        <w:t>）公司主营业务稳定，经营情况良好，资产负债率保持在较合理水平。公司将做好资金规划，为债券还本付息做好充足准备。</w:t>
      </w:r>
    </w:p>
    <w:p w14:paraId="07E0DF20"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56" w:name="_Toc989045"/>
      <w:r w:rsidRPr="005B5EC1">
        <w:rPr>
          <w:rFonts w:ascii="Times New Roman" w:eastAsia="宋体" w:hAnsi="Times New Roman" w:cs="Times New Roman"/>
          <w:b/>
          <w:bCs/>
          <w:sz w:val="24"/>
          <w:szCs w:val="24"/>
        </w:rPr>
        <w:t>五、报告期内合并报表范围亏损超过上年末净资产</w:t>
      </w:r>
      <w:r w:rsidRPr="005B5EC1">
        <w:rPr>
          <w:rFonts w:ascii="Times New Roman" w:eastAsia="宋体" w:hAnsi="Times New Roman" w:cs="Times New Roman"/>
          <w:b/>
          <w:bCs/>
          <w:sz w:val="24"/>
          <w:szCs w:val="24"/>
        </w:rPr>
        <w:t>10%</w:t>
      </w:r>
      <w:bookmarkEnd w:id="156"/>
    </w:p>
    <w:p w14:paraId="58DC821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E77F11F"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57" w:name="_Toc989046"/>
      <w:r w:rsidRPr="005B5EC1">
        <w:rPr>
          <w:rFonts w:ascii="Times New Roman" w:eastAsia="宋体" w:hAnsi="Times New Roman" w:cs="Times New Roman"/>
          <w:b/>
          <w:bCs/>
          <w:sz w:val="24"/>
          <w:szCs w:val="24"/>
        </w:rPr>
        <w:t>六、报告期末除债券外的有息债务逾期情况</w:t>
      </w:r>
      <w:bookmarkEnd w:id="157"/>
    </w:p>
    <w:p w14:paraId="7A69E54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B8E161C"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58" w:name="_Toc989047"/>
      <w:r w:rsidRPr="005B5EC1">
        <w:rPr>
          <w:rFonts w:ascii="Times New Roman" w:eastAsia="宋体" w:hAnsi="Times New Roman" w:cs="Times New Roman"/>
          <w:b/>
          <w:bCs/>
          <w:sz w:val="24"/>
          <w:szCs w:val="24"/>
        </w:rPr>
        <w:t>七、报告期内是否有违反规章制度的情况</w:t>
      </w:r>
      <w:bookmarkEnd w:id="158"/>
    </w:p>
    <w:p w14:paraId="24F2FBE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18B77F14"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59" w:name="_Toc989048"/>
      <w:r w:rsidRPr="005B5EC1">
        <w:rPr>
          <w:rFonts w:ascii="Times New Roman" w:eastAsia="宋体" w:hAnsi="Times New Roman" w:cs="Times New Roman"/>
          <w:b/>
          <w:bCs/>
          <w:sz w:val="24"/>
          <w:szCs w:val="24"/>
        </w:rPr>
        <w:t>八、截至报告期末公司近两年的主要会计数据和财务指标</w:t>
      </w:r>
      <w:bookmarkEnd w:id="159"/>
    </w:p>
    <w:p w14:paraId="5292DCC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3EF3EF2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72CDF8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F8886C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A74B5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上年末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403557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本报告期末比上年末增减</w:t>
            </w:r>
          </w:p>
        </w:tc>
      </w:tr>
      <w:tr w:rsidR="00E32FE0" w:rsidRPr="005B5EC1" w14:paraId="0A7218C6"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F2BB64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流动比率</w:t>
            </w:r>
          </w:p>
        </w:tc>
        <w:tc>
          <w:tcPr>
            <w:tcW w:w="2410" w:type="dxa"/>
            <w:tcBorders>
              <w:top w:val="single" w:sz="2" w:space="0" w:color="auto"/>
              <w:left w:val="single" w:sz="2" w:space="0" w:color="auto"/>
              <w:bottom w:val="single" w:sz="2" w:space="0" w:color="auto"/>
              <w:right w:val="single" w:sz="2" w:space="0" w:color="auto"/>
            </w:tcBorders>
            <w:vAlign w:val="center"/>
          </w:tcPr>
          <w:p w14:paraId="3AFC20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87.49</w:t>
            </w:r>
          </w:p>
        </w:tc>
        <w:tc>
          <w:tcPr>
            <w:tcW w:w="2410" w:type="dxa"/>
            <w:tcBorders>
              <w:top w:val="single" w:sz="2" w:space="0" w:color="auto"/>
              <w:left w:val="single" w:sz="2" w:space="0" w:color="auto"/>
              <w:bottom w:val="single" w:sz="2" w:space="0" w:color="auto"/>
              <w:right w:val="single" w:sz="2" w:space="0" w:color="auto"/>
            </w:tcBorders>
            <w:vAlign w:val="center"/>
          </w:tcPr>
          <w:p w14:paraId="75789C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88.47</w:t>
            </w:r>
          </w:p>
        </w:tc>
        <w:tc>
          <w:tcPr>
            <w:tcW w:w="2410" w:type="dxa"/>
            <w:tcBorders>
              <w:top w:val="single" w:sz="2" w:space="0" w:color="auto"/>
              <w:left w:val="single" w:sz="2" w:space="0" w:color="auto"/>
              <w:bottom w:val="single" w:sz="2" w:space="0" w:color="auto"/>
              <w:right w:val="single" w:sz="2" w:space="0" w:color="auto"/>
            </w:tcBorders>
            <w:vAlign w:val="center"/>
          </w:tcPr>
          <w:p w14:paraId="2F05BE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-1.11%</w:t>
            </w:r>
          </w:p>
        </w:tc>
      </w:tr>
      <w:tr w:rsidR="00E32FE0" w:rsidRPr="005B5EC1" w14:paraId="1821054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62D107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资产负债率</w:t>
            </w:r>
          </w:p>
        </w:tc>
        <w:tc>
          <w:tcPr>
            <w:tcW w:w="2410" w:type="dxa"/>
            <w:tcBorders>
              <w:top w:val="single" w:sz="2" w:space="0" w:color="auto"/>
              <w:left w:val="single" w:sz="2" w:space="0" w:color="auto"/>
              <w:bottom w:val="single" w:sz="2" w:space="0" w:color="auto"/>
              <w:right w:val="single" w:sz="2" w:space="0" w:color="auto"/>
            </w:tcBorders>
            <w:vAlign w:val="center"/>
          </w:tcPr>
          <w:p w14:paraId="19DC6E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71.74%</w:t>
            </w:r>
          </w:p>
        </w:tc>
        <w:tc>
          <w:tcPr>
            <w:tcW w:w="2410" w:type="dxa"/>
            <w:tcBorders>
              <w:top w:val="single" w:sz="2" w:space="0" w:color="auto"/>
              <w:left w:val="single" w:sz="2" w:space="0" w:color="auto"/>
              <w:bottom w:val="single" w:sz="2" w:space="0" w:color="auto"/>
              <w:right w:val="single" w:sz="2" w:space="0" w:color="auto"/>
            </w:tcBorders>
            <w:vAlign w:val="center"/>
          </w:tcPr>
          <w:p w14:paraId="38873D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73.77%</w:t>
            </w:r>
          </w:p>
        </w:tc>
        <w:tc>
          <w:tcPr>
            <w:tcW w:w="2410" w:type="dxa"/>
            <w:tcBorders>
              <w:top w:val="single" w:sz="2" w:space="0" w:color="auto"/>
              <w:left w:val="single" w:sz="2" w:space="0" w:color="auto"/>
              <w:bottom w:val="single" w:sz="2" w:space="0" w:color="auto"/>
              <w:right w:val="single" w:sz="2" w:space="0" w:color="auto"/>
            </w:tcBorders>
            <w:vAlign w:val="center"/>
          </w:tcPr>
          <w:p w14:paraId="3756CDC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-2.03%</w:t>
            </w:r>
          </w:p>
        </w:tc>
      </w:tr>
      <w:tr w:rsidR="00E32FE0" w:rsidRPr="005B5EC1" w14:paraId="38A73A6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5D4B1F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速动比率</w:t>
            </w:r>
          </w:p>
        </w:tc>
        <w:tc>
          <w:tcPr>
            <w:tcW w:w="2410" w:type="dxa"/>
            <w:tcBorders>
              <w:top w:val="single" w:sz="2" w:space="0" w:color="auto"/>
              <w:left w:val="single" w:sz="2" w:space="0" w:color="auto"/>
              <w:bottom w:val="single" w:sz="2" w:space="0" w:color="auto"/>
              <w:right w:val="single" w:sz="2" w:space="0" w:color="auto"/>
            </w:tcBorders>
            <w:vAlign w:val="center"/>
          </w:tcPr>
          <w:p w14:paraId="0BBD03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51.99</w:t>
            </w:r>
          </w:p>
        </w:tc>
        <w:tc>
          <w:tcPr>
            <w:tcW w:w="2410" w:type="dxa"/>
            <w:tcBorders>
              <w:top w:val="single" w:sz="2" w:space="0" w:color="auto"/>
              <w:left w:val="single" w:sz="2" w:space="0" w:color="auto"/>
              <w:bottom w:val="single" w:sz="2" w:space="0" w:color="auto"/>
              <w:right w:val="single" w:sz="2" w:space="0" w:color="auto"/>
            </w:tcBorders>
            <w:vAlign w:val="center"/>
          </w:tcPr>
          <w:p w14:paraId="6D2A5F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56.36</w:t>
            </w:r>
          </w:p>
        </w:tc>
        <w:tc>
          <w:tcPr>
            <w:tcW w:w="2410" w:type="dxa"/>
            <w:tcBorders>
              <w:top w:val="single" w:sz="2" w:space="0" w:color="auto"/>
              <w:left w:val="single" w:sz="2" w:space="0" w:color="auto"/>
              <w:bottom w:val="single" w:sz="2" w:space="0" w:color="auto"/>
              <w:right w:val="single" w:sz="2" w:space="0" w:color="auto"/>
            </w:tcBorders>
            <w:vAlign w:val="center"/>
          </w:tcPr>
          <w:p w14:paraId="0D8EC1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-7.75%</w:t>
            </w:r>
          </w:p>
        </w:tc>
      </w:tr>
      <w:tr w:rsidR="00E32FE0" w:rsidRPr="005B5EC1" w14:paraId="12AB064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27806AB" w14:textId="77777777" w:rsidR="00E32FE0" w:rsidRPr="005B5EC1" w:rsidRDefault="00E32FE0">
            <w:pP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1A476A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D68EF2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DAAF5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本报告期比上年同期增减</w:t>
            </w:r>
          </w:p>
        </w:tc>
      </w:tr>
      <w:tr w:rsidR="00E32FE0" w:rsidRPr="005B5EC1" w14:paraId="5DF1BE9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61CD42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扣除非经常性损益后净利润</w:t>
            </w:r>
          </w:p>
        </w:tc>
        <w:tc>
          <w:tcPr>
            <w:tcW w:w="2410" w:type="dxa"/>
            <w:tcBorders>
              <w:top w:val="single" w:sz="2" w:space="0" w:color="auto"/>
              <w:left w:val="single" w:sz="2" w:space="0" w:color="auto"/>
              <w:bottom w:val="single" w:sz="2" w:space="0" w:color="auto"/>
              <w:right w:val="single" w:sz="2" w:space="0" w:color="auto"/>
            </w:tcBorders>
            <w:vAlign w:val="center"/>
          </w:tcPr>
          <w:p w14:paraId="5B0451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-5,820.54</w:t>
            </w:r>
          </w:p>
        </w:tc>
        <w:tc>
          <w:tcPr>
            <w:tcW w:w="2410" w:type="dxa"/>
            <w:tcBorders>
              <w:top w:val="single" w:sz="2" w:space="0" w:color="auto"/>
              <w:left w:val="single" w:sz="2" w:space="0" w:color="auto"/>
              <w:bottom w:val="single" w:sz="2" w:space="0" w:color="auto"/>
              <w:right w:val="single" w:sz="2" w:space="0" w:color="auto"/>
            </w:tcBorders>
            <w:vAlign w:val="center"/>
          </w:tcPr>
          <w:p w14:paraId="4FB9AF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-136,365.83</w:t>
            </w:r>
          </w:p>
        </w:tc>
        <w:tc>
          <w:tcPr>
            <w:tcW w:w="2410" w:type="dxa"/>
            <w:tcBorders>
              <w:top w:val="single" w:sz="2" w:space="0" w:color="auto"/>
              <w:left w:val="single" w:sz="2" w:space="0" w:color="auto"/>
              <w:bottom w:val="single" w:sz="2" w:space="0" w:color="auto"/>
              <w:right w:val="single" w:sz="2" w:space="0" w:color="auto"/>
            </w:tcBorders>
            <w:vAlign w:val="center"/>
          </w:tcPr>
          <w:p w14:paraId="219EA3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95.73%</w:t>
            </w:r>
          </w:p>
        </w:tc>
      </w:tr>
      <w:tr w:rsidR="00E32FE0" w:rsidRPr="005B5EC1" w14:paraId="62FB6FF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E29365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EBITDA</w:t>
            </w:r>
            <w:r w:rsidRPr="005B5EC1">
              <w:rPr>
                <w:rFonts w:ascii="Times New Roman" w:eastAsia="宋体" w:hAnsi="Times New Roman" w:cs="Times New Roman"/>
                <w:sz w:val="18"/>
                <w:szCs w:val="18"/>
              </w:rPr>
              <w:t>全部债务比</w:t>
            </w:r>
          </w:p>
        </w:tc>
        <w:tc>
          <w:tcPr>
            <w:tcW w:w="2410" w:type="dxa"/>
            <w:tcBorders>
              <w:top w:val="single" w:sz="2" w:space="0" w:color="auto"/>
              <w:left w:val="single" w:sz="2" w:space="0" w:color="auto"/>
              <w:bottom w:val="single" w:sz="2" w:space="0" w:color="auto"/>
              <w:right w:val="single" w:sz="2" w:space="0" w:color="auto"/>
            </w:tcBorders>
            <w:vAlign w:val="center"/>
          </w:tcPr>
          <w:p w14:paraId="2E177EA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9.54%</w:t>
            </w:r>
          </w:p>
        </w:tc>
        <w:tc>
          <w:tcPr>
            <w:tcW w:w="2410" w:type="dxa"/>
            <w:tcBorders>
              <w:top w:val="single" w:sz="2" w:space="0" w:color="auto"/>
              <w:left w:val="single" w:sz="2" w:space="0" w:color="auto"/>
              <w:bottom w:val="single" w:sz="2" w:space="0" w:color="auto"/>
              <w:right w:val="single" w:sz="2" w:space="0" w:color="auto"/>
            </w:tcBorders>
            <w:vAlign w:val="center"/>
          </w:tcPr>
          <w:p w14:paraId="5661AF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-30.84%</w:t>
            </w:r>
          </w:p>
        </w:tc>
        <w:tc>
          <w:tcPr>
            <w:tcW w:w="2410" w:type="dxa"/>
            <w:tcBorders>
              <w:top w:val="single" w:sz="2" w:space="0" w:color="auto"/>
              <w:left w:val="single" w:sz="2" w:space="0" w:color="auto"/>
              <w:bottom w:val="single" w:sz="2" w:space="0" w:color="auto"/>
              <w:right w:val="single" w:sz="2" w:space="0" w:color="auto"/>
            </w:tcBorders>
            <w:vAlign w:val="center"/>
          </w:tcPr>
          <w:p w14:paraId="7C8705E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40.38%</w:t>
            </w:r>
          </w:p>
        </w:tc>
      </w:tr>
      <w:tr w:rsidR="00E32FE0" w:rsidRPr="005B5EC1" w14:paraId="4EDA5B5A"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3038EA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1A8580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0.88</w:t>
            </w:r>
          </w:p>
        </w:tc>
        <w:tc>
          <w:tcPr>
            <w:tcW w:w="2410" w:type="dxa"/>
            <w:tcBorders>
              <w:top w:val="single" w:sz="2" w:space="0" w:color="auto"/>
              <w:left w:val="single" w:sz="2" w:space="0" w:color="auto"/>
              <w:bottom w:val="single" w:sz="2" w:space="0" w:color="auto"/>
              <w:right w:val="single" w:sz="2" w:space="0" w:color="auto"/>
            </w:tcBorders>
            <w:vAlign w:val="center"/>
          </w:tcPr>
          <w:p w14:paraId="0E9700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-9.42</w:t>
            </w:r>
          </w:p>
        </w:tc>
        <w:tc>
          <w:tcPr>
            <w:tcW w:w="2410" w:type="dxa"/>
            <w:tcBorders>
              <w:top w:val="single" w:sz="2" w:space="0" w:color="auto"/>
              <w:left w:val="single" w:sz="2" w:space="0" w:color="auto"/>
              <w:bottom w:val="single" w:sz="2" w:space="0" w:color="auto"/>
              <w:right w:val="single" w:sz="2" w:space="0" w:color="auto"/>
            </w:tcBorders>
            <w:vAlign w:val="center"/>
          </w:tcPr>
          <w:p w14:paraId="51EEBD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109.34%</w:t>
            </w:r>
          </w:p>
        </w:tc>
      </w:tr>
      <w:tr w:rsidR="00E32FE0" w:rsidRPr="005B5EC1" w14:paraId="5FACF114"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9EF66A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现金利息保障倍数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6042288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3.07</w:t>
            </w:r>
          </w:p>
        </w:tc>
        <w:tc>
          <w:tcPr>
            <w:tcW w:w="2410" w:type="dxa"/>
            <w:tcBorders>
              <w:top w:val="single" w:sz="2" w:space="0" w:color="auto"/>
              <w:left w:val="single" w:sz="2" w:space="0" w:color="auto"/>
              <w:bottom w:val="single" w:sz="2" w:space="0" w:color="auto"/>
              <w:right w:val="single" w:sz="2" w:space="0" w:color="auto"/>
            </w:tcBorders>
            <w:vAlign w:val="center"/>
          </w:tcPr>
          <w:p w14:paraId="65189E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-4.78</w:t>
            </w:r>
          </w:p>
        </w:tc>
        <w:tc>
          <w:tcPr>
            <w:tcW w:w="2410" w:type="dxa"/>
            <w:tcBorders>
              <w:top w:val="single" w:sz="2" w:space="0" w:color="auto"/>
              <w:left w:val="single" w:sz="2" w:space="0" w:color="auto"/>
              <w:bottom w:val="single" w:sz="2" w:space="0" w:color="auto"/>
              <w:right w:val="single" w:sz="2" w:space="0" w:color="auto"/>
            </w:tcBorders>
            <w:vAlign w:val="center"/>
          </w:tcPr>
          <w:p w14:paraId="7C90F2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164.23%</w:t>
            </w:r>
          </w:p>
        </w:tc>
      </w:tr>
      <w:tr w:rsidR="00E32FE0" w:rsidRPr="005B5EC1" w14:paraId="7811EA7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A97C9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EBITDA</w:t>
            </w:r>
            <w:r w:rsidRPr="005B5EC1">
              <w:rPr>
                <w:rFonts w:ascii="Times New Roman" w:eastAsia="宋体" w:hAnsi="Times New Roman" w:cs="Times New Roman"/>
                <w:sz w:val="18"/>
                <w:szCs w:val="18"/>
              </w:rPr>
              <w:t>利息保障倍数</w:t>
            </w:r>
          </w:p>
        </w:tc>
        <w:tc>
          <w:tcPr>
            <w:tcW w:w="2410" w:type="dxa"/>
            <w:tcBorders>
              <w:top w:val="single" w:sz="2" w:space="0" w:color="auto"/>
              <w:left w:val="single" w:sz="2" w:space="0" w:color="auto"/>
              <w:bottom w:val="single" w:sz="2" w:space="0" w:color="auto"/>
              <w:right w:val="single" w:sz="2" w:space="0" w:color="auto"/>
            </w:tcBorders>
            <w:vAlign w:val="center"/>
          </w:tcPr>
          <w:p w14:paraId="691D44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2.13</w:t>
            </w:r>
          </w:p>
        </w:tc>
        <w:tc>
          <w:tcPr>
            <w:tcW w:w="2410" w:type="dxa"/>
            <w:tcBorders>
              <w:top w:val="single" w:sz="2" w:space="0" w:color="auto"/>
              <w:left w:val="single" w:sz="2" w:space="0" w:color="auto"/>
              <w:bottom w:val="single" w:sz="2" w:space="0" w:color="auto"/>
              <w:right w:val="single" w:sz="2" w:space="0" w:color="auto"/>
            </w:tcBorders>
            <w:vAlign w:val="center"/>
          </w:tcPr>
          <w:p w14:paraId="22E0BE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w:t>
            </w:r>
          </w:p>
        </w:tc>
        <w:tc>
          <w:tcPr>
            <w:tcW w:w="2410" w:type="dxa"/>
            <w:tcBorders>
              <w:top w:val="single" w:sz="2" w:space="0" w:color="auto"/>
              <w:left w:val="single" w:sz="2" w:space="0" w:color="auto"/>
              <w:bottom w:val="single" w:sz="2" w:space="0" w:color="auto"/>
              <w:right w:val="single" w:sz="2" w:space="0" w:color="auto"/>
            </w:tcBorders>
            <w:vAlign w:val="center"/>
          </w:tcPr>
          <w:p w14:paraId="22F04E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126.63%</w:t>
            </w:r>
          </w:p>
        </w:tc>
      </w:tr>
      <w:tr w:rsidR="00E32FE0" w:rsidRPr="005B5EC1" w14:paraId="041036A2"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25BB7E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贷款偿还率</w:t>
            </w:r>
          </w:p>
        </w:tc>
        <w:tc>
          <w:tcPr>
            <w:tcW w:w="2410" w:type="dxa"/>
            <w:tcBorders>
              <w:top w:val="single" w:sz="2" w:space="0" w:color="auto"/>
              <w:left w:val="single" w:sz="2" w:space="0" w:color="auto"/>
              <w:bottom w:val="single" w:sz="2" w:space="0" w:color="auto"/>
              <w:right w:val="single" w:sz="2" w:space="0" w:color="auto"/>
            </w:tcBorders>
            <w:vAlign w:val="center"/>
          </w:tcPr>
          <w:p w14:paraId="73AC1F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2D3C47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7C87E2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r w:rsidR="00E32FE0" w:rsidRPr="005B5EC1" w14:paraId="7CAC8025"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D0C9D6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利息偿付率</w:t>
            </w:r>
          </w:p>
        </w:tc>
        <w:tc>
          <w:tcPr>
            <w:tcW w:w="2410" w:type="dxa"/>
            <w:tcBorders>
              <w:top w:val="single" w:sz="2" w:space="0" w:color="auto"/>
              <w:left w:val="single" w:sz="2" w:space="0" w:color="auto"/>
              <w:bottom w:val="single" w:sz="2" w:space="0" w:color="auto"/>
              <w:right w:val="single" w:sz="2" w:space="0" w:color="auto"/>
            </w:tcBorders>
            <w:vAlign w:val="center"/>
          </w:tcPr>
          <w:p w14:paraId="680017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668E4B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2410" w:type="dxa"/>
            <w:tcBorders>
              <w:top w:val="single" w:sz="2" w:space="0" w:color="auto"/>
              <w:left w:val="single" w:sz="2" w:space="0" w:color="auto"/>
              <w:bottom w:val="single" w:sz="2" w:space="0" w:color="auto"/>
              <w:right w:val="single" w:sz="2" w:space="0" w:color="auto"/>
            </w:tcBorders>
            <w:vAlign w:val="center"/>
          </w:tcPr>
          <w:p w14:paraId="7BF4E2C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bl>
    <w:p w14:paraId="00BD10E5" w14:textId="77777777" w:rsidR="00E32FE0" w:rsidRPr="005B5EC1" w:rsidRDefault="00000000">
      <w:pPr>
        <w:rPr>
          <w:rFonts w:ascii="Times New Roman" w:hAnsi="Times New Roman" w:cs="Times New Roman"/>
        </w:rPr>
      </w:pPr>
      <w:r w:rsidRPr="005B5EC1">
        <w:rPr>
          <w:rFonts w:ascii="Times New Roman" w:hAnsi="Times New Roman" w:cs="Times New Roman"/>
        </w:rPr>
        <w:br w:type="page"/>
      </w:r>
    </w:p>
    <w:p w14:paraId="703DC1A2" w14:textId="77777777" w:rsidR="00E32FE0" w:rsidRPr="005B5EC1" w:rsidRDefault="00000000">
      <w:pPr>
        <w:pStyle w:val="headingh1"/>
        <w:spacing w:before="340" w:after="330" w:line="773" w:lineRule="exact"/>
        <w:jc w:val="center"/>
        <w:rPr>
          <w:rFonts w:ascii="Times New Roman" w:eastAsia="宋体" w:hAnsi="Times New Roman" w:cs="Times New Roman"/>
          <w:b/>
          <w:bCs/>
          <w:sz w:val="32"/>
          <w:szCs w:val="32"/>
        </w:rPr>
      </w:pPr>
      <w:bookmarkStart w:id="160" w:name="_Toc989049"/>
      <w:r w:rsidRPr="005B5EC1">
        <w:rPr>
          <w:rFonts w:ascii="Times New Roman" w:eastAsia="宋体" w:hAnsi="Times New Roman" w:cs="Times New Roman"/>
          <w:b/>
          <w:bCs/>
          <w:sz w:val="32"/>
          <w:szCs w:val="32"/>
        </w:rPr>
        <w:lastRenderedPageBreak/>
        <w:t>第十节</w:t>
      </w:r>
      <w:r w:rsidRPr="005B5EC1">
        <w:rPr>
          <w:rFonts w:ascii="Times New Roman" w:eastAsia="宋体" w:hAnsi="Times New Roman" w:cs="Times New Roman"/>
          <w:b/>
          <w:bCs/>
          <w:sz w:val="32"/>
          <w:szCs w:val="32"/>
        </w:rPr>
        <w:t xml:space="preserve"> </w:t>
      </w:r>
      <w:r w:rsidRPr="005B5EC1">
        <w:rPr>
          <w:rFonts w:ascii="Times New Roman" w:eastAsia="宋体" w:hAnsi="Times New Roman" w:cs="Times New Roman"/>
          <w:b/>
          <w:bCs/>
          <w:sz w:val="32"/>
          <w:szCs w:val="32"/>
        </w:rPr>
        <w:t>财务报告</w:t>
      </w:r>
      <w:bookmarkEnd w:id="160"/>
    </w:p>
    <w:p w14:paraId="0C3A56A5"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61" w:name="_Toc989050"/>
      <w:r w:rsidRPr="005B5EC1">
        <w:rPr>
          <w:rFonts w:ascii="Times New Roman" w:eastAsia="宋体" w:hAnsi="Times New Roman" w:cs="Times New Roman"/>
          <w:b/>
          <w:bCs/>
          <w:sz w:val="24"/>
          <w:szCs w:val="24"/>
        </w:rPr>
        <w:t>一、审计报告</w:t>
      </w:r>
      <w:bookmarkEnd w:id="161"/>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5905BEB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51AC17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审计意见类型</w:t>
            </w:r>
          </w:p>
        </w:tc>
        <w:tc>
          <w:tcPr>
            <w:tcW w:w="4820" w:type="dxa"/>
            <w:tcBorders>
              <w:top w:val="single" w:sz="2" w:space="0" w:color="auto"/>
              <w:left w:val="single" w:sz="2" w:space="0" w:color="auto"/>
              <w:bottom w:val="single" w:sz="2" w:space="0" w:color="auto"/>
              <w:right w:val="single" w:sz="2" w:space="0" w:color="auto"/>
            </w:tcBorders>
            <w:vAlign w:val="center"/>
          </w:tcPr>
          <w:p w14:paraId="5E7C138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标准的无保留意见</w:t>
            </w:r>
          </w:p>
        </w:tc>
      </w:tr>
      <w:tr w:rsidR="00E32FE0" w:rsidRPr="005B5EC1" w14:paraId="701A118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C73484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审计报告签署日期</w:t>
            </w:r>
          </w:p>
        </w:tc>
        <w:tc>
          <w:tcPr>
            <w:tcW w:w="4820" w:type="dxa"/>
            <w:tcBorders>
              <w:top w:val="single" w:sz="2" w:space="0" w:color="auto"/>
              <w:left w:val="single" w:sz="2" w:space="0" w:color="auto"/>
              <w:bottom w:val="single" w:sz="2" w:space="0" w:color="auto"/>
              <w:right w:val="single" w:sz="2" w:space="0" w:color="auto"/>
            </w:tcBorders>
            <w:vAlign w:val="center"/>
          </w:tcPr>
          <w:p w14:paraId="7DA9A48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r>
      <w:tr w:rsidR="00E32FE0" w:rsidRPr="005B5EC1" w14:paraId="5C58A32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320631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审计机构名称</w:t>
            </w:r>
          </w:p>
        </w:tc>
        <w:tc>
          <w:tcPr>
            <w:tcW w:w="4820" w:type="dxa"/>
            <w:tcBorders>
              <w:top w:val="single" w:sz="2" w:space="0" w:color="auto"/>
              <w:left w:val="single" w:sz="2" w:space="0" w:color="auto"/>
              <w:bottom w:val="single" w:sz="2" w:space="0" w:color="auto"/>
              <w:right w:val="single" w:sz="2" w:space="0" w:color="auto"/>
            </w:tcBorders>
            <w:vAlign w:val="center"/>
          </w:tcPr>
          <w:p w14:paraId="7C86D9A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众华会计师事务所（特殊普通合伙）</w:t>
            </w:r>
          </w:p>
        </w:tc>
      </w:tr>
      <w:tr w:rsidR="00E32FE0" w:rsidRPr="005B5EC1" w14:paraId="5860693E"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F77CDB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审计报告文号</w:t>
            </w:r>
          </w:p>
        </w:tc>
        <w:tc>
          <w:tcPr>
            <w:tcW w:w="4820" w:type="dxa"/>
            <w:tcBorders>
              <w:top w:val="single" w:sz="2" w:space="0" w:color="auto"/>
              <w:left w:val="single" w:sz="2" w:space="0" w:color="auto"/>
              <w:bottom w:val="single" w:sz="2" w:space="0" w:color="auto"/>
              <w:right w:val="single" w:sz="2" w:space="0" w:color="auto"/>
            </w:tcBorders>
            <w:vAlign w:val="center"/>
          </w:tcPr>
          <w:p w14:paraId="421C727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众会字（</w:t>
            </w: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）第</w:t>
            </w:r>
            <w:r w:rsidRPr="005B5EC1">
              <w:rPr>
                <w:rFonts w:ascii="Times New Roman" w:eastAsia="宋体" w:hAnsi="Times New Roman" w:cs="Times New Roman"/>
                <w:sz w:val="18"/>
                <w:szCs w:val="18"/>
              </w:rPr>
              <w:t>00501</w:t>
            </w:r>
            <w:r w:rsidRPr="005B5EC1">
              <w:rPr>
                <w:rFonts w:ascii="Times New Roman" w:eastAsia="宋体" w:hAnsi="Times New Roman" w:cs="Times New Roman"/>
                <w:sz w:val="18"/>
                <w:szCs w:val="18"/>
              </w:rPr>
              <w:t>号</w:t>
            </w:r>
          </w:p>
        </w:tc>
      </w:tr>
      <w:tr w:rsidR="00E32FE0" w:rsidRPr="005B5EC1" w14:paraId="6E7101E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5B24ED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14:paraId="24871D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李立生、杨学燕</w:t>
            </w:r>
          </w:p>
        </w:tc>
      </w:tr>
    </w:tbl>
    <w:p w14:paraId="00633139" w14:textId="77777777" w:rsidR="00E32FE0" w:rsidRPr="005B5EC1" w:rsidRDefault="00000000">
      <w:pPr>
        <w:spacing w:before="100" w:after="10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审计报告正文</w:t>
      </w:r>
    </w:p>
    <w:p w14:paraId="786408A2" w14:textId="5E5E45D7" w:rsidR="00AF139E" w:rsidRPr="005B5EC1" w:rsidRDefault="00000000" w:rsidP="00314ACE">
      <w:pPr>
        <w:pStyle w:val="a3"/>
        <w:spacing w:before="177" w:beforeAutospacing="0" w:after="0" w:afterAutospacing="0" w:line="360" w:lineRule="auto"/>
        <w:ind w:left="35" w:right="178" w:firstLine="361"/>
        <w:jc w:val="both"/>
        <w:textAlignment w:val="baseline"/>
        <w:divId w:val="1002661028"/>
        <w:rPr>
          <w:rFonts w:ascii="Times New Roman" w:hAnsi="Times New Roman" w:cs="Times New Roman"/>
          <w:color w:val="000000"/>
          <w:spacing w:val="-4"/>
          <w:sz w:val="18"/>
          <w:szCs w:val="18"/>
        </w:rPr>
      </w:pPr>
      <w:r w:rsidRPr="005B5EC1">
        <w:rPr>
          <w:rFonts w:ascii="Times New Roman" w:hAnsi="Times New Roman" w:cs="Times New Roman"/>
          <w:color w:val="000000"/>
          <w:spacing w:val="-4"/>
          <w:sz w:val="18"/>
          <w:szCs w:val="18"/>
        </w:rPr>
        <w:t>我们审计了山东龙大美食股份有限公司（以下简称</w:t>
      </w:r>
      <w:r w:rsidRPr="005B5EC1">
        <w:rPr>
          <w:rFonts w:ascii="Times New Roman" w:hAnsi="Times New Roman" w:cs="Times New Roman"/>
          <w:color w:val="000000"/>
          <w:spacing w:val="-4"/>
          <w:sz w:val="18"/>
          <w:szCs w:val="18"/>
        </w:rPr>
        <w:t>“</w:t>
      </w:r>
      <w:r w:rsidRPr="005B5EC1">
        <w:rPr>
          <w:rFonts w:ascii="Times New Roman" w:hAnsi="Times New Roman" w:cs="Times New Roman"/>
          <w:color w:val="000000"/>
          <w:spacing w:val="-4"/>
          <w:sz w:val="18"/>
          <w:szCs w:val="18"/>
        </w:rPr>
        <w:t>龙大美食公司</w:t>
      </w:r>
      <w:r w:rsidRPr="005B5EC1">
        <w:rPr>
          <w:rFonts w:ascii="Times New Roman" w:hAnsi="Times New Roman" w:cs="Times New Roman"/>
          <w:color w:val="000000"/>
          <w:spacing w:val="-53"/>
          <w:sz w:val="18"/>
          <w:szCs w:val="18"/>
        </w:rPr>
        <w:t xml:space="preserve"> ”</w:t>
      </w:r>
      <w:r w:rsidRPr="005B5EC1">
        <w:rPr>
          <w:rFonts w:ascii="Times New Roman" w:hAnsi="Times New Roman" w:cs="Times New Roman"/>
          <w:color w:val="000000"/>
          <w:spacing w:val="-4"/>
          <w:sz w:val="18"/>
          <w:szCs w:val="18"/>
        </w:rPr>
        <w:t>）财务报表，包括</w:t>
      </w:r>
      <w:r w:rsidRPr="005B5EC1">
        <w:rPr>
          <w:rFonts w:ascii="Times New Roman" w:hAnsi="Times New Roman" w:cs="Times New Roman"/>
          <w:color w:val="000000"/>
          <w:spacing w:val="-4"/>
          <w:sz w:val="18"/>
          <w:szCs w:val="18"/>
        </w:rPr>
        <w:t xml:space="preserve">2024 </w:t>
      </w:r>
      <w:r w:rsidRPr="005B5EC1">
        <w:rPr>
          <w:rFonts w:ascii="Times New Roman" w:hAnsi="Times New Roman" w:cs="Times New Roman"/>
          <w:color w:val="000000"/>
          <w:spacing w:val="-4"/>
          <w:sz w:val="18"/>
          <w:szCs w:val="18"/>
        </w:rPr>
        <w:t>年</w:t>
      </w:r>
      <w:r w:rsidRPr="005B5EC1">
        <w:rPr>
          <w:rFonts w:ascii="Times New Roman" w:hAnsi="Times New Roman" w:cs="Times New Roman"/>
          <w:color w:val="000000"/>
          <w:spacing w:val="-4"/>
          <w:sz w:val="18"/>
          <w:szCs w:val="18"/>
        </w:rPr>
        <w:t xml:space="preserve">12 </w:t>
      </w:r>
      <w:r w:rsidRPr="005B5EC1">
        <w:rPr>
          <w:rFonts w:ascii="Times New Roman" w:hAnsi="Times New Roman" w:cs="Times New Roman"/>
          <w:color w:val="000000"/>
          <w:spacing w:val="-4"/>
          <w:sz w:val="18"/>
          <w:szCs w:val="18"/>
        </w:rPr>
        <w:t>月</w:t>
      </w:r>
      <w:r w:rsidRPr="005B5EC1">
        <w:rPr>
          <w:rFonts w:ascii="Times New Roman" w:hAnsi="Times New Roman" w:cs="Times New Roman"/>
          <w:color w:val="000000"/>
          <w:spacing w:val="-4"/>
          <w:sz w:val="18"/>
          <w:szCs w:val="18"/>
        </w:rPr>
        <w:t>31</w:t>
      </w:r>
      <w:r w:rsidRPr="005B5EC1">
        <w:rPr>
          <w:rFonts w:ascii="Times New Roman" w:hAnsi="Times New Roman" w:cs="Times New Roman"/>
          <w:color w:val="000000"/>
          <w:spacing w:val="31"/>
          <w:sz w:val="18"/>
          <w:szCs w:val="18"/>
        </w:rPr>
        <w:t> </w:t>
      </w:r>
      <w:r w:rsidRPr="005B5EC1">
        <w:rPr>
          <w:rFonts w:ascii="Times New Roman" w:hAnsi="Times New Roman" w:cs="Times New Roman"/>
          <w:color w:val="000000"/>
          <w:spacing w:val="-4"/>
          <w:sz w:val="18"/>
          <w:szCs w:val="18"/>
        </w:rPr>
        <w:t>日的合并及公</w:t>
      </w:r>
      <w:r w:rsidRPr="005B5EC1">
        <w:rPr>
          <w:rFonts w:ascii="Times New Roman" w:hAnsi="Times New Roman" w:cs="Times New Roman"/>
          <w:color w:val="000000"/>
          <w:sz w:val="18"/>
          <w:szCs w:val="18"/>
        </w:rPr>
        <w:t>司资产负债表，</w:t>
      </w:r>
      <w:r w:rsidRPr="005B5EC1">
        <w:rPr>
          <w:rFonts w:ascii="Times New Roman" w:hAnsi="Times New Roman" w:cs="Times New Roman"/>
          <w:color w:val="000000"/>
          <w:sz w:val="18"/>
          <w:szCs w:val="18"/>
        </w:rPr>
        <w:t>2024</w:t>
      </w:r>
      <w:r w:rsidRPr="005B5EC1">
        <w:rPr>
          <w:rFonts w:ascii="Times New Roman" w:hAnsi="Times New Roman" w:cs="Times New Roman"/>
          <w:color w:val="000000"/>
          <w:sz w:val="18"/>
          <w:szCs w:val="18"/>
        </w:rPr>
        <w:t>年度的合并及公司利润表、合并及公司现金流量表、合并及公司</w:t>
      </w:r>
      <w:r w:rsidRPr="005B5EC1">
        <w:rPr>
          <w:rFonts w:ascii="Times New Roman" w:hAnsi="Times New Roman" w:cs="Times New Roman"/>
          <w:color w:val="000000"/>
          <w:spacing w:val="-1"/>
          <w:sz w:val="18"/>
          <w:szCs w:val="18"/>
        </w:rPr>
        <w:t>股东权益变动表以及相关财务报表附</w:t>
      </w:r>
      <w:r w:rsidRPr="005B5EC1">
        <w:rPr>
          <w:rFonts w:ascii="Times New Roman" w:hAnsi="Times New Roman" w:cs="Times New Roman"/>
          <w:color w:val="000000"/>
          <w:spacing w:val="-4"/>
          <w:sz w:val="18"/>
          <w:szCs w:val="18"/>
        </w:rPr>
        <w:t>注。</w:t>
      </w:r>
    </w:p>
    <w:p w14:paraId="30AC2025" w14:textId="77777777" w:rsidR="00AF139E" w:rsidRPr="005B5EC1" w:rsidRDefault="00000000">
      <w:pPr>
        <w:pStyle w:val="a3"/>
        <w:spacing w:before="24" w:beforeAutospacing="0" w:after="0" w:afterAutospacing="0" w:line="352" w:lineRule="auto"/>
        <w:ind w:left="66" w:right="185" w:firstLine="330"/>
        <w:textAlignment w:val="baseline"/>
        <w:divId w:val="1002661028"/>
        <w:rPr>
          <w:rFonts w:ascii="Times New Roman" w:hAnsi="Times New Roman" w:cs="Times New Roman"/>
          <w:color w:val="000000"/>
          <w:sz w:val="21"/>
          <w:szCs w:val="21"/>
        </w:rPr>
      </w:pPr>
      <w:r w:rsidRPr="005B5EC1">
        <w:rPr>
          <w:rFonts w:ascii="Times New Roman" w:hAnsi="Times New Roman" w:cs="Times New Roman"/>
          <w:color w:val="000000"/>
          <w:spacing w:val="-1"/>
          <w:sz w:val="18"/>
          <w:szCs w:val="18"/>
        </w:rPr>
        <w:t>我们认为，后附的财务报表在所有重大方面按照企业会计准则的规定编制，公允反映了龙大美食公司</w:t>
      </w:r>
      <w:r w:rsidRPr="005B5EC1">
        <w:rPr>
          <w:rFonts w:ascii="Times New Roman" w:hAnsi="Times New Roman" w:cs="Times New Roman"/>
          <w:color w:val="000000"/>
          <w:spacing w:val="-1"/>
          <w:sz w:val="18"/>
          <w:szCs w:val="18"/>
        </w:rPr>
        <w:t xml:space="preserve">2024 </w:t>
      </w:r>
      <w:r w:rsidRPr="005B5EC1">
        <w:rPr>
          <w:rFonts w:ascii="Times New Roman" w:hAnsi="Times New Roman" w:cs="Times New Roman"/>
          <w:color w:val="000000"/>
          <w:spacing w:val="-1"/>
          <w:sz w:val="18"/>
          <w:szCs w:val="18"/>
        </w:rPr>
        <w:t>年</w:t>
      </w:r>
      <w:r w:rsidRPr="005B5EC1">
        <w:rPr>
          <w:rFonts w:ascii="Times New Roman" w:hAnsi="Times New Roman" w:cs="Times New Roman"/>
          <w:color w:val="000000"/>
          <w:spacing w:val="-1"/>
          <w:sz w:val="18"/>
          <w:szCs w:val="18"/>
        </w:rPr>
        <w:t xml:space="preserve">12 </w:t>
      </w:r>
      <w:r w:rsidRPr="005B5EC1">
        <w:rPr>
          <w:rFonts w:ascii="Times New Roman" w:hAnsi="Times New Roman" w:cs="Times New Roman"/>
          <w:color w:val="000000"/>
          <w:spacing w:val="-1"/>
          <w:sz w:val="18"/>
          <w:szCs w:val="18"/>
        </w:rPr>
        <w:t>月</w:t>
      </w:r>
      <w:r w:rsidRPr="005B5EC1">
        <w:rPr>
          <w:rFonts w:ascii="Times New Roman" w:hAnsi="Times New Roman" w:cs="Times New Roman"/>
          <w:color w:val="000000"/>
          <w:spacing w:val="-2"/>
          <w:sz w:val="18"/>
          <w:szCs w:val="18"/>
        </w:rPr>
        <w:t>31</w:t>
      </w:r>
      <w:r w:rsidRPr="005B5EC1">
        <w:rPr>
          <w:rFonts w:ascii="Times New Roman" w:hAnsi="Times New Roman" w:cs="Times New Roman"/>
          <w:color w:val="000000"/>
          <w:sz w:val="18"/>
          <w:szCs w:val="18"/>
        </w:rPr>
        <w:t> </w:t>
      </w:r>
      <w:r w:rsidRPr="005B5EC1">
        <w:rPr>
          <w:rFonts w:ascii="Times New Roman" w:hAnsi="Times New Roman" w:cs="Times New Roman"/>
          <w:color w:val="000000"/>
          <w:spacing w:val="-1"/>
          <w:sz w:val="18"/>
          <w:szCs w:val="18"/>
        </w:rPr>
        <w:t>日合并及公司的财务状况以及</w:t>
      </w:r>
      <w:r w:rsidRPr="005B5EC1">
        <w:rPr>
          <w:rFonts w:ascii="Times New Roman" w:hAnsi="Times New Roman" w:cs="Times New Roman"/>
          <w:color w:val="000000"/>
          <w:spacing w:val="-1"/>
          <w:sz w:val="18"/>
          <w:szCs w:val="18"/>
        </w:rPr>
        <w:t>2024</w:t>
      </w:r>
      <w:r w:rsidRPr="005B5EC1">
        <w:rPr>
          <w:rFonts w:ascii="Times New Roman" w:hAnsi="Times New Roman" w:cs="Times New Roman"/>
          <w:color w:val="000000"/>
          <w:spacing w:val="-1"/>
          <w:sz w:val="18"/>
          <w:szCs w:val="18"/>
        </w:rPr>
        <w:t>年度</w:t>
      </w:r>
      <w:r w:rsidRPr="005B5EC1">
        <w:rPr>
          <w:rFonts w:ascii="Times New Roman" w:hAnsi="Times New Roman" w:cs="Times New Roman"/>
          <w:color w:val="000000"/>
          <w:spacing w:val="-2"/>
          <w:sz w:val="18"/>
          <w:szCs w:val="18"/>
        </w:rPr>
        <w:t>合并及公司的经营成果和现金流量。</w:t>
      </w:r>
    </w:p>
    <w:p w14:paraId="565A05E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62" w:name="_Toc989051"/>
      <w:r w:rsidRPr="005B5EC1">
        <w:rPr>
          <w:rFonts w:ascii="Times New Roman" w:eastAsia="宋体" w:hAnsi="Times New Roman" w:cs="Times New Roman"/>
          <w:b/>
          <w:bCs/>
          <w:sz w:val="24"/>
          <w:szCs w:val="24"/>
        </w:rPr>
        <w:t>二、财务报表</w:t>
      </w:r>
      <w:bookmarkEnd w:id="162"/>
    </w:p>
    <w:p w14:paraId="56A06BC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财务附注中报表的单位为：元</w:t>
      </w:r>
    </w:p>
    <w:p w14:paraId="63542987" w14:textId="77777777" w:rsidR="00E32FE0" w:rsidRPr="005B5EC1" w:rsidRDefault="00000000">
      <w:pPr>
        <w:pStyle w:val="3"/>
        <w:spacing w:line="280" w:lineRule="exact"/>
        <w:jc w:val="left"/>
        <w:rPr>
          <w:rFonts w:ascii="Times New Roman" w:hAnsi="Times New Roman" w:cs="Times New Roman"/>
          <w:b/>
          <w:bCs/>
        </w:rPr>
      </w:pPr>
      <w:bookmarkStart w:id="163" w:name="_Toc989052"/>
      <w:r w:rsidRPr="005B5EC1">
        <w:rPr>
          <w:rFonts w:ascii="Times New Roman" w:hAnsi="Times New Roman" w:cs="Times New Roman"/>
          <w:b/>
          <w:bCs/>
        </w:rPr>
        <w:t>1</w:t>
      </w:r>
      <w:r w:rsidRPr="005B5EC1">
        <w:rPr>
          <w:rFonts w:ascii="Times New Roman" w:hAnsi="Times New Roman" w:cs="Times New Roman"/>
          <w:b/>
          <w:bCs/>
        </w:rPr>
        <w:t>、合并资产负债表</w:t>
      </w:r>
      <w:bookmarkEnd w:id="163"/>
    </w:p>
    <w:p w14:paraId="2ECA17A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编制单位：山东龙大美食股份有限公司</w:t>
      </w:r>
    </w:p>
    <w:p w14:paraId="19F9516F"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p w14:paraId="0CB5CF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22C0C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F60D8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713BB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0C051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3AEE52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ED956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8A104C"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A01911" w14:textId="77777777" w:rsidR="00E32FE0" w:rsidRPr="005B5EC1" w:rsidRDefault="00E32FE0">
            <w:pPr>
              <w:rPr>
                <w:rFonts w:ascii="Times New Roman" w:hAnsi="Times New Roman" w:cs="Times New Roman"/>
              </w:rPr>
            </w:pPr>
          </w:p>
        </w:tc>
      </w:tr>
      <w:tr w:rsidR="00E32FE0" w:rsidRPr="005B5EC1" w14:paraId="6A7D5E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DC203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0ECCE64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970,117,579.77</w:t>
            </w:r>
          </w:p>
        </w:tc>
        <w:tc>
          <w:tcPr>
            <w:tcW w:w="3213" w:type="dxa"/>
            <w:tcBorders>
              <w:top w:val="single" w:sz="2" w:space="0" w:color="auto"/>
              <w:left w:val="single" w:sz="2" w:space="0" w:color="auto"/>
              <w:bottom w:val="single" w:sz="2" w:space="0" w:color="auto"/>
              <w:right w:val="single" w:sz="2" w:space="0" w:color="auto"/>
            </w:tcBorders>
            <w:vAlign w:val="center"/>
          </w:tcPr>
          <w:p w14:paraId="65AAF4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1,392,572,096.51</w:t>
            </w:r>
          </w:p>
        </w:tc>
      </w:tr>
      <w:tr w:rsidR="00E32FE0" w:rsidRPr="005B5EC1" w14:paraId="6186FB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B1206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343577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46646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29392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6BDBF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4EE2312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84754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4B908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5CF9A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3E28C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1,293,700.05</w:t>
            </w:r>
          </w:p>
        </w:tc>
        <w:tc>
          <w:tcPr>
            <w:tcW w:w="3213" w:type="dxa"/>
            <w:tcBorders>
              <w:top w:val="single" w:sz="2" w:space="0" w:color="auto"/>
              <w:left w:val="single" w:sz="2" w:space="0" w:color="auto"/>
              <w:bottom w:val="single" w:sz="2" w:space="0" w:color="auto"/>
              <w:right w:val="single" w:sz="2" w:space="0" w:color="auto"/>
            </w:tcBorders>
            <w:vAlign w:val="center"/>
          </w:tcPr>
          <w:p w14:paraId="452C6F5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B31B2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757B5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0B0A669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0DA2F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E71EA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A715DD"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00FE69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4,765,410.11</w:t>
            </w:r>
          </w:p>
        </w:tc>
        <w:tc>
          <w:tcPr>
            <w:tcW w:w="3213" w:type="dxa"/>
            <w:tcBorders>
              <w:top w:val="single" w:sz="2" w:space="0" w:color="auto"/>
              <w:left w:val="single" w:sz="2" w:space="0" w:color="auto"/>
              <w:bottom w:val="single" w:sz="2" w:space="0" w:color="auto"/>
              <w:right w:val="single" w:sz="2" w:space="0" w:color="auto"/>
            </w:tcBorders>
            <w:vAlign w:val="center"/>
          </w:tcPr>
          <w:p w14:paraId="3B1E24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2,341,021.98</w:t>
            </w:r>
          </w:p>
        </w:tc>
      </w:tr>
      <w:tr w:rsidR="00E32FE0" w:rsidRPr="005B5EC1" w14:paraId="64B3C9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43B38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174B17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428,734,055.32</w:t>
            </w:r>
          </w:p>
        </w:tc>
        <w:tc>
          <w:tcPr>
            <w:tcW w:w="3213" w:type="dxa"/>
            <w:tcBorders>
              <w:top w:val="single" w:sz="2" w:space="0" w:color="auto"/>
              <w:left w:val="single" w:sz="2" w:space="0" w:color="auto"/>
              <w:bottom w:val="single" w:sz="2" w:space="0" w:color="auto"/>
              <w:right w:val="single" w:sz="2" w:space="0" w:color="auto"/>
            </w:tcBorders>
            <w:vAlign w:val="center"/>
          </w:tcPr>
          <w:p w14:paraId="36E4058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444,427,112.07</w:t>
            </w:r>
          </w:p>
        </w:tc>
      </w:tr>
      <w:tr w:rsidR="00E32FE0" w:rsidRPr="005B5EC1" w14:paraId="0D0359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330C7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217241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35261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BAB2C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8514F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108150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30,698,150.97</w:t>
            </w:r>
          </w:p>
        </w:tc>
        <w:tc>
          <w:tcPr>
            <w:tcW w:w="3213" w:type="dxa"/>
            <w:tcBorders>
              <w:top w:val="single" w:sz="2" w:space="0" w:color="auto"/>
              <w:left w:val="single" w:sz="2" w:space="0" w:color="auto"/>
              <w:bottom w:val="single" w:sz="2" w:space="0" w:color="auto"/>
              <w:right w:val="single" w:sz="2" w:space="0" w:color="auto"/>
            </w:tcBorders>
            <w:vAlign w:val="center"/>
          </w:tcPr>
          <w:p w14:paraId="4BE999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81,395,478.79</w:t>
            </w:r>
          </w:p>
        </w:tc>
      </w:tr>
      <w:tr w:rsidR="00E32FE0" w:rsidRPr="005B5EC1" w14:paraId="06063F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CBFC8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3CA339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D582C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FC088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C45763"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5F593E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DC027B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759ED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43407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370C2A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BD0AF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4BF2B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EEF24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5CD1AC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96,538,090.22</w:t>
            </w:r>
          </w:p>
        </w:tc>
        <w:tc>
          <w:tcPr>
            <w:tcW w:w="3213" w:type="dxa"/>
            <w:tcBorders>
              <w:top w:val="single" w:sz="2" w:space="0" w:color="auto"/>
              <w:left w:val="single" w:sz="2" w:space="0" w:color="auto"/>
              <w:bottom w:val="single" w:sz="2" w:space="0" w:color="auto"/>
              <w:right w:val="single" w:sz="2" w:space="0" w:color="auto"/>
            </w:tcBorders>
            <w:vAlign w:val="center"/>
          </w:tcPr>
          <w:p w14:paraId="72C1ED7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44,828,566.76</w:t>
            </w:r>
          </w:p>
        </w:tc>
      </w:tr>
      <w:tr w:rsidR="00E32FE0" w:rsidRPr="005B5EC1" w14:paraId="4B3DB4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EADB0B"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40E1EF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B14F5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E555A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42113B" w14:textId="77777777" w:rsidR="00E32FE0" w:rsidRPr="005B5EC1" w:rsidRDefault="00000000">
            <w:pPr>
              <w:spacing w:before="40" w:after="4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169BB48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69DD2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A22F0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86C20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BCE576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FB70C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A79FF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82152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6E73786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994,358,007.81</w:t>
            </w:r>
          </w:p>
        </w:tc>
        <w:tc>
          <w:tcPr>
            <w:tcW w:w="3213" w:type="dxa"/>
            <w:tcBorders>
              <w:top w:val="single" w:sz="2" w:space="0" w:color="auto"/>
              <w:left w:val="single" w:sz="2" w:space="0" w:color="auto"/>
              <w:bottom w:val="single" w:sz="2" w:space="0" w:color="auto"/>
              <w:right w:val="single" w:sz="2" w:space="0" w:color="auto"/>
            </w:tcBorders>
            <w:vAlign w:val="center"/>
          </w:tcPr>
          <w:p w14:paraId="5EDFCA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991,835,506.20</w:t>
            </w:r>
          </w:p>
        </w:tc>
      </w:tr>
      <w:tr w:rsidR="00E32FE0" w:rsidRPr="005B5EC1" w14:paraId="5F25CF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49046A"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1D3B2E1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645BE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A2288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844F4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16E1704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9DB48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CCB05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E4864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6EFF9C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2FEE0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8F644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9D834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CC29E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4D2E4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63D36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B5484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7A206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18,272.00</w:t>
            </w:r>
          </w:p>
        </w:tc>
        <w:tc>
          <w:tcPr>
            <w:tcW w:w="3213" w:type="dxa"/>
            <w:tcBorders>
              <w:top w:val="single" w:sz="2" w:space="0" w:color="auto"/>
              <w:left w:val="single" w:sz="2" w:space="0" w:color="auto"/>
              <w:bottom w:val="single" w:sz="2" w:space="0" w:color="auto"/>
              <w:right w:val="single" w:sz="2" w:space="0" w:color="auto"/>
            </w:tcBorders>
            <w:vAlign w:val="center"/>
          </w:tcPr>
          <w:p w14:paraId="2DD2AC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218,758.72</w:t>
            </w:r>
          </w:p>
        </w:tc>
      </w:tr>
      <w:tr w:rsidR="00E32FE0" w:rsidRPr="005B5EC1" w14:paraId="40A12D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69651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675931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2,526,523,266.25</w:t>
            </w:r>
          </w:p>
        </w:tc>
        <w:tc>
          <w:tcPr>
            <w:tcW w:w="3213" w:type="dxa"/>
            <w:tcBorders>
              <w:top w:val="single" w:sz="2" w:space="0" w:color="auto"/>
              <w:left w:val="single" w:sz="2" w:space="0" w:color="auto"/>
              <w:bottom w:val="single" w:sz="2" w:space="0" w:color="auto"/>
              <w:right w:val="single" w:sz="2" w:space="0" w:color="auto"/>
            </w:tcBorders>
            <w:vAlign w:val="center"/>
          </w:tcPr>
          <w:p w14:paraId="63BF65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2,957,618,541.03</w:t>
            </w:r>
          </w:p>
        </w:tc>
      </w:tr>
      <w:tr w:rsidR="00E32FE0" w:rsidRPr="005B5EC1" w14:paraId="73A8B6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6048D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D7214B"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251523" w14:textId="77777777" w:rsidR="00E32FE0" w:rsidRPr="005B5EC1" w:rsidRDefault="00E32FE0">
            <w:pPr>
              <w:rPr>
                <w:rFonts w:ascii="Times New Roman" w:hAnsi="Times New Roman" w:cs="Times New Roman"/>
              </w:rPr>
            </w:pPr>
          </w:p>
        </w:tc>
      </w:tr>
      <w:tr w:rsidR="00E32FE0" w:rsidRPr="005B5EC1" w14:paraId="266A78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7BD2E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6B572F7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C443D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27025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94FCF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37BA041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3B0D0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7FF063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4A5DA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46F6D7A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BB3C2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E4185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9D9330"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51248F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994D9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7BADF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9A013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292E76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93308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FBD74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118E1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67856E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F9D71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8FB0A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3AC32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35E2F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F45848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3A6B3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DF5A60"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009AEF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F2B21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FE3F9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4CEBE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3B0215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2,369,509,841.69</w:t>
            </w:r>
          </w:p>
        </w:tc>
        <w:tc>
          <w:tcPr>
            <w:tcW w:w="3213" w:type="dxa"/>
            <w:tcBorders>
              <w:top w:val="single" w:sz="2" w:space="0" w:color="auto"/>
              <w:left w:val="single" w:sz="2" w:space="0" w:color="auto"/>
              <w:bottom w:val="single" w:sz="2" w:space="0" w:color="auto"/>
              <w:right w:val="single" w:sz="2" w:space="0" w:color="auto"/>
            </w:tcBorders>
            <w:vAlign w:val="center"/>
          </w:tcPr>
          <w:p w14:paraId="59F4D0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1,692,939,156.89</w:t>
            </w:r>
          </w:p>
        </w:tc>
      </w:tr>
      <w:tr w:rsidR="00E32FE0" w:rsidRPr="005B5EC1" w14:paraId="0A02D2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EBC1A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7A70A6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254,397,411.06</w:t>
            </w:r>
          </w:p>
        </w:tc>
        <w:tc>
          <w:tcPr>
            <w:tcW w:w="3213" w:type="dxa"/>
            <w:tcBorders>
              <w:top w:val="single" w:sz="2" w:space="0" w:color="auto"/>
              <w:left w:val="single" w:sz="2" w:space="0" w:color="auto"/>
              <w:bottom w:val="single" w:sz="2" w:space="0" w:color="auto"/>
              <w:right w:val="single" w:sz="2" w:space="0" w:color="auto"/>
            </w:tcBorders>
            <w:vAlign w:val="center"/>
          </w:tcPr>
          <w:p w14:paraId="4EC22B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919,386,014.19</w:t>
            </w:r>
          </w:p>
        </w:tc>
      </w:tr>
      <w:tr w:rsidR="00E32FE0" w:rsidRPr="005B5EC1" w14:paraId="73614E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94AC4D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346D4E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33,952,790.27</w:t>
            </w:r>
          </w:p>
        </w:tc>
        <w:tc>
          <w:tcPr>
            <w:tcW w:w="3213" w:type="dxa"/>
            <w:tcBorders>
              <w:top w:val="single" w:sz="2" w:space="0" w:color="auto"/>
              <w:left w:val="single" w:sz="2" w:space="0" w:color="auto"/>
              <w:bottom w:val="single" w:sz="2" w:space="0" w:color="auto"/>
              <w:right w:val="single" w:sz="2" w:space="0" w:color="auto"/>
            </w:tcBorders>
            <w:vAlign w:val="center"/>
          </w:tcPr>
          <w:p w14:paraId="606A91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4,962,137.64</w:t>
            </w:r>
          </w:p>
        </w:tc>
      </w:tr>
      <w:tr w:rsidR="00E32FE0" w:rsidRPr="005B5EC1" w14:paraId="610FB2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1D2BC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3525DAF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4F30C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E346A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40327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63DCE8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55,036,360.58</w:t>
            </w:r>
          </w:p>
        </w:tc>
        <w:tc>
          <w:tcPr>
            <w:tcW w:w="3213" w:type="dxa"/>
            <w:tcBorders>
              <w:top w:val="single" w:sz="2" w:space="0" w:color="auto"/>
              <w:left w:val="single" w:sz="2" w:space="0" w:color="auto"/>
              <w:bottom w:val="single" w:sz="2" w:space="0" w:color="auto"/>
              <w:right w:val="single" w:sz="2" w:space="0" w:color="auto"/>
            </w:tcBorders>
            <w:vAlign w:val="center"/>
          </w:tcPr>
          <w:p w14:paraId="2CC21F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56,681,295.48</w:t>
            </w:r>
          </w:p>
        </w:tc>
      </w:tr>
      <w:tr w:rsidR="00E32FE0" w:rsidRPr="005B5EC1" w14:paraId="1E67BA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D481B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1280DD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125,512,326.80</w:t>
            </w:r>
          </w:p>
        </w:tc>
        <w:tc>
          <w:tcPr>
            <w:tcW w:w="3213" w:type="dxa"/>
            <w:tcBorders>
              <w:top w:val="single" w:sz="2" w:space="0" w:color="auto"/>
              <w:left w:val="single" w:sz="2" w:space="0" w:color="auto"/>
              <w:bottom w:val="single" w:sz="2" w:space="0" w:color="auto"/>
              <w:right w:val="single" w:sz="2" w:space="0" w:color="auto"/>
            </w:tcBorders>
            <w:vAlign w:val="center"/>
          </w:tcPr>
          <w:p w14:paraId="74C0AA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134,574,351.14</w:t>
            </w:r>
          </w:p>
        </w:tc>
      </w:tr>
      <w:tr w:rsidR="00E32FE0" w:rsidRPr="005B5EC1" w14:paraId="02DDEB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594F94"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594EA5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3D61C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8A6BE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AE307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3385FB0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FC3C6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A29E2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F631DB"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42E370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5280F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7F2F9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F5CF49"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381E19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26,871,974.18</w:t>
            </w:r>
          </w:p>
        </w:tc>
        <w:tc>
          <w:tcPr>
            <w:tcW w:w="3213" w:type="dxa"/>
            <w:tcBorders>
              <w:top w:val="single" w:sz="2" w:space="0" w:color="auto"/>
              <w:left w:val="single" w:sz="2" w:space="0" w:color="auto"/>
              <w:bottom w:val="single" w:sz="2" w:space="0" w:color="auto"/>
              <w:right w:val="single" w:sz="2" w:space="0" w:color="auto"/>
            </w:tcBorders>
            <w:vAlign w:val="center"/>
          </w:tcPr>
          <w:p w14:paraId="75C093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26,871,974.18</w:t>
            </w:r>
          </w:p>
        </w:tc>
      </w:tr>
      <w:tr w:rsidR="00E32FE0" w:rsidRPr="005B5EC1" w14:paraId="7C64EC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4AA41F"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2D871F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5,666,165.25</w:t>
            </w:r>
          </w:p>
        </w:tc>
        <w:tc>
          <w:tcPr>
            <w:tcW w:w="3213" w:type="dxa"/>
            <w:tcBorders>
              <w:top w:val="single" w:sz="2" w:space="0" w:color="auto"/>
              <w:left w:val="single" w:sz="2" w:space="0" w:color="auto"/>
              <w:bottom w:val="single" w:sz="2" w:space="0" w:color="auto"/>
              <w:right w:val="single" w:sz="2" w:space="0" w:color="auto"/>
            </w:tcBorders>
            <w:vAlign w:val="center"/>
          </w:tcPr>
          <w:p w14:paraId="33C089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7,613,709.65</w:t>
            </w:r>
          </w:p>
        </w:tc>
      </w:tr>
      <w:tr w:rsidR="00E32FE0" w:rsidRPr="005B5EC1" w14:paraId="6F031E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DD0B8D"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2910F7F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12,724,135.86</w:t>
            </w:r>
          </w:p>
        </w:tc>
        <w:tc>
          <w:tcPr>
            <w:tcW w:w="3213" w:type="dxa"/>
            <w:tcBorders>
              <w:top w:val="single" w:sz="2" w:space="0" w:color="auto"/>
              <w:left w:val="single" w:sz="2" w:space="0" w:color="auto"/>
              <w:bottom w:val="single" w:sz="2" w:space="0" w:color="auto"/>
              <w:right w:val="single" w:sz="2" w:space="0" w:color="auto"/>
            </w:tcBorders>
            <w:vAlign w:val="center"/>
          </w:tcPr>
          <w:p w14:paraId="0B058D1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9,445,753.58</w:t>
            </w:r>
          </w:p>
        </w:tc>
      </w:tr>
      <w:tr w:rsidR="00E32FE0" w:rsidRPr="005B5EC1" w14:paraId="2DB36F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B5D83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0C3557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469,252,786.20</w:t>
            </w:r>
          </w:p>
        </w:tc>
        <w:tc>
          <w:tcPr>
            <w:tcW w:w="3213" w:type="dxa"/>
            <w:tcBorders>
              <w:top w:val="single" w:sz="2" w:space="0" w:color="auto"/>
              <w:left w:val="single" w:sz="2" w:space="0" w:color="auto"/>
              <w:bottom w:val="single" w:sz="2" w:space="0" w:color="auto"/>
              <w:right w:val="single" w:sz="2" w:space="0" w:color="auto"/>
            </w:tcBorders>
            <w:vAlign w:val="center"/>
          </w:tcPr>
          <w:p w14:paraId="7567E4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507,445,474.68</w:t>
            </w:r>
          </w:p>
        </w:tc>
      </w:tr>
      <w:tr w:rsidR="00E32FE0" w:rsidRPr="005B5EC1" w14:paraId="75259F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C8B6F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4A1F46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3,352,923,791.89</w:t>
            </w:r>
          </w:p>
        </w:tc>
        <w:tc>
          <w:tcPr>
            <w:tcW w:w="3213" w:type="dxa"/>
            <w:tcBorders>
              <w:top w:val="single" w:sz="2" w:space="0" w:color="auto"/>
              <w:left w:val="single" w:sz="2" w:space="0" w:color="auto"/>
              <w:bottom w:val="single" w:sz="2" w:space="0" w:color="auto"/>
              <w:right w:val="single" w:sz="2" w:space="0" w:color="auto"/>
            </w:tcBorders>
            <w:vAlign w:val="center"/>
          </w:tcPr>
          <w:p w14:paraId="2CCDFB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3,359,919,867.43</w:t>
            </w:r>
          </w:p>
        </w:tc>
      </w:tr>
      <w:tr w:rsidR="00E32FE0" w:rsidRPr="005B5EC1" w14:paraId="6D12ED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621A2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3191FF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5,879,447,058.14</w:t>
            </w:r>
          </w:p>
        </w:tc>
        <w:tc>
          <w:tcPr>
            <w:tcW w:w="3213" w:type="dxa"/>
            <w:tcBorders>
              <w:top w:val="single" w:sz="2" w:space="0" w:color="auto"/>
              <w:left w:val="single" w:sz="2" w:space="0" w:color="auto"/>
              <w:bottom w:val="single" w:sz="2" w:space="0" w:color="auto"/>
              <w:right w:val="single" w:sz="2" w:space="0" w:color="auto"/>
            </w:tcBorders>
            <w:vAlign w:val="center"/>
          </w:tcPr>
          <w:p w14:paraId="4912B0B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6,317,538,408.46</w:t>
            </w:r>
          </w:p>
        </w:tc>
      </w:tr>
      <w:tr w:rsidR="00E32FE0" w:rsidRPr="005B5EC1" w14:paraId="2CDF35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207DE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8B02A1"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F089B2" w14:textId="77777777" w:rsidR="00E32FE0" w:rsidRPr="005B5EC1" w:rsidRDefault="00E32FE0">
            <w:pPr>
              <w:rPr>
                <w:rFonts w:ascii="Times New Roman" w:hAnsi="Times New Roman" w:cs="Times New Roman"/>
              </w:rPr>
            </w:pPr>
          </w:p>
        </w:tc>
      </w:tr>
      <w:tr w:rsidR="00E32FE0" w:rsidRPr="005B5EC1" w14:paraId="606DE1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1ECB0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5A601D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1,629,824,663.47</w:t>
            </w:r>
          </w:p>
        </w:tc>
        <w:tc>
          <w:tcPr>
            <w:tcW w:w="3213" w:type="dxa"/>
            <w:tcBorders>
              <w:top w:val="single" w:sz="2" w:space="0" w:color="auto"/>
              <w:left w:val="single" w:sz="2" w:space="0" w:color="auto"/>
              <w:bottom w:val="single" w:sz="2" w:space="0" w:color="auto"/>
              <w:right w:val="single" w:sz="2" w:space="0" w:color="auto"/>
            </w:tcBorders>
            <w:vAlign w:val="center"/>
          </w:tcPr>
          <w:p w14:paraId="3466A25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1,854,767,478.71</w:t>
            </w:r>
          </w:p>
        </w:tc>
      </w:tr>
      <w:tr w:rsidR="00E32FE0" w:rsidRPr="005B5EC1" w14:paraId="53CDA7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5DCC8F"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137D8B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4C4A5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AF77A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8E92B0"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5F9E32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F7795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5F673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2F66D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4C8901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0C4D1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FDF4E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B1314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2ABD2D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96524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BDC86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D177C0"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22EC091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294,476,050.02</w:t>
            </w:r>
          </w:p>
        </w:tc>
        <w:tc>
          <w:tcPr>
            <w:tcW w:w="3213" w:type="dxa"/>
            <w:tcBorders>
              <w:top w:val="single" w:sz="2" w:space="0" w:color="auto"/>
              <w:left w:val="single" w:sz="2" w:space="0" w:color="auto"/>
              <w:bottom w:val="single" w:sz="2" w:space="0" w:color="auto"/>
              <w:right w:val="single" w:sz="2" w:space="0" w:color="auto"/>
            </w:tcBorders>
            <w:vAlign w:val="center"/>
          </w:tcPr>
          <w:p w14:paraId="5426B4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420,625,801.99</w:t>
            </w:r>
          </w:p>
        </w:tc>
      </w:tr>
      <w:tr w:rsidR="00E32FE0" w:rsidRPr="005B5EC1" w14:paraId="1A859A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220679"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625EF5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501,178,679.71</w:t>
            </w:r>
          </w:p>
        </w:tc>
        <w:tc>
          <w:tcPr>
            <w:tcW w:w="3213" w:type="dxa"/>
            <w:tcBorders>
              <w:top w:val="single" w:sz="2" w:space="0" w:color="auto"/>
              <w:left w:val="single" w:sz="2" w:space="0" w:color="auto"/>
              <w:bottom w:val="single" w:sz="2" w:space="0" w:color="auto"/>
              <w:right w:val="single" w:sz="2" w:space="0" w:color="auto"/>
            </w:tcBorders>
            <w:vAlign w:val="center"/>
          </w:tcPr>
          <w:p w14:paraId="6FF1639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421,839,401.99</w:t>
            </w:r>
          </w:p>
        </w:tc>
      </w:tr>
      <w:tr w:rsidR="00E32FE0" w:rsidRPr="005B5EC1" w14:paraId="607540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907E5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4C4ACD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AA686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BB9AE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49367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4CBC4A8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119,376,031.80</w:t>
            </w:r>
          </w:p>
        </w:tc>
        <w:tc>
          <w:tcPr>
            <w:tcW w:w="3213" w:type="dxa"/>
            <w:tcBorders>
              <w:top w:val="single" w:sz="2" w:space="0" w:color="auto"/>
              <w:left w:val="single" w:sz="2" w:space="0" w:color="auto"/>
              <w:bottom w:val="single" w:sz="2" w:space="0" w:color="auto"/>
              <w:right w:val="single" w:sz="2" w:space="0" w:color="auto"/>
            </w:tcBorders>
            <w:vAlign w:val="center"/>
          </w:tcPr>
          <w:p w14:paraId="6E84E7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134,486,391.06</w:t>
            </w:r>
          </w:p>
        </w:tc>
      </w:tr>
      <w:tr w:rsidR="00E32FE0" w:rsidRPr="005B5EC1" w14:paraId="2893E3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59AAE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13FE89C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F88F0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2EFF1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884F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2C6102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9D05B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42373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033233"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37A977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5AC42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F79C4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24B14F"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7DB2F0B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C9DEE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0C467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874C7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2A8E60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33,591,745.87</w:t>
            </w:r>
          </w:p>
        </w:tc>
        <w:tc>
          <w:tcPr>
            <w:tcW w:w="3213" w:type="dxa"/>
            <w:tcBorders>
              <w:top w:val="single" w:sz="2" w:space="0" w:color="auto"/>
              <w:left w:val="single" w:sz="2" w:space="0" w:color="auto"/>
              <w:bottom w:val="single" w:sz="2" w:space="0" w:color="auto"/>
              <w:right w:val="single" w:sz="2" w:space="0" w:color="auto"/>
            </w:tcBorders>
            <w:vAlign w:val="center"/>
          </w:tcPr>
          <w:p w14:paraId="330BA4F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43,272,558.33</w:t>
            </w:r>
          </w:p>
        </w:tc>
      </w:tr>
      <w:tr w:rsidR="00E32FE0" w:rsidRPr="005B5EC1" w14:paraId="6AB7B8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CA50C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1189E8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10,688,829.53</w:t>
            </w:r>
          </w:p>
        </w:tc>
        <w:tc>
          <w:tcPr>
            <w:tcW w:w="3213" w:type="dxa"/>
            <w:tcBorders>
              <w:top w:val="single" w:sz="2" w:space="0" w:color="auto"/>
              <w:left w:val="single" w:sz="2" w:space="0" w:color="auto"/>
              <w:bottom w:val="single" w:sz="2" w:space="0" w:color="auto"/>
              <w:right w:val="single" w:sz="2" w:space="0" w:color="auto"/>
            </w:tcBorders>
            <w:vAlign w:val="center"/>
          </w:tcPr>
          <w:p w14:paraId="72BA28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12,947,723.59</w:t>
            </w:r>
          </w:p>
        </w:tc>
      </w:tr>
      <w:tr w:rsidR="00E32FE0" w:rsidRPr="005B5EC1" w14:paraId="269134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21D19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1D728A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180,775,039.13</w:t>
            </w:r>
          </w:p>
        </w:tc>
        <w:tc>
          <w:tcPr>
            <w:tcW w:w="3213" w:type="dxa"/>
            <w:tcBorders>
              <w:top w:val="single" w:sz="2" w:space="0" w:color="auto"/>
              <w:left w:val="single" w:sz="2" w:space="0" w:color="auto"/>
              <w:bottom w:val="single" w:sz="2" w:space="0" w:color="auto"/>
              <w:right w:val="single" w:sz="2" w:space="0" w:color="auto"/>
            </w:tcBorders>
            <w:vAlign w:val="center"/>
          </w:tcPr>
          <w:p w14:paraId="4E4ACC6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264,150,919.18</w:t>
            </w:r>
          </w:p>
        </w:tc>
      </w:tr>
      <w:tr w:rsidR="00E32FE0" w:rsidRPr="005B5EC1" w14:paraId="2AE751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89E195"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639FD3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8DC5B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8268A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29C3CB" w14:textId="77777777" w:rsidR="00E32FE0" w:rsidRPr="005B5EC1" w:rsidRDefault="00000000">
            <w:pPr>
              <w:spacing w:before="40" w:after="4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6848F6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17DA8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DD2ED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A5428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53F56AF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1460D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FAE772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EB0440"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060EF8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51942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4F3BE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1E408D"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7A9F47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7B518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7CE65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E8A3C3"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8DF408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107,274,194.64</w:t>
            </w:r>
          </w:p>
        </w:tc>
        <w:tc>
          <w:tcPr>
            <w:tcW w:w="3213" w:type="dxa"/>
            <w:tcBorders>
              <w:top w:val="single" w:sz="2" w:space="0" w:color="auto"/>
              <w:left w:val="single" w:sz="2" w:space="0" w:color="auto"/>
              <w:bottom w:val="single" w:sz="2" w:space="0" w:color="auto"/>
              <w:right w:val="single" w:sz="2" w:space="0" w:color="auto"/>
            </w:tcBorders>
            <w:vAlign w:val="center"/>
          </w:tcPr>
          <w:p w14:paraId="57BBB9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179,429,646.55</w:t>
            </w:r>
          </w:p>
        </w:tc>
      </w:tr>
      <w:tr w:rsidR="00E32FE0" w:rsidRPr="005B5EC1" w14:paraId="1D0107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256343"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95DD4B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10,498,216.67</w:t>
            </w:r>
          </w:p>
        </w:tc>
        <w:tc>
          <w:tcPr>
            <w:tcW w:w="3213" w:type="dxa"/>
            <w:tcBorders>
              <w:top w:val="single" w:sz="2" w:space="0" w:color="auto"/>
              <w:left w:val="single" w:sz="2" w:space="0" w:color="auto"/>
              <w:bottom w:val="single" w:sz="2" w:space="0" w:color="auto"/>
              <w:right w:val="single" w:sz="2" w:space="0" w:color="auto"/>
            </w:tcBorders>
            <w:vAlign w:val="center"/>
          </w:tcPr>
          <w:p w14:paraId="2FB710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11,571,937.30</w:t>
            </w:r>
          </w:p>
        </w:tc>
      </w:tr>
      <w:tr w:rsidR="00E32FE0" w:rsidRPr="005B5EC1" w14:paraId="460042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85820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BDB67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2,887,683,450.84</w:t>
            </w:r>
          </w:p>
        </w:tc>
        <w:tc>
          <w:tcPr>
            <w:tcW w:w="3213" w:type="dxa"/>
            <w:tcBorders>
              <w:top w:val="single" w:sz="2" w:space="0" w:color="auto"/>
              <w:left w:val="single" w:sz="2" w:space="0" w:color="auto"/>
              <w:bottom w:val="single" w:sz="2" w:space="0" w:color="auto"/>
              <w:right w:val="single" w:sz="2" w:space="0" w:color="auto"/>
            </w:tcBorders>
            <w:vAlign w:val="center"/>
          </w:tcPr>
          <w:p w14:paraId="0B1F2CA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3,343,091,858.70</w:t>
            </w:r>
          </w:p>
        </w:tc>
      </w:tr>
      <w:tr w:rsidR="00E32FE0" w:rsidRPr="005B5EC1" w14:paraId="653EF4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0242C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C939BD"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B8F941" w14:textId="77777777" w:rsidR="00E32FE0" w:rsidRPr="005B5EC1" w:rsidRDefault="00E32FE0">
            <w:pPr>
              <w:rPr>
                <w:rFonts w:ascii="Times New Roman" w:hAnsi="Times New Roman" w:cs="Times New Roman"/>
              </w:rPr>
            </w:pPr>
          </w:p>
        </w:tc>
      </w:tr>
      <w:tr w:rsidR="00E32FE0" w:rsidRPr="005B5EC1" w14:paraId="6BBF91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2A39B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5DF4F36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29982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48176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4AFEB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6B1A4D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272,316,541.91</w:t>
            </w:r>
          </w:p>
        </w:tc>
        <w:tc>
          <w:tcPr>
            <w:tcW w:w="3213" w:type="dxa"/>
            <w:tcBorders>
              <w:top w:val="single" w:sz="2" w:space="0" w:color="auto"/>
              <w:left w:val="single" w:sz="2" w:space="0" w:color="auto"/>
              <w:bottom w:val="single" w:sz="2" w:space="0" w:color="auto"/>
              <w:right w:val="single" w:sz="2" w:space="0" w:color="auto"/>
            </w:tcBorders>
            <w:vAlign w:val="center"/>
          </w:tcPr>
          <w:p w14:paraId="6B22E3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326,202,925.48</w:t>
            </w:r>
          </w:p>
        </w:tc>
      </w:tr>
      <w:tr w:rsidR="00E32FE0" w:rsidRPr="005B5EC1" w14:paraId="12D1DA1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B7DF8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5A063E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934,309,640.97</w:t>
            </w:r>
          </w:p>
        </w:tc>
        <w:tc>
          <w:tcPr>
            <w:tcW w:w="3213" w:type="dxa"/>
            <w:tcBorders>
              <w:top w:val="single" w:sz="2" w:space="0" w:color="auto"/>
              <w:left w:val="single" w:sz="2" w:space="0" w:color="auto"/>
              <w:bottom w:val="single" w:sz="2" w:space="0" w:color="auto"/>
              <w:right w:val="single" w:sz="2" w:space="0" w:color="auto"/>
            </w:tcBorders>
            <w:vAlign w:val="center"/>
          </w:tcPr>
          <w:p w14:paraId="3CA4A1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899,039,265.74</w:t>
            </w:r>
          </w:p>
        </w:tc>
      </w:tr>
      <w:tr w:rsidR="00E32FE0" w:rsidRPr="005B5EC1" w14:paraId="64837D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A7A79A"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15D5883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D7E54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55561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8002B7" w14:textId="77777777" w:rsidR="00E32FE0" w:rsidRPr="005B5EC1" w:rsidRDefault="00000000">
            <w:pPr>
              <w:spacing w:before="40" w:after="4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0F4FD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A440C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8E5D8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93805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50AFDD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48,114,380.73</w:t>
            </w:r>
          </w:p>
        </w:tc>
        <w:tc>
          <w:tcPr>
            <w:tcW w:w="3213" w:type="dxa"/>
            <w:tcBorders>
              <w:top w:val="single" w:sz="2" w:space="0" w:color="auto"/>
              <w:left w:val="single" w:sz="2" w:space="0" w:color="auto"/>
              <w:bottom w:val="single" w:sz="2" w:space="0" w:color="auto"/>
              <w:right w:val="single" w:sz="2" w:space="0" w:color="auto"/>
            </w:tcBorders>
            <w:vAlign w:val="center"/>
          </w:tcPr>
          <w:p w14:paraId="05DA0B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45,196,076.45</w:t>
            </w:r>
          </w:p>
        </w:tc>
      </w:tr>
      <w:tr w:rsidR="00E32FE0" w:rsidRPr="005B5EC1" w14:paraId="34435A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C087B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292456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26,518,125.50</w:t>
            </w:r>
          </w:p>
        </w:tc>
        <w:tc>
          <w:tcPr>
            <w:tcW w:w="3213" w:type="dxa"/>
            <w:tcBorders>
              <w:top w:val="single" w:sz="2" w:space="0" w:color="auto"/>
              <w:left w:val="single" w:sz="2" w:space="0" w:color="auto"/>
              <w:bottom w:val="single" w:sz="2" w:space="0" w:color="auto"/>
              <w:right w:val="single" w:sz="2" w:space="0" w:color="auto"/>
            </w:tcBorders>
            <w:vAlign w:val="center"/>
          </w:tcPr>
          <w:p w14:paraId="722944D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5,370,867.01</w:t>
            </w:r>
          </w:p>
        </w:tc>
      </w:tr>
      <w:tr w:rsidR="00E32FE0" w:rsidRPr="005B5EC1" w14:paraId="644C04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F1E65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591E55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BB1851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312E2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61C62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68FAB1A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7E79C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69F5C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7E56A3"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67CE9D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47,454,260.66</w:t>
            </w:r>
          </w:p>
        </w:tc>
        <w:tc>
          <w:tcPr>
            <w:tcW w:w="3213" w:type="dxa"/>
            <w:tcBorders>
              <w:top w:val="single" w:sz="2" w:space="0" w:color="auto"/>
              <w:left w:val="single" w:sz="2" w:space="0" w:color="auto"/>
              <w:bottom w:val="single" w:sz="2" w:space="0" w:color="auto"/>
              <w:right w:val="single" w:sz="2" w:space="0" w:color="auto"/>
            </w:tcBorders>
            <w:vAlign w:val="center"/>
          </w:tcPr>
          <w:p w14:paraId="7C7F319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39,612,043.24</w:t>
            </w:r>
          </w:p>
        </w:tc>
      </w:tr>
      <w:tr w:rsidR="00E32FE0" w:rsidRPr="005B5EC1" w14:paraId="3245FF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BA0B1D"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6E490A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1,779,739.47</w:t>
            </w:r>
          </w:p>
        </w:tc>
        <w:tc>
          <w:tcPr>
            <w:tcW w:w="3213" w:type="dxa"/>
            <w:tcBorders>
              <w:top w:val="single" w:sz="2" w:space="0" w:color="auto"/>
              <w:left w:val="single" w:sz="2" w:space="0" w:color="auto"/>
              <w:bottom w:val="single" w:sz="2" w:space="0" w:color="auto"/>
              <w:right w:val="single" w:sz="2" w:space="0" w:color="auto"/>
            </w:tcBorders>
            <w:vAlign w:val="center"/>
          </w:tcPr>
          <w:p w14:paraId="033563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2,064,556.40</w:t>
            </w:r>
          </w:p>
        </w:tc>
      </w:tr>
      <w:tr w:rsidR="00E32FE0" w:rsidRPr="005B5EC1" w14:paraId="30739F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645A5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EEA2A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873E06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7E0A4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AEC5E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71EA59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1,330,492,689.24</w:t>
            </w:r>
          </w:p>
        </w:tc>
        <w:tc>
          <w:tcPr>
            <w:tcW w:w="3213" w:type="dxa"/>
            <w:tcBorders>
              <w:top w:val="single" w:sz="2" w:space="0" w:color="auto"/>
              <w:left w:val="single" w:sz="2" w:space="0" w:color="auto"/>
              <w:bottom w:val="single" w:sz="2" w:space="0" w:color="auto"/>
              <w:right w:val="single" w:sz="2" w:space="0" w:color="auto"/>
            </w:tcBorders>
            <w:vAlign w:val="center"/>
          </w:tcPr>
          <w:p w14:paraId="468999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1,317,485,734.32</w:t>
            </w:r>
          </w:p>
        </w:tc>
      </w:tr>
      <w:tr w:rsidR="00E32FE0" w:rsidRPr="005B5EC1" w14:paraId="423712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0DEE3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617835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4,218,176,140.08</w:t>
            </w:r>
          </w:p>
        </w:tc>
        <w:tc>
          <w:tcPr>
            <w:tcW w:w="3213" w:type="dxa"/>
            <w:tcBorders>
              <w:top w:val="single" w:sz="2" w:space="0" w:color="auto"/>
              <w:left w:val="single" w:sz="2" w:space="0" w:color="auto"/>
              <w:bottom w:val="single" w:sz="2" w:space="0" w:color="auto"/>
              <w:right w:val="single" w:sz="2" w:space="0" w:color="auto"/>
            </w:tcBorders>
            <w:vAlign w:val="center"/>
          </w:tcPr>
          <w:p w14:paraId="5B9A1C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4,660,577,593.02</w:t>
            </w:r>
          </w:p>
        </w:tc>
      </w:tr>
      <w:tr w:rsidR="00E32FE0" w:rsidRPr="005B5EC1" w14:paraId="325B0D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BD8A8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77D074"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84DE91" w14:textId="77777777" w:rsidR="00E32FE0" w:rsidRPr="005B5EC1" w:rsidRDefault="00E32FE0">
            <w:pPr>
              <w:rPr>
                <w:rFonts w:ascii="Times New Roman" w:hAnsi="Times New Roman" w:cs="Times New Roman"/>
              </w:rPr>
            </w:pPr>
          </w:p>
        </w:tc>
      </w:tr>
      <w:tr w:rsidR="00E32FE0" w:rsidRPr="005B5EC1" w14:paraId="6EC3F1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2C98D5"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4BF001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1,079,160,261.00</w:t>
            </w:r>
          </w:p>
        </w:tc>
        <w:tc>
          <w:tcPr>
            <w:tcW w:w="3213" w:type="dxa"/>
            <w:tcBorders>
              <w:top w:val="single" w:sz="2" w:space="0" w:color="auto"/>
              <w:left w:val="single" w:sz="2" w:space="0" w:color="auto"/>
              <w:bottom w:val="single" w:sz="2" w:space="0" w:color="auto"/>
              <w:right w:val="single" w:sz="2" w:space="0" w:color="auto"/>
            </w:tcBorders>
            <w:vAlign w:val="center"/>
          </w:tcPr>
          <w:p w14:paraId="518177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1,079,159,832.00</w:t>
            </w:r>
          </w:p>
        </w:tc>
      </w:tr>
      <w:tr w:rsidR="00E32FE0" w:rsidRPr="005B5EC1" w14:paraId="045355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080A0F"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4576E3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171,570,156.57</w:t>
            </w:r>
          </w:p>
        </w:tc>
        <w:tc>
          <w:tcPr>
            <w:tcW w:w="3213" w:type="dxa"/>
            <w:tcBorders>
              <w:top w:val="single" w:sz="2" w:space="0" w:color="auto"/>
              <w:left w:val="single" w:sz="2" w:space="0" w:color="auto"/>
              <w:bottom w:val="single" w:sz="2" w:space="0" w:color="auto"/>
              <w:right w:val="single" w:sz="2" w:space="0" w:color="auto"/>
            </w:tcBorders>
            <w:vAlign w:val="center"/>
          </w:tcPr>
          <w:p w14:paraId="7CEF53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r>
      <w:tr w:rsidR="00E32FE0" w:rsidRPr="005B5EC1" w14:paraId="4B6587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132968"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56282DE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750C4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4376B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0221E1" w14:textId="77777777" w:rsidR="00E32FE0" w:rsidRPr="005B5EC1" w:rsidRDefault="00000000">
            <w:pPr>
              <w:spacing w:after="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19DA6BB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63F19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67C96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33F635"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1D790F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824,642,732.28</w:t>
            </w:r>
          </w:p>
        </w:tc>
        <w:tc>
          <w:tcPr>
            <w:tcW w:w="3213" w:type="dxa"/>
            <w:tcBorders>
              <w:top w:val="single" w:sz="2" w:space="0" w:color="auto"/>
              <w:left w:val="single" w:sz="2" w:space="0" w:color="auto"/>
              <w:bottom w:val="single" w:sz="2" w:space="0" w:color="auto"/>
              <w:right w:val="single" w:sz="2" w:space="0" w:color="auto"/>
            </w:tcBorders>
            <w:vAlign w:val="center"/>
          </w:tcPr>
          <w:p w14:paraId="4841FC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824,957,421.64</w:t>
            </w:r>
          </w:p>
        </w:tc>
      </w:tr>
      <w:tr w:rsidR="00E32FE0" w:rsidRPr="005B5EC1" w14:paraId="274E55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B0C282"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5C22BE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3C01AC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r>
      <w:tr w:rsidR="00E32FE0" w:rsidRPr="005B5EC1" w14:paraId="39CA06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3FE323"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44F97A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31EBAF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r>
      <w:tr w:rsidR="00E32FE0" w:rsidRPr="005B5EC1" w14:paraId="2A1E88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69F9B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7A9D6E3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9A2F8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3424B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74736C"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3E7CF5D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5AEFF9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r>
      <w:tr w:rsidR="00E32FE0" w:rsidRPr="005B5EC1" w14:paraId="06325A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59740E"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3FC625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951AD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891B3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D44D5D"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6FA8BF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-493,681,729.40</w:t>
            </w:r>
          </w:p>
        </w:tc>
        <w:tc>
          <w:tcPr>
            <w:tcW w:w="3213" w:type="dxa"/>
            <w:tcBorders>
              <w:top w:val="single" w:sz="2" w:space="0" w:color="auto"/>
              <w:left w:val="single" w:sz="2" w:space="0" w:color="auto"/>
              <w:bottom w:val="single" w:sz="2" w:space="0" w:color="auto"/>
              <w:right w:val="single" w:sz="2" w:space="0" w:color="auto"/>
            </w:tcBorders>
            <w:vAlign w:val="center"/>
          </w:tcPr>
          <w:p w14:paraId="37C3AB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-515,299,374.16</w:t>
            </w:r>
          </w:p>
        </w:tc>
      </w:tr>
      <w:tr w:rsidR="00E32FE0" w:rsidRPr="005B5EC1" w14:paraId="28B49A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976FE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24ABD0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1,503,284,266.32</w:t>
            </w:r>
          </w:p>
        </w:tc>
        <w:tc>
          <w:tcPr>
            <w:tcW w:w="3213" w:type="dxa"/>
            <w:tcBorders>
              <w:top w:val="single" w:sz="2" w:space="0" w:color="auto"/>
              <w:left w:val="single" w:sz="2" w:space="0" w:color="auto"/>
              <w:bottom w:val="single" w:sz="2" w:space="0" w:color="auto"/>
              <w:right w:val="single" w:sz="2" w:space="0" w:color="auto"/>
            </w:tcBorders>
            <w:vAlign w:val="center"/>
          </w:tcPr>
          <w:p w14:paraId="6E64B6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1,481,981,607.33</w:t>
            </w:r>
          </w:p>
        </w:tc>
      </w:tr>
      <w:tr w:rsidR="00E32FE0" w:rsidRPr="005B5EC1" w14:paraId="4EA241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9BBBD2"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788131C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157,986,651.74</w:t>
            </w:r>
          </w:p>
        </w:tc>
        <w:tc>
          <w:tcPr>
            <w:tcW w:w="3213" w:type="dxa"/>
            <w:tcBorders>
              <w:top w:val="single" w:sz="2" w:space="0" w:color="auto"/>
              <w:left w:val="single" w:sz="2" w:space="0" w:color="auto"/>
              <w:bottom w:val="single" w:sz="2" w:space="0" w:color="auto"/>
              <w:right w:val="single" w:sz="2" w:space="0" w:color="auto"/>
            </w:tcBorders>
            <w:vAlign w:val="center"/>
          </w:tcPr>
          <w:p w14:paraId="0F5F1B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174,979,208.11</w:t>
            </w:r>
          </w:p>
        </w:tc>
      </w:tr>
      <w:tr w:rsidR="00E32FE0" w:rsidRPr="005B5EC1" w14:paraId="0E852C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AEEF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6F28B4E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1,661,270,918.06</w:t>
            </w:r>
          </w:p>
        </w:tc>
        <w:tc>
          <w:tcPr>
            <w:tcW w:w="3213" w:type="dxa"/>
            <w:tcBorders>
              <w:top w:val="single" w:sz="2" w:space="0" w:color="auto"/>
              <w:left w:val="single" w:sz="2" w:space="0" w:color="auto"/>
              <w:bottom w:val="single" w:sz="2" w:space="0" w:color="auto"/>
              <w:right w:val="single" w:sz="2" w:space="0" w:color="auto"/>
            </w:tcBorders>
            <w:vAlign w:val="center"/>
          </w:tcPr>
          <w:p w14:paraId="07B038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1,656,960,815.44</w:t>
            </w:r>
          </w:p>
        </w:tc>
      </w:tr>
      <w:tr w:rsidR="00E32FE0" w:rsidRPr="005B5EC1" w14:paraId="7E91A2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23D8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3EFF21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5,879,447,058.14</w:t>
            </w:r>
          </w:p>
        </w:tc>
        <w:tc>
          <w:tcPr>
            <w:tcW w:w="3213" w:type="dxa"/>
            <w:tcBorders>
              <w:top w:val="single" w:sz="2" w:space="0" w:color="auto"/>
              <w:left w:val="single" w:sz="2" w:space="0" w:color="auto"/>
              <w:bottom w:val="single" w:sz="2" w:space="0" w:color="auto"/>
              <w:right w:val="single" w:sz="2" w:space="0" w:color="auto"/>
            </w:tcBorders>
            <w:vAlign w:val="center"/>
          </w:tcPr>
          <w:p w14:paraId="5CB749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6,317,538,408.46</w:t>
            </w:r>
          </w:p>
        </w:tc>
      </w:tr>
    </w:tbl>
    <w:p w14:paraId="3419945F" w14:textId="50188FC8" w:rsidR="00E32FE0" w:rsidRPr="005B5EC1" w:rsidRDefault="00000000" w:rsidP="00280ACE">
      <w:pPr>
        <w:spacing w:after="0" w:line="240" w:lineRule="exact"/>
        <w:jc w:val="both"/>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法定代表人：杨晓初</w:t>
      </w:r>
      <w:r w:rsidRPr="005B5EC1">
        <w:rPr>
          <w:rFonts w:ascii="Times New Roman" w:eastAsia="宋体" w:hAnsi="Times New Roman" w:cs="Times New Roman"/>
          <w:sz w:val="18"/>
          <w:szCs w:val="18"/>
        </w:rPr>
        <w:t xml:space="preserve">   </w:t>
      </w:r>
      <w:r w:rsidR="00280ACE" w:rsidRPr="005B5EC1">
        <w:rPr>
          <w:rFonts w:ascii="Times New Roman" w:eastAsia="宋体" w:hAnsi="Times New Roman" w:cs="Times New Roman" w:hint="eastAsia"/>
          <w:sz w:val="18"/>
          <w:szCs w:val="18"/>
        </w:rPr>
        <w:t xml:space="preserve">                                       </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主管会计工作负责人：张凌</w:t>
      </w:r>
      <w:r w:rsidRPr="005B5EC1">
        <w:rPr>
          <w:rFonts w:ascii="Times New Roman" w:eastAsia="宋体" w:hAnsi="Times New Roman" w:cs="Times New Roman"/>
          <w:sz w:val="18"/>
          <w:szCs w:val="18"/>
        </w:rPr>
        <w:t xml:space="preserve">  </w:t>
      </w:r>
      <w:r w:rsidR="00280ACE" w:rsidRPr="005B5EC1">
        <w:rPr>
          <w:rFonts w:ascii="Times New Roman" w:eastAsia="宋体" w:hAnsi="Times New Roman" w:cs="Times New Roman" w:hint="eastAsia"/>
          <w:sz w:val="18"/>
          <w:szCs w:val="18"/>
        </w:rPr>
        <w:t xml:space="preserve">                                     </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会计机构负责人：郭锐</w:t>
      </w:r>
    </w:p>
    <w:p w14:paraId="545DC0E0" w14:textId="77777777" w:rsidR="00E32FE0" w:rsidRPr="005B5EC1" w:rsidRDefault="00000000">
      <w:pPr>
        <w:pStyle w:val="3"/>
        <w:spacing w:line="280" w:lineRule="exact"/>
        <w:jc w:val="left"/>
        <w:rPr>
          <w:rFonts w:ascii="Times New Roman" w:hAnsi="Times New Roman" w:cs="Times New Roman"/>
          <w:b/>
          <w:bCs/>
        </w:rPr>
      </w:pPr>
      <w:bookmarkStart w:id="164" w:name="_Toc989053"/>
      <w:r w:rsidRPr="005B5EC1">
        <w:rPr>
          <w:rFonts w:ascii="Times New Roman" w:hAnsi="Times New Roman" w:cs="Times New Roman"/>
          <w:b/>
          <w:bCs/>
        </w:rPr>
        <w:t>2</w:t>
      </w:r>
      <w:r w:rsidRPr="005B5EC1">
        <w:rPr>
          <w:rFonts w:ascii="Times New Roman" w:hAnsi="Times New Roman" w:cs="Times New Roman"/>
          <w:b/>
          <w:bCs/>
        </w:rPr>
        <w:t>、母公司资产负债表</w:t>
      </w:r>
      <w:bookmarkEnd w:id="164"/>
    </w:p>
    <w:p w14:paraId="2BBD2C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7FF456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5ACCB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6C4A6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6FBEB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17503A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99468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333303"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38B3A3" w14:textId="77777777" w:rsidR="00E32FE0" w:rsidRPr="005B5EC1" w:rsidRDefault="00E32FE0">
            <w:pPr>
              <w:rPr>
                <w:rFonts w:ascii="Times New Roman" w:hAnsi="Times New Roman" w:cs="Times New Roman"/>
              </w:rPr>
            </w:pPr>
          </w:p>
        </w:tc>
      </w:tr>
      <w:tr w:rsidR="00E32FE0" w:rsidRPr="005B5EC1" w14:paraId="70372B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EF61DD"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298A47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558,840,990.65</w:t>
            </w:r>
          </w:p>
        </w:tc>
        <w:tc>
          <w:tcPr>
            <w:tcW w:w="3213" w:type="dxa"/>
            <w:tcBorders>
              <w:top w:val="single" w:sz="2" w:space="0" w:color="auto"/>
              <w:left w:val="single" w:sz="2" w:space="0" w:color="auto"/>
              <w:bottom w:val="single" w:sz="2" w:space="0" w:color="auto"/>
              <w:right w:val="single" w:sz="2" w:space="0" w:color="auto"/>
            </w:tcBorders>
            <w:vAlign w:val="center"/>
          </w:tcPr>
          <w:p w14:paraId="38F37E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769,507,974.83</w:t>
            </w:r>
          </w:p>
        </w:tc>
      </w:tr>
      <w:tr w:rsidR="00E32FE0" w:rsidRPr="005B5EC1" w14:paraId="080C8B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8E01D0"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5E830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1,293,700.05</w:t>
            </w:r>
          </w:p>
        </w:tc>
        <w:tc>
          <w:tcPr>
            <w:tcW w:w="3213" w:type="dxa"/>
            <w:tcBorders>
              <w:top w:val="single" w:sz="2" w:space="0" w:color="auto"/>
              <w:left w:val="single" w:sz="2" w:space="0" w:color="auto"/>
              <w:bottom w:val="single" w:sz="2" w:space="0" w:color="auto"/>
              <w:right w:val="single" w:sz="2" w:space="0" w:color="auto"/>
            </w:tcBorders>
            <w:vAlign w:val="center"/>
          </w:tcPr>
          <w:p w14:paraId="4793B17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r w:rsidR="00E32FE0" w:rsidRPr="005B5EC1" w14:paraId="68D5ED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5B5829"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1F521B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EE1CD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28A0BD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F6D03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249EEE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148,024,684.36</w:t>
            </w:r>
          </w:p>
        </w:tc>
        <w:tc>
          <w:tcPr>
            <w:tcW w:w="3213" w:type="dxa"/>
            <w:tcBorders>
              <w:top w:val="single" w:sz="2" w:space="0" w:color="auto"/>
              <w:left w:val="single" w:sz="2" w:space="0" w:color="auto"/>
              <w:bottom w:val="single" w:sz="2" w:space="0" w:color="auto"/>
              <w:right w:val="single" w:sz="2" w:space="0" w:color="auto"/>
            </w:tcBorders>
            <w:vAlign w:val="center"/>
          </w:tcPr>
          <w:p w14:paraId="0026FB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162,341,021.98</w:t>
            </w:r>
          </w:p>
        </w:tc>
      </w:tr>
      <w:tr w:rsidR="00E32FE0" w:rsidRPr="005B5EC1" w14:paraId="0B73B4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F57B3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4883FC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398,482,355.45</w:t>
            </w:r>
          </w:p>
        </w:tc>
        <w:tc>
          <w:tcPr>
            <w:tcW w:w="3213" w:type="dxa"/>
            <w:tcBorders>
              <w:top w:val="single" w:sz="2" w:space="0" w:color="auto"/>
              <w:left w:val="single" w:sz="2" w:space="0" w:color="auto"/>
              <w:bottom w:val="single" w:sz="2" w:space="0" w:color="auto"/>
              <w:right w:val="single" w:sz="2" w:space="0" w:color="auto"/>
            </w:tcBorders>
            <w:vAlign w:val="center"/>
          </w:tcPr>
          <w:p w14:paraId="0A80D4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418,158,933.85</w:t>
            </w:r>
          </w:p>
        </w:tc>
      </w:tr>
      <w:tr w:rsidR="00E32FE0" w:rsidRPr="005B5EC1" w14:paraId="1CC0D1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E9EAA3"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58DB54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491BE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3C065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4141F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5E8D742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12,510,046.71</w:t>
            </w:r>
          </w:p>
        </w:tc>
        <w:tc>
          <w:tcPr>
            <w:tcW w:w="3213" w:type="dxa"/>
            <w:tcBorders>
              <w:top w:val="single" w:sz="2" w:space="0" w:color="auto"/>
              <w:left w:val="single" w:sz="2" w:space="0" w:color="auto"/>
              <w:bottom w:val="single" w:sz="2" w:space="0" w:color="auto"/>
              <w:right w:val="single" w:sz="2" w:space="0" w:color="auto"/>
            </w:tcBorders>
            <w:vAlign w:val="center"/>
          </w:tcPr>
          <w:p w14:paraId="73ADF5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143,706,489.30</w:t>
            </w:r>
          </w:p>
        </w:tc>
      </w:tr>
      <w:tr w:rsidR="00E32FE0" w:rsidRPr="005B5EC1" w14:paraId="7E424C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FB43D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606770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667,216,032.90</w:t>
            </w:r>
          </w:p>
        </w:tc>
        <w:tc>
          <w:tcPr>
            <w:tcW w:w="3213" w:type="dxa"/>
            <w:tcBorders>
              <w:top w:val="single" w:sz="2" w:space="0" w:color="auto"/>
              <w:left w:val="single" w:sz="2" w:space="0" w:color="auto"/>
              <w:bottom w:val="single" w:sz="2" w:space="0" w:color="auto"/>
              <w:right w:val="single" w:sz="2" w:space="0" w:color="auto"/>
            </w:tcBorders>
            <w:vAlign w:val="center"/>
          </w:tcPr>
          <w:p w14:paraId="7B4417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517,607,684.10</w:t>
            </w:r>
          </w:p>
        </w:tc>
      </w:tr>
      <w:tr w:rsidR="00E32FE0" w:rsidRPr="005B5EC1" w14:paraId="1F10C0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8CA084"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3DF6D2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E7FE3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88386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B2E8C4" w14:textId="77777777" w:rsidR="00E32FE0" w:rsidRPr="005B5EC1" w:rsidRDefault="00000000">
            <w:pPr>
              <w:spacing w:before="40" w:after="4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4A9898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c>
          <w:tcPr>
            <w:tcW w:w="3213" w:type="dxa"/>
            <w:tcBorders>
              <w:top w:val="single" w:sz="2" w:space="0" w:color="auto"/>
              <w:left w:val="single" w:sz="2" w:space="0" w:color="auto"/>
              <w:bottom w:val="single" w:sz="2" w:space="0" w:color="auto"/>
              <w:right w:val="single" w:sz="2" w:space="0" w:color="auto"/>
            </w:tcBorders>
            <w:vAlign w:val="center"/>
          </w:tcPr>
          <w:p w14:paraId="5B2D6B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r>
      <w:tr w:rsidR="00E32FE0" w:rsidRPr="005B5EC1" w14:paraId="6C9B17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D4F94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4D6C9D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319,692,324.38</w:t>
            </w:r>
          </w:p>
        </w:tc>
        <w:tc>
          <w:tcPr>
            <w:tcW w:w="3213" w:type="dxa"/>
            <w:tcBorders>
              <w:top w:val="single" w:sz="2" w:space="0" w:color="auto"/>
              <w:left w:val="single" w:sz="2" w:space="0" w:color="auto"/>
              <w:bottom w:val="single" w:sz="2" w:space="0" w:color="auto"/>
              <w:right w:val="single" w:sz="2" w:space="0" w:color="auto"/>
            </w:tcBorders>
            <w:vAlign w:val="center"/>
          </w:tcPr>
          <w:p w14:paraId="5AD65C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452,821,059.75</w:t>
            </w:r>
          </w:p>
        </w:tc>
      </w:tr>
      <w:tr w:rsidR="00E32FE0" w:rsidRPr="005B5EC1" w14:paraId="5B27B9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D69643"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074F56C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9C1640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7ECE7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0877A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45E418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7FE7C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D3760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70C0D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3EA3E2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252CE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57139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8845C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36E99F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97465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14926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C0D6D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27FF8F8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2325DE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BA741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4F71C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28CD9B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2,106,060,134.50</w:t>
            </w:r>
          </w:p>
        </w:tc>
        <w:tc>
          <w:tcPr>
            <w:tcW w:w="3213" w:type="dxa"/>
            <w:tcBorders>
              <w:top w:val="single" w:sz="2" w:space="0" w:color="auto"/>
              <w:left w:val="single" w:sz="2" w:space="0" w:color="auto"/>
              <w:bottom w:val="single" w:sz="2" w:space="0" w:color="auto"/>
              <w:right w:val="single" w:sz="2" w:space="0" w:color="auto"/>
            </w:tcBorders>
            <w:vAlign w:val="center"/>
          </w:tcPr>
          <w:p w14:paraId="72DE77C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2,464,143,163.81</w:t>
            </w:r>
          </w:p>
        </w:tc>
      </w:tr>
      <w:tr w:rsidR="00E32FE0" w:rsidRPr="005B5EC1" w14:paraId="2BB1F0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951EC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CAC46A"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DDBD3F" w14:textId="77777777" w:rsidR="00E32FE0" w:rsidRPr="005B5EC1" w:rsidRDefault="00E32FE0">
            <w:pPr>
              <w:rPr>
                <w:rFonts w:ascii="Times New Roman" w:hAnsi="Times New Roman" w:cs="Times New Roman"/>
              </w:rPr>
            </w:pPr>
          </w:p>
        </w:tc>
      </w:tr>
      <w:tr w:rsidR="00E32FE0" w:rsidRPr="005B5EC1" w14:paraId="726495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58DE5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4055CB0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5B94B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57C35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BCE79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450DAE3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E1B22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0B32C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288C5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339D50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1AD03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08284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B1509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316CD5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2,444,081,822.87</w:t>
            </w:r>
          </w:p>
        </w:tc>
        <w:tc>
          <w:tcPr>
            <w:tcW w:w="3213" w:type="dxa"/>
            <w:tcBorders>
              <w:top w:val="single" w:sz="2" w:space="0" w:color="auto"/>
              <w:left w:val="single" w:sz="2" w:space="0" w:color="auto"/>
              <w:bottom w:val="single" w:sz="2" w:space="0" w:color="auto"/>
              <w:right w:val="single" w:sz="2" w:space="0" w:color="auto"/>
            </w:tcBorders>
            <w:vAlign w:val="center"/>
          </w:tcPr>
          <w:p w14:paraId="374DD8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2,574,081,822.87</w:t>
            </w:r>
          </w:p>
        </w:tc>
      </w:tr>
      <w:tr w:rsidR="00E32FE0" w:rsidRPr="005B5EC1" w14:paraId="52DABE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2D173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5EDF9C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84A5D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05025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C985C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A1E76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C1010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CB95B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A8868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253EE4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D8B58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57055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F46A63"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04A24E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504,334,191.82</w:t>
            </w:r>
          </w:p>
        </w:tc>
        <w:tc>
          <w:tcPr>
            <w:tcW w:w="3213" w:type="dxa"/>
            <w:tcBorders>
              <w:top w:val="single" w:sz="2" w:space="0" w:color="auto"/>
              <w:left w:val="single" w:sz="2" w:space="0" w:color="auto"/>
              <w:bottom w:val="single" w:sz="2" w:space="0" w:color="auto"/>
              <w:right w:val="single" w:sz="2" w:space="0" w:color="auto"/>
            </w:tcBorders>
            <w:vAlign w:val="center"/>
          </w:tcPr>
          <w:p w14:paraId="61A4AC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547,221,858.09</w:t>
            </w:r>
          </w:p>
        </w:tc>
      </w:tr>
      <w:tr w:rsidR="00E32FE0" w:rsidRPr="005B5EC1" w14:paraId="1E0940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9E81E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78E961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8,978,090.22</w:t>
            </w:r>
          </w:p>
        </w:tc>
        <w:tc>
          <w:tcPr>
            <w:tcW w:w="3213" w:type="dxa"/>
            <w:tcBorders>
              <w:top w:val="single" w:sz="2" w:space="0" w:color="auto"/>
              <w:left w:val="single" w:sz="2" w:space="0" w:color="auto"/>
              <w:bottom w:val="single" w:sz="2" w:space="0" w:color="auto"/>
              <w:right w:val="single" w:sz="2" w:space="0" w:color="auto"/>
            </w:tcBorders>
            <w:vAlign w:val="center"/>
          </w:tcPr>
          <w:p w14:paraId="2C4CEC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2,935,021.92</w:t>
            </w:r>
          </w:p>
        </w:tc>
      </w:tr>
      <w:tr w:rsidR="00E32FE0" w:rsidRPr="005B5EC1" w14:paraId="6ACC91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F410E0"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253851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A8979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A0DE95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E4F8F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1F30B8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35626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F4836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BE284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141B9B3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398,852.73</w:t>
            </w:r>
          </w:p>
        </w:tc>
        <w:tc>
          <w:tcPr>
            <w:tcW w:w="3213" w:type="dxa"/>
            <w:tcBorders>
              <w:top w:val="single" w:sz="2" w:space="0" w:color="auto"/>
              <w:left w:val="single" w:sz="2" w:space="0" w:color="auto"/>
              <w:bottom w:val="single" w:sz="2" w:space="0" w:color="auto"/>
              <w:right w:val="single" w:sz="2" w:space="0" w:color="auto"/>
            </w:tcBorders>
            <w:vAlign w:val="center"/>
          </w:tcPr>
          <w:p w14:paraId="021F21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3,797,655.88</w:t>
            </w:r>
          </w:p>
        </w:tc>
      </w:tr>
      <w:tr w:rsidR="00E32FE0" w:rsidRPr="005B5EC1" w14:paraId="61EAC0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5907D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428E8D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13,453,776.56</w:t>
            </w:r>
          </w:p>
        </w:tc>
        <w:tc>
          <w:tcPr>
            <w:tcW w:w="3213" w:type="dxa"/>
            <w:tcBorders>
              <w:top w:val="single" w:sz="2" w:space="0" w:color="auto"/>
              <w:left w:val="single" w:sz="2" w:space="0" w:color="auto"/>
              <w:bottom w:val="single" w:sz="2" w:space="0" w:color="auto"/>
              <w:right w:val="single" w:sz="2" w:space="0" w:color="auto"/>
            </w:tcBorders>
            <w:vAlign w:val="center"/>
          </w:tcPr>
          <w:p w14:paraId="71C65D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15,199,544.90</w:t>
            </w:r>
          </w:p>
        </w:tc>
      </w:tr>
      <w:tr w:rsidR="00E32FE0" w:rsidRPr="005B5EC1" w14:paraId="031C2B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D6F16B"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21F853E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B7FAC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DC7D0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B75EED"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17C19E6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E6293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2276D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83E35F"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FB69D0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B24C5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1D3AD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AAA89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671329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1FD8F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3684E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BAFBA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2053F5E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0E65E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7BFB2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91FB5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7263A7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8,497,586.69</w:t>
            </w:r>
          </w:p>
        </w:tc>
        <w:tc>
          <w:tcPr>
            <w:tcW w:w="3213" w:type="dxa"/>
            <w:tcBorders>
              <w:top w:val="single" w:sz="2" w:space="0" w:color="auto"/>
              <w:left w:val="single" w:sz="2" w:space="0" w:color="auto"/>
              <w:bottom w:val="single" w:sz="2" w:space="0" w:color="auto"/>
              <w:right w:val="single" w:sz="2" w:space="0" w:color="auto"/>
            </w:tcBorders>
            <w:vAlign w:val="center"/>
          </w:tcPr>
          <w:p w14:paraId="7415EA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6,523,841.86</w:t>
            </w:r>
          </w:p>
        </w:tc>
      </w:tr>
      <w:tr w:rsidR="00E32FE0" w:rsidRPr="005B5EC1" w14:paraId="113268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38A5F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784311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4,427,475.93</w:t>
            </w:r>
          </w:p>
        </w:tc>
        <w:tc>
          <w:tcPr>
            <w:tcW w:w="3213" w:type="dxa"/>
            <w:tcBorders>
              <w:top w:val="single" w:sz="2" w:space="0" w:color="auto"/>
              <w:left w:val="single" w:sz="2" w:space="0" w:color="auto"/>
              <w:bottom w:val="single" w:sz="2" w:space="0" w:color="auto"/>
              <w:right w:val="single" w:sz="2" w:space="0" w:color="auto"/>
            </w:tcBorders>
            <w:vAlign w:val="center"/>
          </w:tcPr>
          <w:p w14:paraId="40156E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53,788,522.42</w:t>
            </w:r>
          </w:p>
        </w:tc>
      </w:tr>
      <w:tr w:rsidR="00E32FE0" w:rsidRPr="005B5EC1" w14:paraId="0FBE67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EAA5F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25ED980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2,984,171,796.82</w:t>
            </w:r>
          </w:p>
        </w:tc>
        <w:tc>
          <w:tcPr>
            <w:tcW w:w="3213" w:type="dxa"/>
            <w:tcBorders>
              <w:top w:val="single" w:sz="2" w:space="0" w:color="auto"/>
              <w:left w:val="single" w:sz="2" w:space="0" w:color="auto"/>
              <w:bottom w:val="single" w:sz="2" w:space="0" w:color="auto"/>
              <w:right w:val="single" w:sz="2" w:space="0" w:color="auto"/>
            </w:tcBorders>
            <w:vAlign w:val="center"/>
          </w:tcPr>
          <w:p w14:paraId="26EDE6D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3,203,548,267.94</w:t>
            </w:r>
          </w:p>
        </w:tc>
      </w:tr>
      <w:tr w:rsidR="00E32FE0" w:rsidRPr="005B5EC1" w14:paraId="3EBA64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8640D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37723D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5,090,231,931.32</w:t>
            </w:r>
          </w:p>
        </w:tc>
        <w:tc>
          <w:tcPr>
            <w:tcW w:w="3213" w:type="dxa"/>
            <w:tcBorders>
              <w:top w:val="single" w:sz="2" w:space="0" w:color="auto"/>
              <w:left w:val="single" w:sz="2" w:space="0" w:color="auto"/>
              <w:bottom w:val="single" w:sz="2" w:space="0" w:color="auto"/>
              <w:right w:val="single" w:sz="2" w:space="0" w:color="auto"/>
            </w:tcBorders>
            <w:vAlign w:val="center"/>
          </w:tcPr>
          <w:p w14:paraId="34A526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5,667,691,431.75</w:t>
            </w:r>
          </w:p>
        </w:tc>
      </w:tr>
      <w:tr w:rsidR="00E32FE0" w:rsidRPr="005B5EC1" w14:paraId="30EC7E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9D6D5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79616D"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9B67DE" w14:textId="77777777" w:rsidR="00E32FE0" w:rsidRPr="005B5EC1" w:rsidRDefault="00E32FE0">
            <w:pPr>
              <w:rPr>
                <w:rFonts w:ascii="Times New Roman" w:hAnsi="Times New Roman" w:cs="Times New Roman"/>
              </w:rPr>
            </w:pPr>
          </w:p>
        </w:tc>
      </w:tr>
      <w:tr w:rsidR="00E32FE0" w:rsidRPr="005B5EC1" w14:paraId="00A687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B4257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490EBD6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444,994,165.18</w:t>
            </w:r>
          </w:p>
        </w:tc>
        <w:tc>
          <w:tcPr>
            <w:tcW w:w="3213" w:type="dxa"/>
            <w:tcBorders>
              <w:top w:val="single" w:sz="2" w:space="0" w:color="auto"/>
              <w:left w:val="single" w:sz="2" w:space="0" w:color="auto"/>
              <w:bottom w:val="single" w:sz="2" w:space="0" w:color="auto"/>
              <w:right w:val="single" w:sz="2" w:space="0" w:color="auto"/>
            </w:tcBorders>
            <w:vAlign w:val="center"/>
          </w:tcPr>
          <w:p w14:paraId="558594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732,087,132.24</w:t>
            </w:r>
          </w:p>
        </w:tc>
      </w:tr>
      <w:tr w:rsidR="00E32FE0" w:rsidRPr="005B5EC1" w14:paraId="39F48D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A03FA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11B6BE7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B6981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A15C8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E21DC5"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7E9CF3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2D7CB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DF0BB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C352E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50504A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206,560,000.00</w:t>
            </w:r>
          </w:p>
        </w:tc>
        <w:tc>
          <w:tcPr>
            <w:tcW w:w="3213" w:type="dxa"/>
            <w:tcBorders>
              <w:top w:val="single" w:sz="2" w:space="0" w:color="auto"/>
              <w:left w:val="single" w:sz="2" w:space="0" w:color="auto"/>
              <w:bottom w:val="single" w:sz="2" w:space="0" w:color="auto"/>
              <w:right w:val="single" w:sz="2" w:space="0" w:color="auto"/>
            </w:tcBorders>
            <w:vAlign w:val="center"/>
          </w:tcPr>
          <w:p w14:paraId="333972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260,500,000.00</w:t>
            </w:r>
          </w:p>
        </w:tc>
      </w:tr>
      <w:tr w:rsidR="00E32FE0" w:rsidRPr="005B5EC1" w14:paraId="53F525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672B19"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2BED45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641,658,848.57</w:t>
            </w:r>
          </w:p>
        </w:tc>
        <w:tc>
          <w:tcPr>
            <w:tcW w:w="3213" w:type="dxa"/>
            <w:tcBorders>
              <w:top w:val="single" w:sz="2" w:space="0" w:color="auto"/>
              <w:left w:val="single" w:sz="2" w:space="0" w:color="auto"/>
              <w:bottom w:val="single" w:sz="2" w:space="0" w:color="auto"/>
              <w:right w:val="single" w:sz="2" w:space="0" w:color="auto"/>
            </w:tcBorders>
            <w:vAlign w:val="center"/>
          </w:tcPr>
          <w:p w14:paraId="488C93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604,546,537.30</w:t>
            </w:r>
          </w:p>
        </w:tc>
      </w:tr>
      <w:tr w:rsidR="00E32FE0" w:rsidRPr="005B5EC1" w14:paraId="5BA339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AC17B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2B1658C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35915B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DA516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F397D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5F13F3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277,276,979.52</w:t>
            </w:r>
          </w:p>
        </w:tc>
        <w:tc>
          <w:tcPr>
            <w:tcW w:w="3213" w:type="dxa"/>
            <w:tcBorders>
              <w:top w:val="single" w:sz="2" w:space="0" w:color="auto"/>
              <w:left w:val="single" w:sz="2" w:space="0" w:color="auto"/>
              <w:bottom w:val="single" w:sz="2" w:space="0" w:color="auto"/>
              <w:right w:val="single" w:sz="2" w:space="0" w:color="auto"/>
            </w:tcBorders>
            <w:vAlign w:val="center"/>
          </w:tcPr>
          <w:p w14:paraId="1B775F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362,846,722.58</w:t>
            </w:r>
          </w:p>
        </w:tc>
      </w:tr>
      <w:tr w:rsidR="00E32FE0" w:rsidRPr="005B5EC1" w14:paraId="546F8A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6299B9"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4EB029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14,733,024.88</w:t>
            </w:r>
          </w:p>
        </w:tc>
        <w:tc>
          <w:tcPr>
            <w:tcW w:w="3213" w:type="dxa"/>
            <w:tcBorders>
              <w:top w:val="single" w:sz="2" w:space="0" w:color="auto"/>
              <w:left w:val="single" w:sz="2" w:space="0" w:color="auto"/>
              <w:bottom w:val="single" w:sz="2" w:space="0" w:color="auto"/>
              <w:right w:val="single" w:sz="2" w:space="0" w:color="auto"/>
            </w:tcBorders>
            <w:vAlign w:val="center"/>
          </w:tcPr>
          <w:p w14:paraId="573983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18,301,412.45</w:t>
            </w:r>
          </w:p>
        </w:tc>
      </w:tr>
      <w:tr w:rsidR="00E32FE0" w:rsidRPr="005B5EC1" w14:paraId="728074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0DF81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70F37F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4,713,007.18</w:t>
            </w:r>
          </w:p>
        </w:tc>
        <w:tc>
          <w:tcPr>
            <w:tcW w:w="3213" w:type="dxa"/>
            <w:tcBorders>
              <w:top w:val="single" w:sz="2" w:space="0" w:color="auto"/>
              <w:left w:val="single" w:sz="2" w:space="0" w:color="auto"/>
              <w:bottom w:val="single" w:sz="2" w:space="0" w:color="auto"/>
              <w:right w:val="single" w:sz="2" w:space="0" w:color="auto"/>
            </w:tcBorders>
            <w:vAlign w:val="center"/>
          </w:tcPr>
          <w:p w14:paraId="486555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2,188,976.63</w:t>
            </w:r>
          </w:p>
        </w:tc>
      </w:tr>
      <w:tr w:rsidR="00E32FE0" w:rsidRPr="005B5EC1" w14:paraId="4E6B14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0B39A5"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5AAF57C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1,216,770,497.48</w:t>
            </w:r>
          </w:p>
        </w:tc>
        <w:tc>
          <w:tcPr>
            <w:tcW w:w="3213" w:type="dxa"/>
            <w:tcBorders>
              <w:top w:val="single" w:sz="2" w:space="0" w:color="auto"/>
              <w:left w:val="single" w:sz="2" w:space="0" w:color="auto"/>
              <w:bottom w:val="single" w:sz="2" w:space="0" w:color="auto"/>
              <w:right w:val="single" w:sz="2" w:space="0" w:color="auto"/>
            </w:tcBorders>
            <w:vAlign w:val="center"/>
          </w:tcPr>
          <w:p w14:paraId="13C6D8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1,041,844,490.88</w:t>
            </w:r>
          </w:p>
        </w:tc>
      </w:tr>
      <w:tr w:rsidR="00E32FE0" w:rsidRPr="005B5EC1" w14:paraId="4A34A2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EC900E"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1A5F73C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AE97B8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7E1C9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4C6052" w14:textId="77777777" w:rsidR="00E32FE0" w:rsidRPr="005B5EC1" w:rsidRDefault="00000000">
            <w:pPr>
              <w:spacing w:before="40" w:after="4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6D1821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DC34C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33AE8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EBD7B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21C02E7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C3B67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A8593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00674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188681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68,525,976.53</w:t>
            </w:r>
          </w:p>
        </w:tc>
        <w:tc>
          <w:tcPr>
            <w:tcW w:w="3213" w:type="dxa"/>
            <w:tcBorders>
              <w:top w:val="single" w:sz="2" w:space="0" w:color="auto"/>
              <w:left w:val="single" w:sz="2" w:space="0" w:color="auto"/>
              <w:bottom w:val="single" w:sz="2" w:space="0" w:color="auto"/>
              <w:right w:val="single" w:sz="2" w:space="0" w:color="auto"/>
            </w:tcBorders>
            <w:vAlign w:val="center"/>
          </w:tcPr>
          <w:p w14:paraId="7B15B31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171,319,293.96</w:t>
            </w:r>
          </w:p>
        </w:tc>
      </w:tr>
      <w:tr w:rsidR="00E32FE0" w:rsidRPr="005B5EC1" w14:paraId="2B3CCA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67AEB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1A798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24,954,928.16</w:t>
            </w:r>
          </w:p>
        </w:tc>
        <w:tc>
          <w:tcPr>
            <w:tcW w:w="3213" w:type="dxa"/>
            <w:tcBorders>
              <w:top w:val="single" w:sz="2" w:space="0" w:color="auto"/>
              <w:left w:val="single" w:sz="2" w:space="0" w:color="auto"/>
              <w:bottom w:val="single" w:sz="2" w:space="0" w:color="auto"/>
              <w:right w:val="single" w:sz="2" w:space="0" w:color="auto"/>
            </w:tcBorders>
            <w:vAlign w:val="center"/>
          </w:tcPr>
          <w:p w14:paraId="558D5D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32,656,205.03</w:t>
            </w:r>
          </w:p>
        </w:tc>
      </w:tr>
      <w:tr w:rsidR="00E32FE0" w:rsidRPr="005B5EC1" w14:paraId="70FB55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3B69E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405A1B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2,900,187,427.50</w:t>
            </w:r>
          </w:p>
        </w:tc>
        <w:tc>
          <w:tcPr>
            <w:tcW w:w="3213" w:type="dxa"/>
            <w:tcBorders>
              <w:top w:val="single" w:sz="2" w:space="0" w:color="auto"/>
              <w:left w:val="single" w:sz="2" w:space="0" w:color="auto"/>
              <w:bottom w:val="single" w:sz="2" w:space="0" w:color="auto"/>
              <w:right w:val="single" w:sz="2" w:space="0" w:color="auto"/>
            </w:tcBorders>
            <w:vAlign w:val="center"/>
          </w:tcPr>
          <w:p w14:paraId="5BDE0F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3,226,290,771.07</w:t>
            </w:r>
          </w:p>
        </w:tc>
      </w:tr>
      <w:tr w:rsidR="00E32FE0" w:rsidRPr="005B5EC1" w14:paraId="304A76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176D9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D51FA4"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2B96F0" w14:textId="77777777" w:rsidR="00E32FE0" w:rsidRPr="005B5EC1" w:rsidRDefault="00E32FE0">
            <w:pPr>
              <w:rPr>
                <w:rFonts w:ascii="Times New Roman" w:hAnsi="Times New Roman" w:cs="Times New Roman"/>
              </w:rPr>
            </w:pPr>
          </w:p>
        </w:tc>
      </w:tr>
      <w:tr w:rsidR="00E32FE0" w:rsidRPr="005B5EC1" w14:paraId="2ADEA0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B16D3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38B780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31,500,000.00</w:t>
            </w:r>
          </w:p>
        </w:tc>
        <w:tc>
          <w:tcPr>
            <w:tcW w:w="3213" w:type="dxa"/>
            <w:tcBorders>
              <w:top w:val="single" w:sz="2" w:space="0" w:color="auto"/>
              <w:left w:val="single" w:sz="2" w:space="0" w:color="auto"/>
              <w:bottom w:val="single" w:sz="2" w:space="0" w:color="auto"/>
              <w:right w:val="single" w:sz="2" w:space="0" w:color="auto"/>
            </w:tcBorders>
            <w:vAlign w:val="center"/>
          </w:tcPr>
          <w:p w14:paraId="72C92D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94,500,000.00</w:t>
            </w:r>
          </w:p>
        </w:tc>
      </w:tr>
      <w:tr w:rsidR="00E32FE0" w:rsidRPr="005B5EC1" w14:paraId="0F3FC9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B7ACE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5671872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934,309,640.97</w:t>
            </w:r>
          </w:p>
        </w:tc>
        <w:tc>
          <w:tcPr>
            <w:tcW w:w="3213" w:type="dxa"/>
            <w:tcBorders>
              <w:top w:val="single" w:sz="2" w:space="0" w:color="auto"/>
              <w:left w:val="single" w:sz="2" w:space="0" w:color="auto"/>
              <w:bottom w:val="single" w:sz="2" w:space="0" w:color="auto"/>
              <w:right w:val="single" w:sz="2" w:space="0" w:color="auto"/>
            </w:tcBorders>
            <w:vAlign w:val="center"/>
          </w:tcPr>
          <w:p w14:paraId="5C5A4CC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899,039,265.74</w:t>
            </w:r>
          </w:p>
        </w:tc>
      </w:tr>
      <w:tr w:rsidR="00E32FE0" w:rsidRPr="005B5EC1" w14:paraId="5322E6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13CD3C"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1BB52C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882C9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5170E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DEB610" w14:textId="77777777" w:rsidR="00E32FE0" w:rsidRPr="005B5EC1" w:rsidRDefault="00000000">
            <w:pPr>
              <w:spacing w:before="40" w:after="4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6FB6DC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AEA5A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80C70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89B76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3E4D35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119,077.51</w:t>
            </w:r>
          </w:p>
        </w:tc>
        <w:tc>
          <w:tcPr>
            <w:tcW w:w="3213" w:type="dxa"/>
            <w:tcBorders>
              <w:top w:val="single" w:sz="2" w:space="0" w:color="auto"/>
              <w:left w:val="single" w:sz="2" w:space="0" w:color="auto"/>
              <w:bottom w:val="single" w:sz="2" w:space="0" w:color="auto"/>
              <w:right w:val="single" w:sz="2" w:space="0" w:color="auto"/>
            </w:tcBorders>
            <w:vAlign w:val="center"/>
          </w:tcPr>
          <w:p w14:paraId="330B000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278,799.21</w:t>
            </w:r>
          </w:p>
        </w:tc>
      </w:tr>
      <w:tr w:rsidR="00E32FE0" w:rsidRPr="005B5EC1" w14:paraId="0FE1A3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429AD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363AB9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30,716,500.00</w:t>
            </w:r>
          </w:p>
        </w:tc>
        <w:tc>
          <w:tcPr>
            <w:tcW w:w="3213" w:type="dxa"/>
            <w:tcBorders>
              <w:top w:val="single" w:sz="2" w:space="0" w:color="auto"/>
              <w:left w:val="single" w:sz="2" w:space="0" w:color="auto"/>
              <w:bottom w:val="single" w:sz="2" w:space="0" w:color="auto"/>
              <w:right w:val="single" w:sz="2" w:space="0" w:color="auto"/>
            </w:tcBorders>
            <w:vAlign w:val="center"/>
          </w:tcPr>
          <w:p w14:paraId="05FB2C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239,970,867.01</w:t>
            </w:r>
          </w:p>
        </w:tc>
      </w:tr>
      <w:tr w:rsidR="00E32FE0" w:rsidRPr="005B5EC1" w14:paraId="4B6F72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59D6F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3799B4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B61C7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B1B1D2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7FCE3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7B178F5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E3CC2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868DD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3B259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5A1E98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14,081,965.93</w:t>
            </w:r>
          </w:p>
        </w:tc>
        <w:tc>
          <w:tcPr>
            <w:tcW w:w="3213" w:type="dxa"/>
            <w:tcBorders>
              <w:top w:val="single" w:sz="2" w:space="0" w:color="auto"/>
              <w:left w:val="single" w:sz="2" w:space="0" w:color="auto"/>
              <w:bottom w:val="single" w:sz="2" w:space="0" w:color="auto"/>
              <w:right w:val="single" w:sz="2" w:space="0" w:color="auto"/>
            </w:tcBorders>
            <w:vAlign w:val="center"/>
          </w:tcPr>
          <w:p w14:paraId="62CC731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15,695,965.89</w:t>
            </w:r>
          </w:p>
        </w:tc>
      </w:tr>
      <w:tr w:rsidR="00E32FE0" w:rsidRPr="005B5EC1" w14:paraId="44A490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659A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70AA59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488F0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5DD8C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5419A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D6A29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B9FAF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A4EDF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72619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216AD2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1,010,727,184.41</w:t>
            </w:r>
          </w:p>
        </w:tc>
        <w:tc>
          <w:tcPr>
            <w:tcW w:w="3213" w:type="dxa"/>
            <w:tcBorders>
              <w:top w:val="single" w:sz="2" w:space="0" w:color="auto"/>
              <w:left w:val="single" w:sz="2" w:space="0" w:color="auto"/>
              <w:bottom w:val="single" w:sz="2" w:space="0" w:color="auto"/>
              <w:right w:val="single" w:sz="2" w:space="0" w:color="auto"/>
            </w:tcBorders>
            <w:vAlign w:val="center"/>
          </w:tcPr>
          <w:p w14:paraId="3AFCAB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1,249,484,897.85</w:t>
            </w:r>
          </w:p>
        </w:tc>
      </w:tr>
      <w:tr w:rsidR="00E32FE0" w:rsidRPr="005B5EC1" w14:paraId="46DBF1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CFCC7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4E4BE4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3,910,914,611.91</w:t>
            </w:r>
          </w:p>
        </w:tc>
        <w:tc>
          <w:tcPr>
            <w:tcW w:w="3213" w:type="dxa"/>
            <w:tcBorders>
              <w:top w:val="single" w:sz="2" w:space="0" w:color="auto"/>
              <w:left w:val="single" w:sz="2" w:space="0" w:color="auto"/>
              <w:bottom w:val="single" w:sz="2" w:space="0" w:color="auto"/>
              <w:right w:val="single" w:sz="2" w:space="0" w:color="auto"/>
            </w:tcBorders>
            <w:vAlign w:val="center"/>
          </w:tcPr>
          <w:p w14:paraId="6664DF6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4,475,775,668.92</w:t>
            </w:r>
          </w:p>
        </w:tc>
      </w:tr>
      <w:tr w:rsidR="00E32FE0" w:rsidRPr="005B5EC1" w14:paraId="0489D2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BD352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AC2627"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40870D" w14:textId="77777777" w:rsidR="00E32FE0" w:rsidRPr="005B5EC1" w:rsidRDefault="00E32FE0">
            <w:pPr>
              <w:rPr>
                <w:rFonts w:ascii="Times New Roman" w:hAnsi="Times New Roman" w:cs="Times New Roman"/>
              </w:rPr>
            </w:pPr>
          </w:p>
        </w:tc>
      </w:tr>
      <w:tr w:rsidR="00E32FE0" w:rsidRPr="005B5EC1" w14:paraId="2DFC80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536A2B"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391CBE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1,079,160,261.00</w:t>
            </w:r>
          </w:p>
        </w:tc>
        <w:tc>
          <w:tcPr>
            <w:tcW w:w="3213" w:type="dxa"/>
            <w:tcBorders>
              <w:top w:val="single" w:sz="2" w:space="0" w:color="auto"/>
              <w:left w:val="single" w:sz="2" w:space="0" w:color="auto"/>
              <w:bottom w:val="single" w:sz="2" w:space="0" w:color="auto"/>
              <w:right w:val="single" w:sz="2" w:space="0" w:color="auto"/>
            </w:tcBorders>
            <w:vAlign w:val="center"/>
          </w:tcPr>
          <w:p w14:paraId="1ECCB3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1,079,159,832.00</w:t>
            </w:r>
          </w:p>
        </w:tc>
      </w:tr>
      <w:tr w:rsidR="00E32FE0" w:rsidRPr="005B5EC1" w14:paraId="35E91A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C9B6F6"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377CCA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171,570,156.57</w:t>
            </w:r>
          </w:p>
        </w:tc>
        <w:tc>
          <w:tcPr>
            <w:tcW w:w="3213" w:type="dxa"/>
            <w:tcBorders>
              <w:top w:val="single" w:sz="2" w:space="0" w:color="auto"/>
              <w:left w:val="single" w:sz="2" w:space="0" w:color="auto"/>
              <w:bottom w:val="single" w:sz="2" w:space="0" w:color="auto"/>
              <w:right w:val="single" w:sz="2" w:space="0" w:color="auto"/>
            </w:tcBorders>
            <w:vAlign w:val="center"/>
          </w:tcPr>
          <w:p w14:paraId="496B56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r>
      <w:tr w:rsidR="00E32FE0" w:rsidRPr="005B5EC1" w14:paraId="4E0714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A4603C"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1F0CB57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9A5DA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39AAE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9813E8" w14:textId="77777777" w:rsidR="00E32FE0" w:rsidRPr="005B5EC1" w:rsidRDefault="00000000">
            <w:pPr>
              <w:spacing w:after="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65406A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32169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18E48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17C04C"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6A38EA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830,440,076.97</w:t>
            </w:r>
          </w:p>
        </w:tc>
        <w:tc>
          <w:tcPr>
            <w:tcW w:w="3213" w:type="dxa"/>
            <w:tcBorders>
              <w:top w:val="single" w:sz="2" w:space="0" w:color="auto"/>
              <w:left w:val="single" w:sz="2" w:space="0" w:color="auto"/>
              <w:bottom w:val="single" w:sz="2" w:space="0" w:color="auto"/>
              <w:right w:val="single" w:sz="2" w:space="0" w:color="auto"/>
            </w:tcBorders>
            <w:vAlign w:val="center"/>
          </w:tcPr>
          <w:p w14:paraId="2499F6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830,435,511.92</w:t>
            </w:r>
          </w:p>
        </w:tc>
      </w:tr>
      <w:tr w:rsidR="00E32FE0" w:rsidRPr="005B5EC1" w14:paraId="690AD25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73A4C4"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1184B27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3213" w:type="dxa"/>
            <w:tcBorders>
              <w:top w:val="single" w:sz="2" w:space="0" w:color="auto"/>
              <w:left w:val="single" w:sz="2" w:space="0" w:color="auto"/>
              <w:bottom w:val="single" w:sz="2" w:space="0" w:color="auto"/>
              <w:right w:val="single" w:sz="2" w:space="0" w:color="auto"/>
            </w:tcBorders>
            <w:vAlign w:val="center"/>
          </w:tcPr>
          <w:p w14:paraId="2ABE7E9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r>
      <w:tr w:rsidR="00E32FE0" w:rsidRPr="005B5EC1" w14:paraId="655487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339CD5"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A1479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3213" w:type="dxa"/>
            <w:tcBorders>
              <w:top w:val="single" w:sz="2" w:space="0" w:color="auto"/>
              <w:left w:val="single" w:sz="2" w:space="0" w:color="auto"/>
              <w:bottom w:val="single" w:sz="2" w:space="0" w:color="auto"/>
              <w:right w:val="single" w:sz="2" w:space="0" w:color="auto"/>
            </w:tcBorders>
            <w:vAlign w:val="center"/>
          </w:tcPr>
          <w:p w14:paraId="5E8D14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r>
      <w:tr w:rsidR="00E32FE0" w:rsidRPr="005B5EC1" w14:paraId="5A1068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DE989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549156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A16E4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5682C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79134F"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39E6A7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3213" w:type="dxa"/>
            <w:tcBorders>
              <w:top w:val="single" w:sz="2" w:space="0" w:color="auto"/>
              <w:left w:val="single" w:sz="2" w:space="0" w:color="auto"/>
              <w:bottom w:val="single" w:sz="2" w:space="0" w:color="auto"/>
              <w:right w:val="single" w:sz="2" w:space="0" w:color="auto"/>
            </w:tcBorders>
            <w:vAlign w:val="center"/>
          </w:tcPr>
          <w:p w14:paraId="60C01E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r>
      <w:tr w:rsidR="00E32FE0" w:rsidRPr="005B5EC1" w14:paraId="35C0D6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7FFD4C"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71251B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-823,446,021.00</w:t>
            </w:r>
          </w:p>
        </w:tc>
        <w:tc>
          <w:tcPr>
            <w:tcW w:w="3213" w:type="dxa"/>
            <w:tcBorders>
              <w:top w:val="single" w:sz="2" w:space="0" w:color="auto"/>
              <w:left w:val="single" w:sz="2" w:space="0" w:color="auto"/>
              <w:bottom w:val="single" w:sz="2" w:space="0" w:color="auto"/>
              <w:right w:val="single" w:sz="2" w:space="0" w:color="auto"/>
            </w:tcBorders>
            <w:vAlign w:val="center"/>
          </w:tcPr>
          <w:p w14:paraId="379A4E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-810,843,308.94</w:t>
            </w:r>
          </w:p>
        </w:tc>
      </w:tr>
      <w:tr w:rsidR="00E32FE0" w:rsidRPr="005B5EC1" w14:paraId="5F26BA2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EAA5E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61EBB6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1,179,317,319.41</w:t>
            </w:r>
          </w:p>
        </w:tc>
        <w:tc>
          <w:tcPr>
            <w:tcW w:w="3213" w:type="dxa"/>
            <w:tcBorders>
              <w:top w:val="single" w:sz="2" w:space="0" w:color="auto"/>
              <w:left w:val="single" w:sz="2" w:space="0" w:color="auto"/>
              <w:bottom w:val="single" w:sz="2" w:space="0" w:color="auto"/>
              <w:right w:val="single" w:sz="2" w:space="0" w:color="auto"/>
            </w:tcBorders>
            <w:vAlign w:val="center"/>
          </w:tcPr>
          <w:p w14:paraId="2ABAE6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1,191,915,762.83</w:t>
            </w:r>
          </w:p>
        </w:tc>
      </w:tr>
      <w:tr w:rsidR="00E32FE0" w:rsidRPr="005B5EC1" w14:paraId="278AE2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BFC9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3790C6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5,090,231,931.32</w:t>
            </w:r>
          </w:p>
        </w:tc>
        <w:tc>
          <w:tcPr>
            <w:tcW w:w="3213" w:type="dxa"/>
            <w:tcBorders>
              <w:top w:val="single" w:sz="2" w:space="0" w:color="auto"/>
              <w:left w:val="single" w:sz="2" w:space="0" w:color="auto"/>
              <w:bottom w:val="single" w:sz="2" w:space="0" w:color="auto"/>
              <w:right w:val="single" w:sz="2" w:space="0" w:color="auto"/>
            </w:tcBorders>
            <w:vAlign w:val="center"/>
          </w:tcPr>
          <w:p w14:paraId="4820A5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5,667,691,431.75</w:t>
            </w:r>
          </w:p>
        </w:tc>
      </w:tr>
    </w:tbl>
    <w:p w14:paraId="162A7FB4" w14:textId="77777777" w:rsidR="00E32FE0" w:rsidRPr="005B5EC1" w:rsidRDefault="00000000">
      <w:pPr>
        <w:pStyle w:val="3"/>
        <w:spacing w:line="280" w:lineRule="exact"/>
        <w:jc w:val="left"/>
        <w:rPr>
          <w:rFonts w:ascii="Times New Roman" w:hAnsi="Times New Roman" w:cs="Times New Roman"/>
          <w:b/>
          <w:bCs/>
        </w:rPr>
      </w:pPr>
      <w:bookmarkStart w:id="165" w:name="_Toc989054"/>
      <w:r w:rsidRPr="005B5EC1">
        <w:rPr>
          <w:rFonts w:ascii="Times New Roman" w:hAnsi="Times New Roman" w:cs="Times New Roman"/>
          <w:b/>
          <w:bCs/>
        </w:rPr>
        <w:t>3</w:t>
      </w:r>
      <w:r w:rsidRPr="005B5EC1">
        <w:rPr>
          <w:rFonts w:ascii="Times New Roman" w:hAnsi="Times New Roman" w:cs="Times New Roman"/>
          <w:b/>
          <w:bCs/>
        </w:rPr>
        <w:t>、合并利润表</w:t>
      </w:r>
      <w:bookmarkEnd w:id="165"/>
    </w:p>
    <w:p w14:paraId="7771D19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05B18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8266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9D2BB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A3CF7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w:t>
            </w:r>
          </w:p>
        </w:tc>
      </w:tr>
      <w:tr w:rsidR="00E32FE0" w:rsidRPr="005B5EC1" w14:paraId="659D34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C0C09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14:paraId="4AA8CF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10,989,671,145.22</w:t>
            </w:r>
          </w:p>
        </w:tc>
        <w:tc>
          <w:tcPr>
            <w:tcW w:w="3213" w:type="dxa"/>
            <w:tcBorders>
              <w:top w:val="single" w:sz="2" w:space="0" w:color="auto"/>
              <w:left w:val="single" w:sz="2" w:space="0" w:color="auto"/>
              <w:bottom w:val="single" w:sz="2" w:space="0" w:color="auto"/>
              <w:right w:val="single" w:sz="2" w:space="0" w:color="auto"/>
            </w:tcBorders>
            <w:vAlign w:val="center"/>
          </w:tcPr>
          <w:p w14:paraId="493A88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13,318,473,211.90</w:t>
            </w:r>
          </w:p>
        </w:tc>
      </w:tr>
      <w:tr w:rsidR="00E32FE0" w:rsidRPr="005B5EC1" w14:paraId="32EE07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F5AFE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1E6B2B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10,989,671,145.22</w:t>
            </w:r>
          </w:p>
        </w:tc>
        <w:tc>
          <w:tcPr>
            <w:tcW w:w="3213" w:type="dxa"/>
            <w:tcBorders>
              <w:top w:val="single" w:sz="2" w:space="0" w:color="auto"/>
              <w:left w:val="single" w:sz="2" w:space="0" w:color="auto"/>
              <w:bottom w:val="single" w:sz="2" w:space="0" w:color="auto"/>
              <w:right w:val="single" w:sz="2" w:space="0" w:color="auto"/>
            </w:tcBorders>
            <w:vAlign w:val="center"/>
          </w:tcPr>
          <w:p w14:paraId="107D53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13,318,473,211.90</w:t>
            </w:r>
          </w:p>
        </w:tc>
      </w:tr>
      <w:tr w:rsidR="00E32FE0" w:rsidRPr="005B5EC1" w14:paraId="5A7069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9DAFA9"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6C68D2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66AFB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2624E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7A386A"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14:paraId="5CD312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7B6F1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14351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65A479"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14:paraId="466389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9EE1A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5DB16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9019A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14:paraId="7933FD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11,017,238,351.08</w:t>
            </w:r>
          </w:p>
        </w:tc>
        <w:tc>
          <w:tcPr>
            <w:tcW w:w="3213" w:type="dxa"/>
            <w:tcBorders>
              <w:top w:val="single" w:sz="2" w:space="0" w:color="auto"/>
              <w:left w:val="single" w:sz="2" w:space="0" w:color="auto"/>
              <w:bottom w:val="single" w:sz="2" w:space="0" w:color="auto"/>
              <w:right w:val="single" w:sz="2" w:space="0" w:color="auto"/>
            </w:tcBorders>
            <w:vAlign w:val="center"/>
          </w:tcPr>
          <w:p w14:paraId="5A825A9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14,076,554,847.79</w:t>
            </w:r>
          </w:p>
        </w:tc>
      </w:tr>
      <w:tr w:rsidR="00E32FE0" w:rsidRPr="005B5EC1" w14:paraId="66EF39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F9E6D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1E1999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10,551,841,009.60</w:t>
            </w:r>
          </w:p>
        </w:tc>
        <w:tc>
          <w:tcPr>
            <w:tcW w:w="3213" w:type="dxa"/>
            <w:tcBorders>
              <w:top w:val="single" w:sz="2" w:space="0" w:color="auto"/>
              <w:left w:val="single" w:sz="2" w:space="0" w:color="auto"/>
              <w:bottom w:val="single" w:sz="2" w:space="0" w:color="auto"/>
              <w:right w:val="single" w:sz="2" w:space="0" w:color="auto"/>
            </w:tcBorders>
            <w:vAlign w:val="center"/>
          </w:tcPr>
          <w:p w14:paraId="5722A3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13,528,667,434.43</w:t>
            </w:r>
          </w:p>
        </w:tc>
      </w:tr>
      <w:tr w:rsidR="00E32FE0" w:rsidRPr="005B5EC1" w14:paraId="0609D0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7579E5"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6FD1E78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AC461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BEBD2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973B0A"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14:paraId="61C0BF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78EB6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58259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EC753A"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14:paraId="7A5A05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90867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B5FF4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A58DB7"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14:paraId="4E3A6D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7B9DC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AF871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3BF722"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提取保险责任合同准备金净额</w:t>
            </w:r>
          </w:p>
        </w:tc>
        <w:tc>
          <w:tcPr>
            <w:tcW w:w="3213" w:type="dxa"/>
            <w:tcBorders>
              <w:top w:val="single" w:sz="2" w:space="0" w:color="auto"/>
              <w:left w:val="single" w:sz="2" w:space="0" w:color="auto"/>
              <w:bottom w:val="single" w:sz="2" w:space="0" w:color="auto"/>
              <w:right w:val="single" w:sz="2" w:space="0" w:color="auto"/>
            </w:tcBorders>
            <w:vAlign w:val="center"/>
          </w:tcPr>
          <w:p w14:paraId="0684A7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A14CC9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E2F09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3575BE"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14:paraId="25F2CC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8BA46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BA5D2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9671E7"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14:paraId="3F9C92B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B4802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43D7E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9212FF"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05EF89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20,847,270.58</w:t>
            </w:r>
          </w:p>
        </w:tc>
        <w:tc>
          <w:tcPr>
            <w:tcW w:w="3213" w:type="dxa"/>
            <w:tcBorders>
              <w:top w:val="single" w:sz="2" w:space="0" w:color="auto"/>
              <w:left w:val="single" w:sz="2" w:space="0" w:color="auto"/>
              <w:bottom w:val="single" w:sz="2" w:space="0" w:color="auto"/>
              <w:right w:val="single" w:sz="2" w:space="0" w:color="auto"/>
            </w:tcBorders>
            <w:vAlign w:val="center"/>
          </w:tcPr>
          <w:p w14:paraId="518AC8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23,123,394.46</w:t>
            </w:r>
          </w:p>
        </w:tc>
      </w:tr>
      <w:tr w:rsidR="00E32FE0" w:rsidRPr="005B5EC1" w14:paraId="26345C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37532C"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237E95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102,938,925.91</w:t>
            </w:r>
          </w:p>
        </w:tc>
        <w:tc>
          <w:tcPr>
            <w:tcW w:w="3213" w:type="dxa"/>
            <w:tcBorders>
              <w:top w:val="single" w:sz="2" w:space="0" w:color="auto"/>
              <w:left w:val="single" w:sz="2" w:space="0" w:color="auto"/>
              <w:bottom w:val="single" w:sz="2" w:space="0" w:color="auto"/>
              <w:right w:val="single" w:sz="2" w:space="0" w:color="auto"/>
            </w:tcBorders>
            <w:vAlign w:val="center"/>
          </w:tcPr>
          <w:p w14:paraId="4A43CDA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151,290,525.18</w:t>
            </w:r>
          </w:p>
        </w:tc>
      </w:tr>
      <w:tr w:rsidR="00E32FE0" w:rsidRPr="005B5EC1" w14:paraId="52A79E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BB3768"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464979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250,317,998.86</w:t>
            </w:r>
          </w:p>
        </w:tc>
        <w:tc>
          <w:tcPr>
            <w:tcW w:w="3213" w:type="dxa"/>
            <w:tcBorders>
              <w:top w:val="single" w:sz="2" w:space="0" w:color="auto"/>
              <w:left w:val="single" w:sz="2" w:space="0" w:color="auto"/>
              <w:bottom w:val="single" w:sz="2" w:space="0" w:color="auto"/>
              <w:right w:val="single" w:sz="2" w:space="0" w:color="auto"/>
            </w:tcBorders>
            <w:vAlign w:val="center"/>
          </w:tcPr>
          <w:p w14:paraId="0BD3AD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289,373,279.33</w:t>
            </w:r>
          </w:p>
        </w:tc>
      </w:tr>
      <w:tr w:rsidR="00E32FE0" w:rsidRPr="005B5EC1" w14:paraId="61AF01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7921DF"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59151B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7,881,545.47</w:t>
            </w:r>
          </w:p>
        </w:tc>
        <w:tc>
          <w:tcPr>
            <w:tcW w:w="3213" w:type="dxa"/>
            <w:tcBorders>
              <w:top w:val="single" w:sz="2" w:space="0" w:color="auto"/>
              <w:left w:val="single" w:sz="2" w:space="0" w:color="auto"/>
              <w:bottom w:val="single" w:sz="2" w:space="0" w:color="auto"/>
              <w:right w:val="single" w:sz="2" w:space="0" w:color="auto"/>
            </w:tcBorders>
            <w:vAlign w:val="center"/>
          </w:tcPr>
          <w:p w14:paraId="19C97C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9,617,710.52</w:t>
            </w:r>
          </w:p>
        </w:tc>
      </w:tr>
      <w:tr w:rsidR="00E32FE0" w:rsidRPr="005B5EC1" w14:paraId="6E1487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CB1CD8"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381E33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83,411,600.66</w:t>
            </w:r>
          </w:p>
        </w:tc>
        <w:tc>
          <w:tcPr>
            <w:tcW w:w="3213" w:type="dxa"/>
            <w:tcBorders>
              <w:top w:val="single" w:sz="2" w:space="0" w:color="auto"/>
              <w:left w:val="single" w:sz="2" w:space="0" w:color="auto"/>
              <w:bottom w:val="single" w:sz="2" w:space="0" w:color="auto"/>
              <w:right w:val="single" w:sz="2" w:space="0" w:color="auto"/>
            </w:tcBorders>
            <w:vAlign w:val="center"/>
          </w:tcPr>
          <w:p w14:paraId="79A5F0D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74,482,503.87</w:t>
            </w:r>
          </w:p>
        </w:tc>
      </w:tr>
      <w:tr w:rsidR="00E32FE0" w:rsidRPr="005B5EC1" w14:paraId="63AE48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9754BD" w14:textId="77777777" w:rsidR="00E32FE0" w:rsidRPr="005B5EC1" w:rsidRDefault="00000000">
            <w:pPr>
              <w:spacing w:before="40" w:after="4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5C9AA0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106,031,201.34</w:t>
            </w:r>
          </w:p>
        </w:tc>
        <w:tc>
          <w:tcPr>
            <w:tcW w:w="3213" w:type="dxa"/>
            <w:tcBorders>
              <w:top w:val="single" w:sz="2" w:space="0" w:color="auto"/>
              <w:left w:val="single" w:sz="2" w:space="0" w:color="auto"/>
              <w:bottom w:val="single" w:sz="2" w:space="0" w:color="auto"/>
              <w:right w:val="single" w:sz="2" w:space="0" w:color="auto"/>
            </w:tcBorders>
            <w:vAlign w:val="center"/>
          </w:tcPr>
          <w:p w14:paraId="33050C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105,181,377.18</w:t>
            </w:r>
          </w:p>
        </w:tc>
      </w:tr>
      <w:tr w:rsidR="00E32FE0" w:rsidRPr="005B5EC1" w14:paraId="3F5423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33024E" w14:textId="77777777" w:rsidR="00E32FE0" w:rsidRPr="005B5EC1" w:rsidRDefault="00000000">
            <w:pPr>
              <w:spacing w:before="40" w:after="40" w:line="240" w:lineRule="exact"/>
              <w:ind w:firstLineChars="800" w:firstLine="1440"/>
              <w:rPr>
                <w:rFonts w:ascii="Times New Roman" w:eastAsia="宋体" w:hAnsi="Times New Roman" w:cs="Times New Roman"/>
                <w:sz w:val="18"/>
                <w:szCs w:val="18"/>
              </w:rPr>
            </w:pPr>
            <w:r w:rsidRPr="005B5EC1">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2FEC2F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24,962,497.78</w:t>
            </w:r>
          </w:p>
        </w:tc>
        <w:tc>
          <w:tcPr>
            <w:tcW w:w="3213" w:type="dxa"/>
            <w:tcBorders>
              <w:top w:val="single" w:sz="2" w:space="0" w:color="auto"/>
              <w:left w:val="single" w:sz="2" w:space="0" w:color="auto"/>
              <w:bottom w:val="single" w:sz="2" w:space="0" w:color="auto"/>
              <w:right w:val="single" w:sz="2" w:space="0" w:color="auto"/>
            </w:tcBorders>
            <w:vAlign w:val="center"/>
          </w:tcPr>
          <w:p w14:paraId="12E6E7B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32,828,995.68</w:t>
            </w:r>
          </w:p>
        </w:tc>
      </w:tr>
      <w:tr w:rsidR="00E32FE0" w:rsidRPr="005B5EC1" w14:paraId="664C16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DE4085"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7E5DE0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15,454,590.43</w:t>
            </w:r>
          </w:p>
        </w:tc>
        <w:tc>
          <w:tcPr>
            <w:tcW w:w="3213" w:type="dxa"/>
            <w:tcBorders>
              <w:top w:val="single" w:sz="2" w:space="0" w:color="auto"/>
              <w:left w:val="single" w:sz="2" w:space="0" w:color="auto"/>
              <w:bottom w:val="single" w:sz="2" w:space="0" w:color="auto"/>
              <w:right w:val="single" w:sz="2" w:space="0" w:color="auto"/>
            </w:tcBorders>
            <w:vAlign w:val="center"/>
          </w:tcPr>
          <w:p w14:paraId="727DFC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23,632,654.65</w:t>
            </w:r>
          </w:p>
        </w:tc>
      </w:tr>
      <w:tr w:rsidR="00E32FE0" w:rsidRPr="005B5EC1" w14:paraId="3C2C01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FAF924"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投资收益（损失以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A3490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64,962,881.93</w:t>
            </w:r>
          </w:p>
        </w:tc>
        <w:tc>
          <w:tcPr>
            <w:tcW w:w="3213" w:type="dxa"/>
            <w:tcBorders>
              <w:top w:val="single" w:sz="2" w:space="0" w:color="auto"/>
              <w:left w:val="single" w:sz="2" w:space="0" w:color="auto"/>
              <w:bottom w:val="single" w:sz="2" w:space="0" w:color="auto"/>
              <w:right w:val="single" w:sz="2" w:space="0" w:color="auto"/>
            </w:tcBorders>
            <w:vAlign w:val="center"/>
          </w:tcPr>
          <w:p w14:paraId="3D8BEDB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49A40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43E678" w14:textId="77777777" w:rsidR="00E32FE0" w:rsidRPr="005B5EC1" w:rsidRDefault="00000000">
            <w:pPr>
              <w:spacing w:before="40" w:after="40" w:line="240" w:lineRule="exact"/>
              <w:ind w:firstLineChars="500" w:firstLine="900"/>
              <w:rPr>
                <w:rFonts w:ascii="Times New Roman" w:eastAsia="宋体" w:hAnsi="Times New Roman" w:cs="Times New Roman"/>
                <w:sz w:val="18"/>
                <w:szCs w:val="18"/>
              </w:rPr>
            </w:pPr>
            <w:r w:rsidRPr="005B5EC1">
              <w:rPr>
                <w:rFonts w:ascii="Times New Roman" w:eastAsia="宋体" w:hAnsi="Times New Roman" w:cs="Times New Roman"/>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6AED738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766F5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051AC7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A2F404" w14:textId="77777777" w:rsidR="00E32FE0" w:rsidRPr="005B5EC1" w:rsidRDefault="00000000" w:rsidP="00280ACE">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14:paraId="02780FF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08B69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103DD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52AB33"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汇兑收益（损失以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67E86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E9F90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1AD56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5C4F5F"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净敞口套期收益（损失以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lastRenderedPageBreak/>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C5DF6A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CD652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F01DD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DAE4E8"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公允价值变动收益（损失以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58C4B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576,797.23</w:t>
            </w:r>
          </w:p>
        </w:tc>
        <w:tc>
          <w:tcPr>
            <w:tcW w:w="3213" w:type="dxa"/>
            <w:tcBorders>
              <w:top w:val="single" w:sz="2" w:space="0" w:color="auto"/>
              <w:left w:val="single" w:sz="2" w:space="0" w:color="auto"/>
              <w:bottom w:val="single" w:sz="2" w:space="0" w:color="auto"/>
              <w:right w:val="single" w:sz="2" w:space="0" w:color="auto"/>
            </w:tcBorders>
            <w:vAlign w:val="center"/>
          </w:tcPr>
          <w:p w14:paraId="3231E3E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843D3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A8DD78"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信用减值损失（损失以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A4526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-20,977,521.05</w:t>
            </w:r>
          </w:p>
        </w:tc>
        <w:tc>
          <w:tcPr>
            <w:tcW w:w="3213" w:type="dxa"/>
            <w:tcBorders>
              <w:top w:val="single" w:sz="2" w:space="0" w:color="auto"/>
              <w:left w:val="single" w:sz="2" w:space="0" w:color="auto"/>
              <w:bottom w:val="single" w:sz="2" w:space="0" w:color="auto"/>
              <w:right w:val="single" w:sz="2" w:space="0" w:color="auto"/>
            </w:tcBorders>
            <w:vAlign w:val="center"/>
          </w:tcPr>
          <w:p w14:paraId="49DB2C6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-37,324,026.87</w:t>
            </w:r>
          </w:p>
        </w:tc>
      </w:tr>
      <w:tr w:rsidR="00E32FE0" w:rsidRPr="005B5EC1" w14:paraId="67A8AC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1A50EE"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资产减值损失（损失以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59F90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-27,412,719.47</w:t>
            </w:r>
          </w:p>
        </w:tc>
        <w:tc>
          <w:tcPr>
            <w:tcW w:w="3213" w:type="dxa"/>
            <w:tcBorders>
              <w:top w:val="single" w:sz="2" w:space="0" w:color="auto"/>
              <w:left w:val="single" w:sz="2" w:space="0" w:color="auto"/>
              <w:bottom w:val="single" w:sz="2" w:space="0" w:color="auto"/>
              <w:right w:val="single" w:sz="2" w:space="0" w:color="auto"/>
            </w:tcBorders>
            <w:vAlign w:val="center"/>
          </w:tcPr>
          <w:p w14:paraId="656826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-450,175,106.41</w:t>
            </w:r>
          </w:p>
        </w:tc>
      </w:tr>
      <w:tr w:rsidR="00E32FE0" w:rsidRPr="005B5EC1" w14:paraId="2C5E0B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ECBDC0"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资产处置收益（损失以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1383FE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-2,236,691.23</w:t>
            </w:r>
          </w:p>
        </w:tc>
        <w:tc>
          <w:tcPr>
            <w:tcW w:w="3213" w:type="dxa"/>
            <w:tcBorders>
              <w:top w:val="single" w:sz="2" w:space="0" w:color="auto"/>
              <w:left w:val="single" w:sz="2" w:space="0" w:color="auto"/>
              <w:bottom w:val="single" w:sz="2" w:space="0" w:color="auto"/>
              <w:right w:val="single" w:sz="2" w:space="0" w:color="auto"/>
            </w:tcBorders>
            <w:vAlign w:val="center"/>
          </w:tcPr>
          <w:p w14:paraId="55F829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-128,746,923.35</w:t>
            </w:r>
          </w:p>
        </w:tc>
      </w:tr>
      <w:tr w:rsidR="00E32FE0" w:rsidRPr="005B5EC1" w14:paraId="7A58BD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DD470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三、营业利润（亏损以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9FABC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2,800,131.98</w:t>
            </w:r>
          </w:p>
        </w:tc>
        <w:tc>
          <w:tcPr>
            <w:tcW w:w="3213" w:type="dxa"/>
            <w:tcBorders>
              <w:top w:val="single" w:sz="2" w:space="0" w:color="auto"/>
              <w:left w:val="single" w:sz="2" w:space="0" w:color="auto"/>
              <w:bottom w:val="single" w:sz="2" w:space="0" w:color="auto"/>
              <w:right w:val="single" w:sz="2" w:space="0" w:color="auto"/>
            </w:tcBorders>
            <w:vAlign w:val="center"/>
          </w:tcPr>
          <w:p w14:paraId="2311BB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-1,350,695,037.87</w:t>
            </w:r>
          </w:p>
        </w:tc>
      </w:tr>
      <w:tr w:rsidR="00E32FE0" w:rsidRPr="005B5EC1" w14:paraId="2AD293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601F7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37A386C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9,745,901.39</w:t>
            </w:r>
          </w:p>
        </w:tc>
        <w:tc>
          <w:tcPr>
            <w:tcW w:w="3213" w:type="dxa"/>
            <w:tcBorders>
              <w:top w:val="single" w:sz="2" w:space="0" w:color="auto"/>
              <w:left w:val="single" w:sz="2" w:space="0" w:color="auto"/>
              <w:bottom w:val="single" w:sz="2" w:space="0" w:color="auto"/>
              <w:right w:val="single" w:sz="2" w:space="0" w:color="auto"/>
            </w:tcBorders>
            <w:vAlign w:val="center"/>
          </w:tcPr>
          <w:p w14:paraId="177627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8,134,702.69</w:t>
            </w:r>
          </w:p>
        </w:tc>
      </w:tr>
      <w:tr w:rsidR="00E32FE0" w:rsidRPr="005B5EC1" w14:paraId="6ECE4E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74639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6B1D74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8,934,840.37</w:t>
            </w:r>
          </w:p>
        </w:tc>
        <w:tc>
          <w:tcPr>
            <w:tcW w:w="3213" w:type="dxa"/>
            <w:tcBorders>
              <w:top w:val="single" w:sz="2" w:space="0" w:color="auto"/>
              <w:left w:val="single" w:sz="2" w:space="0" w:color="auto"/>
              <w:bottom w:val="single" w:sz="2" w:space="0" w:color="auto"/>
              <w:right w:val="single" w:sz="2" w:space="0" w:color="auto"/>
            </w:tcBorders>
            <w:vAlign w:val="center"/>
          </w:tcPr>
          <w:p w14:paraId="641E05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83,703,864.56</w:t>
            </w:r>
          </w:p>
        </w:tc>
      </w:tr>
      <w:tr w:rsidR="00E32FE0" w:rsidRPr="005B5EC1" w14:paraId="4AB597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B096C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四、利润总额（亏损总额以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0947D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3,611,193.00</w:t>
            </w:r>
          </w:p>
        </w:tc>
        <w:tc>
          <w:tcPr>
            <w:tcW w:w="3213" w:type="dxa"/>
            <w:tcBorders>
              <w:top w:val="single" w:sz="2" w:space="0" w:color="auto"/>
              <w:left w:val="single" w:sz="2" w:space="0" w:color="auto"/>
              <w:bottom w:val="single" w:sz="2" w:space="0" w:color="auto"/>
              <w:right w:val="single" w:sz="2" w:space="0" w:color="auto"/>
            </w:tcBorders>
            <w:vAlign w:val="center"/>
          </w:tcPr>
          <w:p w14:paraId="1B9F56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-1,426,264,199.74</w:t>
            </w:r>
          </w:p>
        </w:tc>
      </w:tr>
      <w:tr w:rsidR="00E32FE0" w:rsidRPr="005B5EC1" w14:paraId="35EEA4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7C34F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3F0960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-3,266,420.98</w:t>
            </w:r>
          </w:p>
        </w:tc>
        <w:tc>
          <w:tcPr>
            <w:tcW w:w="3213" w:type="dxa"/>
            <w:tcBorders>
              <w:top w:val="single" w:sz="2" w:space="0" w:color="auto"/>
              <w:left w:val="single" w:sz="2" w:space="0" w:color="auto"/>
              <w:bottom w:val="single" w:sz="2" w:space="0" w:color="auto"/>
              <w:right w:val="single" w:sz="2" w:space="0" w:color="auto"/>
            </w:tcBorders>
            <w:vAlign w:val="center"/>
          </w:tcPr>
          <w:p w14:paraId="65C79D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57,405,960.11</w:t>
            </w:r>
          </w:p>
        </w:tc>
      </w:tr>
      <w:tr w:rsidR="00E32FE0" w:rsidRPr="005B5EC1" w14:paraId="18BA971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2D91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五、净利润（净亏损以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3234728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6,877,613.98</w:t>
            </w:r>
          </w:p>
        </w:tc>
        <w:tc>
          <w:tcPr>
            <w:tcW w:w="3213" w:type="dxa"/>
            <w:tcBorders>
              <w:top w:val="single" w:sz="2" w:space="0" w:color="auto"/>
              <w:left w:val="single" w:sz="2" w:space="0" w:color="auto"/>
              <w:bottom w:val="single" w:sz="2" w:space="0" w:color="auto"/>
              <w:right w:val="single" w:sz="2" w:space="0" w:color="auto"/>
            </w:tcBorders>
            <w:vAlign w:val="center"/>
          </w:tcPr>
          <w:p w14:paraId="211AB5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-1,483,670,159.85</w:t>
            </w:r>
          </w:p>
        </w:tc>
      </w:tr>
      <w:tr w:rsidR="00E32FE0" w:rsidRPr="005B5EC1" w14:paraId="1C14B3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43CE49"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4D9A70"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2AA550" w14:textId="77777777" w:rsidR="00E32FE0" w:rsidRPr="005B5EC1" w:rsidRDefault="00E32FE0">
            <w:pPr>
              <w:rPr>
                <w:rFonts w:ascii="Times New Roman" w:hAnsi="Times New Roman" w:cs="Times New Roman"/>
              </w:rPr>
            </w:pPr>
          </w:p>
        </w:tc>
      </w:tr>
      <w:tr w:rsidR="00E32FE0" w:rsidRPr="005B5EC1" w14:paraId="0B1725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407D60"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持续经营净利润（净亏损以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0216C7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6,877,613.98</w:t>
            </w:r>
          </w:p>
        </w:tc>
        <w:tc>
          <w:tcPr>
            <w:tcW w:w="3213" w:type="dxa"/>
            <w:tcBorders>
              <w:top w:val="single" w:sz="2" w:space="0" w:color="auto"/>
              <w:left w:val="single" w:sz="2" w:space="0" w:color="auto"/>
              <w:bottom w:val="single" w:sz="2" w:space="0" w:color="auto"/>
              <w:right w:val="single" w:sz="2" w:space="0" w:color="auto"/>
            </w:tcBorders>
            <w:vAlign w:val="center"/>
          </w:tcPr>
          <w:p w14:paraId="3EF6549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-1,483,670,159.85</w:t>
            </w:r>
          </w:p>
        </w:tc>
      </w:tr>
      <w:tr w:rsidR="00E32FE0" w:rsidRPr="005B5EC1" w14:paraId="72FD1B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F47309"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终止经营净利润（净亏损以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9EDCC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CD247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E8DB6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0E82DD"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BF4336"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8229E2" w14:textId="77777777" w:rsidR="00E32FE0" w:rsidRPr="005B5EC1" w:rsidRDefault="00E32FE0">
            <w:pPr>
              <w:rPr>
                <w:rFonts w:ascii="Times New Roman" w:hAnsi="Times New Roman" w:cs="Times New Roman"/>
              </w:rPr>
            </w:pPr>
          </w:p>
        </w:tc>
      </w:tr>
      <w:tr w:rsidR="00E32FE0" w:rsidRPr="005B5EC1" w14:paraId="66BA53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B00E59"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归属于母公司股东的净利润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56233B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21,617,644.76</w:t>
            </w:r>
          </w:p>
        </w:tc>
        <w:tc>
          <w:tcPr>
            <w:tcW w:w="3213" w:type="dxa"/>
            <w:tcBorders>
              <w:top w:val="single" w:sz="2" w:space="0" w:color="auto"/>
              <w:left w:val="single" w:sz="2" w:space="0" w:color="auto"/>
              <w:bottom w:val="single" w:sz="2" w:space="0" w:color="auto"/>
              <w:right w:val="single" w:sz="2" w:space="0" w:color="auto"/>
            </w:tcBorders>
            <w:vAlign w:val="center"/>
          </w:tcPr>
          <w:p w14:paraId="20A14A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-1,538,353,704.08</w:t>
            </w:r>
          </w:p>
        </w:tc>
      </w:tr>
      <w:tr w:rsidR="00E32FE0" w:rsidRPr="005B5EC1" w14:paraId="163A4B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21ECA8"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少数股东损益</w:t>
            </w:r>
          </w:p>
        </w:tc>
        <w:tc>
          <w:tcPr>
            <w:tcW w:w="3213" w:type="dxa"/>
            <w:tcBorders>
              <w:top w:val="single" w:sz="2" w:space="0" w:color="auto"/>
              <w:left w:val="single" w:sz="2" w:space="0" w:color="auto"/>
              <w:bottom w:val="single" w:sz="2" w:space="0" w:color="auto"/>
              <w:right w:val="single" w:sz="2" w:space="0" w:color="auto"/>
            </w:tcBorders>
            <w:vAlign w:val="center"/>
          </w:tcPr>
          <w:p w14:paraId="5180A1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-14,740,030.78</w:t>
            </w:r>
          </w:p>
        </w:tc>
        <w:tc>
          <w:tcPr>
            <w:tcW w:w="3213" w:type="dxa"/>
            <w:tcBorders>
              <w:top w:val="single" w:sz="2" w:space="0" w:color="auto"/>
              <w:left w:val="single" w:sz="2" w:space="0" w:color="auto"/>
              <w:bottom w:val="single" w:sz="2" w:space="0" w:color="auto"/>
              <w:right w:val="single" w:sz="2" w:space="0" w:color="auto"/>
            </w:tcBorders>
            <w:vAlign w:val="center"/>
          </w:tcPr>
          <w:p w14:paraId="4EBBD0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54,683,544.23</w:t>
            </w:r>
          </w:p>
        </w:tc>
      </w:tr>
      <w:tr w:rsidR="00E32FE0" w:rsidRPr="005B5EC1" w14:paraId="485ABA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7C375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196311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AF4E4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r>
      <w:tr w:rsidR="00E32FE0" w:rsidRPr="005B5EC1" w14:paraId="2E2C7B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C40A12"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0AC33B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BCDB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r>
      <w:tr w:rsidR="00E32FE0" w:rsidRPr="005B5EC1" w14:paraId="7A4799F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8CDDE9"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62A1F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91A1F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r>
      <w:tr w:rsidR="00E32FE0" w:rsidRPr="005B5EC1" w14:paraId="69000F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EA950A"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6D64614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F5711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D07C8E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69A393"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9B5224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F102D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F4A3A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B31FFA"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38DEC6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7BF3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r>
      <w:tr w:rsidR="00E32FE0" w:rsidRPr="005B5EC1" w14:paraId="2203EF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C13A14"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68DDEC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C7DA0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41630E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1ADEFC"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DE918C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67683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D981C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5E811A"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E8BC05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5E0FF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65AA5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8E028F"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604EDC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22F69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E3F96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954E48"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10E8D5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453CF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74C56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8C31D1"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156017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6C141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337D2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920A28"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1B9C81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17D44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45839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8FAA1D"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657DD5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690E5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FD5A5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ABAD20"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201D779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80F8C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1D303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35D946"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7.</w:t>
            </w: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06DD08E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AB61C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8FB22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40213D"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22481FD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3FB410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3AEB7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57465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303323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6,877,613.98</w:t>
            </w:r>
          </w:p>
        </w:tc>
        <w:tc>
          <w:tcPr>
            <w:tcW w:w="3213" w:type="dxa"/>
            <w:tcBorders>
              <w:top w:val="single" w:sz="2" w:space="0" w:color="auto"/>
              <w:left w:val="single" w:sz="2" w:space="0" w:color="auto"/>
              <w:bottom w:val="single" w:sz="2" w:space="0" w:color="auto"/>
              <w:right w:val="single" w:sz="2" w:space="0" w:color="auto"/>
            </w:tcBorders>
            <w:vAlign w:val="center"/>
          </w:tcPr>
          <w:p w14:paraId="34DBEA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-1,483,992,339.52</w:t>
            </w:r>
          </w:p>
        </w:tc>
      </w:tr>
      <w:tr w:rsidR="00E32FE0" w:rsidRPr="005B5EC1" w14:paraId="54C5F9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B38477"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51ED94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21,617,644.76</w:t>
            </w:r>
          </w:p>
        </w:tc>
        <w:tc>
          <w:tcPr>
            <w:tcW w:w="3213" w:type="dxa"/>
            <w:tcBorders>
              <w:top w:val="single" w:sz="2" w:space="0" w:color="auto"/>
              <w:left w:val="single" w:sz="2" w:space="0" w:color="auto"/>
              <w:bottom w:val="single" w:sz="2" w:space="0" w:color="auto"/>
              <w:right w:val="single" w:sz="2" w:space="0" w:color="auto"/>
            </w:tcBorders>
            <w:vAlign w:val="center"/>
          </w:tcPr>
          <w:p w14:paraId="225C94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-1,538,675,883.75</w:t>
            </w:r>
          </w:p>
        </w:tc>
      </w:tr>
      <w:tr w:rsidR="00E32FE0" w:rsidRPr="005B5EC1" w14:paraId="1ED3F6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772CE"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1ACC1B5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-14,740,030.78</w:t>
            </w:r>
          </w:p>
        </w:tc>
        <w:tc>
          <w:tcPr>
            <w:tcW w:w="3213" w:type="dxa"/>
            <w:tcBorders>
              <w:top w:val="single" w:sz="2" w:space="0" w:color="auto"/>
              <w:left w:val="single" w:sz="2" w:space="0" w:color="auto"/>
              <w:bottom w:val="single" w:sz="2" w:space="0" w:color="auto"/>
              <w:right w:val="single" w:sz="2" w:space="0" w:color="auto"/>
            </w:tcBorders>
            <w:vAlign w:val="center"/>
          </w:tcPr>
          <w:p w14:paraId="234165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54,683,544.23</w:t>
            </w:r>
          </w:p>
        </w:tc>
      </w:tr>
      <w:tr w:rsidR="00E32FE0" w:rsidRPr="005B5EC1" w14:paraId="67DE6C0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A15D1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7DC6C5"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3F7E55" w14:textId="77777777" w:rsidR="00E32FE0" w:rsidRPr="005B5EC1" w:rsidRDefault="00E32FE0">
            <w:pPr>
              <w:rPr>
                <w:rFonts w:ascii="Times New Roman" w:hAnsi="Times New Roman" w:cs="Times New Roman"/>
              </w:rPr>
            </w:pPr>
          </w:p>
        </w:tc>
      </w:tr>
      <w:tr w:rsidR="00E32FE0" w:rsidRPr="005B5EC1" w14:paraId="5F57A8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E23622"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334393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0.02</w:t>
            </w:r>
          </w:p>
        </w:tc>
        <w:tc>
          <w:tcPr>
            <w:tcW w:w="3213" w:type="dxa"/>
            <w:tcBorders>
              <w:top w:val="single" w:sz="2" w:space="0" w:color="auto"/>
              <w:left w:val="single" w:sz="2" w:space="0" w:color="auto"/>
              <w:bottom w:val="single" w:sz="2" w:space="0" w:color="auto"/>
              <w:right w:val="single" w:sz="2" w:space="0" w:color="auto"/>
            </w:tcBorders>
            <w:vAlign w:val="center"/>
          </w:tcPr>
          <w:p w14:paraId="426CB4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-1.43</w:t>
            </w:r>
          </w:p>
        </w:tc>
      </w:tr>
      <w:tr w:rsidR="00E32FE0" w:rsidRPr="005B5EC1" w14:paraId="4D1D72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DC3C43"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5C00B5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0.0309</w:t>
            </w:r>
          </w:p>
        </w:tc>
        <w:tc>
          <w:tcPr>
            <w:tcW w:w="3213" w:type="dxa"/>
            <w:tcBorders>
              <w:top w:val="single" w:sz="2" w:space="0" w:color="auto"/>
              <w:left w:val="single" w:sz="2" w:space="0" w:color="auto"/>
              <w:bottom w:val="single" w:sz="2" w:space="0" w:color="auto"/>
              <w:right w:val="single" w:sz="2" w:space="0" w:color="auto"/>
            </w:tcBorders>
            <w:vAlign w:val="center"/>
          </w:tcPr>
          <w:p w14:paraId="22485CD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w:t>
            </w:r>
          </w:p>
        </w:tc>
      </w:tr>
    </w:tbl>
    <w:p w14:paraId="5B04E78F" w14:textId="3ACAD0BC"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法定代表人：杨晓初</w:t>
      </w:r>
      <w:r w:rsidRPr="005B5EC1">
        <w:rPr>
          <w:rFonts w:ascii="Times New Roman" w:eastAsia="宋体" w:hAnsi="Times New Roman" w:cs="Times New Roman"/>
          <w:sz w:val="18"/>
          <w:szCs w:val="18"/>
        </w:rPr>
        <w:t xml:space="preserve">    </w:t>
      </w:r>
      <w:r w:rsidR="00280ACE" w:rsidRPr="005B5EC1">
        <w:rPr>
          <w:rFonts w:ascii="Times New Roman" w:eastAsia="宋体" w:hAnsi="Times New Roman" w:cs="Times New Roman" w:hint="eastAsia"/>
          <w:sz w:val="18"/>
          <w:szCs w:val="18"/>
        </w:rPr>
        <w:t xml:space="preserve">                                     </w:t>
      </w:r>
      <w:r w:rsidRPr="005B5EC1">
        <w:rPr>
          <w:rFonts w:ascii="Times New Roman" w:eastAsia="宋体" w:hAnsi="Times New Roman" w:cs="Times New Roman"/>
          <w:sz w:val="18"/>
          <w:szCs w:val="18"/>
        </w:rPr>
        <w:t>主管会计工作负责人：张凌</w:t>
      </w:r>
      <w:r w:rsidRPr="005B5EC1">
        <w:rPr>
          <w:rFonts w:ascii="Times New Roman" w:eastAsia="宋体" w:hAnsi="Times New Roman" w:cs="Times New Roman"/>
          <w:sz w:val="18"/>
          <w:szCs w:val="18"/>
        </w:rPr>
        <w:t xml:space="preserve">   </w:t>
      </w:r>
      <w:r w:rsidR="00280ACE" w:rsidRPr="005B5EC1">
        <w:rPr>
          <w:rFonts w:ascii="Times New Roman" w:eastAsia="宋体" w:hAnsi="Times New Roman" w:cs="Times New Roman" w:hint="eastAsia"/>
          <w:sz w:val="18"/>
          <w:szCs w:val="18"/>
        </w:rPr>
        <w:t xml:space="preserve">                                         </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会计机构负责人：郭锐</w:t>
      </w:r>
    </w:p>
    <w:p w14:paraId="66342EBD" w14:textId="77777777" w:rsidR="00E32FE0" w:rsidRPr="005B5EC1" w:rsidRDefault="00000000">
      <w:pPr>
        <w:pStyle w:val="3"/>
        <w:spacing w:line="280" w:lineRule="exact"/>
        <w:jc w:val="left"/>
        <w:rPr>
          <w:rFonts w:ascii="Times New Roman" w:hAnsi="Times New Roman" w:cs="Times New Roman"/>
          <w:b/>
          <w:bCs/>
        </w:rPr>
      </w:pPr>
      <w:bookmarkStart w:id="166" w:name="_Toc989055"/>
      <w:r w:rsidRPr="005B5EC1">
        <w:rPr>
          <w:rFonts w:ascii="Times New Roman" w:hAnsi="Times New Roman" w:cs="Times New Roman"/>
          <w:b/>
          <w:bCs/>
        </w:rPr>
        <w:t>4</w:t>
      </w:r>
      <w:r w:rsidRPr="005B5EC1">
        <w:rPr>
          <w:rFonts w:ascii="Times New Roman" w:hAnsi="Times New Roman" w:cs="Times New Roman"/>
          <w:b/>
          <w:bCs/>
        </w:rPr>
        <w:t>、母公司利润表</w:t>
      </w:r>
      <w:bookmarkEnd w:id="166"/>
    </w:p>
    <w:p w14:paraId="7AF2080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48FB9E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2B396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451EA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B67D8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w:t>
            </w:r>
          </w:p>
        </w:tc>
      </w:tr>
      <w:tr w:rsidR="00E32FE0" w:rsidRPr="005B5EC1" w14:paraId="3EAB8F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0DE5D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48370B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4,559,917,284.10</w:t>
            </w:r>
          </w:p>
        </w:tc>
        <w:tc>
          <w:tcPr>
            <w:tcW w:w="3213" w:type="dxa"/>
            <w:tcBorders>
              <w:top w:val="single" w:sz="2" w:space="0" w:color="auto"/>
              <w:left w:val="single" w:sz="2" w:space="0" w:color="auto"/>
              <w:bottom w:val="single" w:sz="2" w:space="0" w:color="auto"/>
              <w:right w:val="single" w:sz="2" w:space="0" w:color="auto"/>
            </w:tcBorders>
            <w:vAlign w:val="center"/>
          </w:tcPr>
          <w:p w14:paraId="02C0EF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5,220,779,738.98</w:t>
            </w:r>
          </w:p>
        </w:tc>
      </w:tr>
      <w:tr w:rsidR="00E32FE0" w:rsidRPr="005B5EC1" w14:paraId="7E32FE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B32E2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14:paraId="32FF2E6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4,334,003,439.88</w:t>
            </w:r>
          </w:p>
        </w:tc>
        <w:tc>
          <w:tcPr>
            <w:tcW w:w="3213" w:type="dxa"/>
            <w:tcBorders>
              <w:top w:val="single" w:sz="2" w:space="0" w:color="auto"/>
              <w:left w:val="single" w:sz="2" w:space="0" w:color="auto"/>
              <w:bottom w:val="single" w:sz="2" w:space="0" w:color="auto"/>
              <w:right w:val="single" w:sz="2" w:space="0" w:color="auto"/>
            </w:tcBorders>
            <w:vAlign w:val="center"/>
          </w:tcPr>
          <w:p w14:paraId="02A48F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5,030,144,201.25</w:t>
            </w:r>
          </w:p>
        </w:tc>
      </w:tr>
      <w:tr w:rsidR="00E32FE0" w:rsidRPr="005B5EC1" w14:paraId="4791CF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6A6C92"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14:paraId="5ED3D6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7,223,194.19</w:t>
            </w:r>
          </w:p>
        </w:tc>
        <w:tc>
          <w:tcPr>
            <w:tcW w:w="3213" w:type="dxa"/>
            <w:tcBorders>
              <w:top w:val="single" w:sz="2" w:space="0" w:color="auto"/>
              <w:left w:val="single" w:sz="2" w:space="0" w:color="auto"/>
              <w:bottom w:val="single" w:sz="2" w:space="0" w:color="auto"/>
              <w:right w:val="single" w:sz="2" w:space="0" w:color="auto"/>
            </w:tcBorders>
            <w:vAlign w:val="center"/>
          </w:tcPr>
          <w:p w14:paraId="7FD91F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7,554,237.50</w:t>
            </w:r>
          </w:p>
        </w:tc>
      </w:tr>
      <w:tr w:rsidR="00E32FE0" w:rsidRPr="005B5EC1" w14:paraId="064A01B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DC7E7A"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14:paraId="08ECD3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77,407,651.13</w:t>
            </w:r>
          </w:p>
        </w:tc>
        <w:tc>
          <w:tcPr>
            <w:tcW w:w="3213" w:type="dxa"/>
            <w:tcBorders>
              <w:top w:val="single" w:sz="2" w:space="0" w:color="auto"/>
              <w:left w:val="single" w:sz="2" w:space="0" w:color="auto"/>
              <w:bottom w:val="single" w:sz="2" w:space="0" w:color="auto"/>
              <w:right w:val="single" w:sz="2" w:space="0" w:color="auto"/>
            </w:tcBorders>
            <w:vAlign w:val="center"/>
          </w:tcPr>
          <w:p w14:paraId="008841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103,440,119.26</w:t>
            </w:r>
          </w:p>
        </w:tc>
      </w:tr>
      <w:tr w:rsidR="00E32FE0" w:rsidRPr="005B5EC1" w14:paraId="1E4197F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2FE573"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14:paraId="288265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105,724,956.10</w:t>
            </w:r>
          </w:p>
        </w:tc>
        <w:tc>
          <w:tcPr>
            <w:tcW w:w="3213" w:type="dxa"/>
            <w:tcBorders>
              <w:top w:val="single" w:sz="2" w:space="0" w:color="auto"/>
              <w:left w:val="single" w:sz="2" w:space="0" w:color="auto"/>
              <w:bottom w:val="single" w:sz="2" w:space="0" w:color="auto"/>
              <w:right w:val="single" w:sz="2" w:space="0" w:color="auto"/>
            </w:tcBorders>
            <w:vAlign w:val="center"/>
          </w:tcPr>
          <w:p w14:paraId="2D8339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132,800,663.09</w:t>
            </w:r>
          </w:p>
        </w:tc>
      </w:tr>
      <w:tr w:rsidR="00E32FE0" w:rsidRPr="005B5EC1" w14:paraId="5A0A16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6F24CF"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14:paraId="23E409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293,767.10</w:t>
            </w:r>
          </w:p>
        </w:tc>
        <w:tc>
          <w:tcPr>
            <w:tcW w:w="3213" w:type="dxa"/>
            <w:tcBorders>
              <w:top w:val="single" w:sz="2" w:space="0" w:color="auto"/>
              <w:left w:val="single" w:sz="2" w:space="0" w:color="auto"/>
              <w:bottom w:val="single" w:sz="2" w:space="0" w:color="auto"/>
              <w:right w:val="single" w:sz="2" w:space="0" w:color="auto"/>
            </w:tcBorders>
            <w:vAlign w:val="center"/>
          </w:tcPr>
          <w:p w14:paraId="7E5691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305,520.37</w:t>
            </w:r>
          </w:p>
        </w:tc>
      </w:tr>
      <w:tr w:rsidR="00E32FE0" w:rsidRPr="005B5EC1" w14:paraId="4C4F53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11B83C"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14:paraId="52D5A8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60,206,989.67</w:t>
            </w:r>
          </w:p>
        </w:tc>
        <w:tc>
          <w:tcPr>
            <w:tcW w:w="3213" w:type="dxa"/>
            <w:tcBorders>
              <w:top w:val="single" w:sz="2" w:space="0" w:color="auto"/>
              <w:left w:val="single" w:sz="2" w:space="0" w:color="auto"/>
              <w:bottom w:val="single" w:sz="2" w:space="0" w:color="auto"/>
              <w:right w:val="single" w:sz="2" w:space="0" w:color="auto"/>
            </w:tcBorders>
            <w:vAlign w:val="center"/>
          </w:tcPr>
          <w:p w14:paraId="69B47DE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75,116,592.03</w:t>
            </w:r>
          </w:p>
        </w:tc>
      </w:tr>
      <w:tr w:rsidR="00E32FE0" w:rsidRPr="005B5EC1" w14:paraId="4E8AD0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30DEEE"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14:paraId="5FE50A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78,605,824.25</w:t>
            </w:r>
          </w:p>
        </w:tc>
        <w:tc>
          <w:tcPr>
            <w:tcW w:w="3213" w:type="dxa"/>
            <w:tcBorders>
              <w:top w:val="single" w:sz="2" w:space="0" w:color="auto"/>
              <w:left w:val="single" w:sz="2" w:space="0" w:color="auto"/>
              <w:bottom w:val="single" w:sz="2" w:space="0" w:color="auto"/>
              <w:right w:val="single" w:sz="2" w:space="0" w:color="auto"/>
            </w:tcBorders>
            <w:vAlign w:val="center"/>
          </w:tcPr>
          <w:p w14:paraId="70CEF4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84,404,271.37</w:t>
            </w:r>
          </w:p>
        </w:tc>
      </w:tr>
      <w:tr w:rsidR="00E32FE0" w:rsidRPr="005B5EC1" w14:paraId="3C20B8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7910EE" w14:textId="77777777" w:rsidR="00E32FE0" w:rsidRPr="005B5EC1" w:rsidRDefault="00000000">
            <w:pPr>
              <w:spacing w:before="40" w:after="40" w:line="240" w:lineRule="exact"/>
              <w:ind w:firstLineChars="700" w:firstLine="1260"/>
              <w:rPr>
                <w:rFonts w:ascii="Times New Roman" w:eastAsia="宋体" w:hAnsi="Times New Roman" w:cs="Times New Roman"/>
                <w:sz w:val="18"/>
                <w:szCs w:val="18"/>
              </w:rPr>
            </w:pPr>
            <w:r w:rsidRPr="005B5EC1">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458B46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19,328,974.18</w:t>
            </w:r>
          </w:p>
        </w:tc>
        <w:tc>
          <w:tcPr>
            <w:tcW w:w="3213" w:type="dxa"/>
            <w:tcBorders>
              <w:top w:val="single" w:sz="2" w:space="0" w:color="auto"/>
              <w:left w:val="single" w:sz="2" w:space="0" w:color="auto"/>
              <w:bottom w:val="single" w:sz="2" w:space="0" w:color="auto"/>
              <w:right w:val="single" w:sz="2" w:space="0" w:color="auto"/>
            </w:tcBorders>
            <w:vAlign w:val="center"/>
          </w:tcPr>
          <w:p w14:paraId="0B2597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10,379,592.34</w:t>
            </w:r>
          </w:p>
        </w:tc>
      </w:tr>
      <w:tr w:rsidR="00E32FE0" w:rsidRPr="005B5EC1" w14:paraId="4D41F7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44546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2E66D6C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2,840,596.05</w:t>
            </w:r>
          </w:p>
        </w:tc>
        <w:tc>
          <w:tcPr>
            <w:tcW w:w="3213" w:type="dxa"/>
            <w:tcBorders>
              <w:top w:val="single" w:sz="2" w:space="0" w:color="auto"/>
              <w:left w:val="single" w:sz="2" w:space="0" w:color="auto"/>
              <w:bottom w:val="single" w:sz="2" w:space="0" w:color="auto"/>
              <w:right w:val="single" w:sz="2" w:space="0" w:color="auto"/>
            </w:tcBorders>
            <w:vAlign w:val="center"/>
          </w:tcPr>
          <w:p w14:paraId="3A4A3E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4,634,562.34</w:t>
            </w:r>
          </w:p>
        </w:tc>
      </w:tr>
      <w:tr w:rsidR="00E32FE0" w:rsidRPr="005B5EC1" w14:paraId="053DC7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CC97A3"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投资收益（损失以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1E2477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22,685,612.07</w:t>
            </w:r>
          </w:p>
        </w:tc>
        <w:tc>
          <w:tcPr>
            <w:tcW w:w="3213" w:type="dxa"/>
            <w:tcBorders>
              <w:top w:val="single" w:sz="2" w:space="0" w:color="auto"/>
              <w:left w:val="single" w:sz="2" w:space="0" w:color="auto"/>
              <w:bottom w:val="single" w:sz="2" w:space="0" w:color="auto"/>
              <w:right w:val="single" w:sz="2" w:space="0" w:color="auto"/>
            </w:tcBorders>
            <w:vAlign w:val="center"/>
          </w:tcPr>
          <w:p w14:paraId="00DBA4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r>
      <w:tr w:rsidR="00E32FE0" w:rsidRPr="005B5EC1" w14:paraId="226C5C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09FED7"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14:paraId="508237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8AEB2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ED1CE8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1869B0" w14:textId="77777777" w:rsidR="00E32FE0" w:rsidRPr="005B5EC1" w:rsidRDefault="00000000">
            <w:pPr>
              <w:spacing w:before="40" w:after="40" w:line="240" w:lineRule="exact"/>
              <w:ind w:firstLineChars="700" w:firstLine="1260"/>
              <w:rPr>
                <w:rFonts w:ascii="Times New Roman" w:eastAsia="宋体" w:hAnsi="Times New Roman" w:cs="Times New Roman"/>
                <w:sz w:val="18"/>
                <w:szCs w:val="18"/>
              </w:rPr>
            </w:pPr>
            <w:r w:rsidRPr="005B5EC1">
              <w:rPr>
                <w:rFonts w:ascii="Times New Roman" w:eastAsia="宋体" w:hAnsi="Times New Roman" w:cs="Times New Roman"/>
                <w:sz w:val="18"/>
                <w:szCs w:val="18"/>
              </w:rPr>
              <w:t>以摊余成本计量的金融资产终止确认收益（损失以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D9B41C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375C0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6390F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EC2EF6"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净敞口套期收益（损失以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6CD276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0D4C6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C9F83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151DB5"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公允价值变动收益（损失以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32192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576,797.23</w:t>
            </w:r>
          </w:p>
        </w:tc>
        <w:tc>
          <w:tcPr>
            <w:tcW w:w="3213" w:type="dxa"/>
            <w:tcBorders>
              <w:top w:val="single" w:sz="2" w:space="0" w:color="auto"/>
              <w:left w:val="single" w:sz="2" w:space="0" w:color="auto"/>
              <w:bottom w:val="single" w:sz="2" w:space="0" w:color="auto"/>
              <w:right w:val="single" w:sz="2" w:space="0" w:color="auto"/>
            </w:tcBorders>
            <w:vAlign w:val="center"/>
          </w:tcPr>
          <w:p w14:paraId="49EBF84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46BBC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8C1258"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信用减值损失（损失以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2EA862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-5,256,422.04</w:t>
            </w:r>
          </w:p>
        </w:tc>
        <w:tc>
          <w:tcPr>
            <w:tcW w:w="3213" w:type="dxa"/>
            <w:tcBorders>
              <w:top w:val="single" w:sz="2" w:space="0" w:color="auto"/>
              <w:left w:val="single" w:sz="2" w:space="0" w:color="auto"/>
              <w:bottom w:val="single" w:sz="2" w:space="0" w:color="auto"/>
              <w:right w:val="single" w:sz="2" w:space="0" w:color="auto"/>
            </w:tcBorders>
            <w:vAlign w:val="center"/>
          </w:tcPr>
          <w:p w14:paraId="0CE912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-538,525,922.38</w:t>
            </w:r>
          </w:p>
        </w:tc>
      </w:tr>
      <w:tr w:rsidR="00E32FE0" w:rsidRPr="005B5EC1" w14:paraId="781342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329271"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资产减值损失（损失以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328BF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-8,581,003.49</w:t>
            </w:r>
          </w:p>
        </w:tc>
        <w:tc>
          <w:tcPr>
            <w:tcW w:w="3213" w:type="dxa"/>
            <w:tcBorders>
              <w:top w:val="single" w:sz="2" w:space="0" w:color="auto"/>
              <w:left w:val="single" w:sz="2" w:space="0" w:color="auto"/>
              <w:bottom w:val="single" w:sz="2" w:space="0" w:color="auto"/>
              <w:right w:val="single" w:sz="2" w:space="0" w:color="auto"/>
            </w:tcBorders>
            <w:vAlign w:val="center"/>
          </w:tcPr>
          <w:p w14:paraId="7D3868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-118,382,725.63</w:t>
            </w:r>
          </w:p>
        </w:tc>
      </w:tr>
      <w:tr w:rsidR="00E32FE0" w:rsidRPr="005B5EC1" w14:paraId="680B20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FA8458"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资产处置收益（损失以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46B3D12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225,402.02</w:t>
            </w:r>
          </w:p>
        </w:tc>
        <w:tc>
          <w:tcPr>
            <w:tcW w:w="3213" w:type="dxa"/>
            <w:tcBorders>
              <w:top w:val="single" w:sz="2" w:space="0" w:color="auto"/>
              <w:left w:val="single" w:sz="2" w:space="0" w:color="auto"/>
              <w:bottom w:val="single" w:sz="2" w:space="0" w:color="auto"/>
              <w:right w:val="single" w:sz="2" w:space="0" w:color="auto"/>
            </w:tcBorders>
            <w:vAlign w:val="center"/>
          </w:tcPr>
          <w:p w14:paraId="7B6B8C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-328,666.28</w:t>
            </w:r>
          </w:p>
        </w:tc>
      </w:tr>
      <w:tr w:rsidR="00E32FE0" w:rsidRPr="005B5EC1" w14:paraId="1926F59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ED2FD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二、营业利润（亏损以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F5245A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-12,451,732.13</w:t>
            </w:r>
          </w:p>
        </w:tc>
        <w:tc>
          <w:tcPr>
            <w:tcW w:w="3213" w:type="dxa"/>
            <w:tcBorders>
              <w:top w:val="single" w:sz="2" w:space="0" w:color="auto"/>
              <w:left w:val="single" w:sz="2" w:space="0" w:color="auto"/>
              <w:bottom w:val="single" w:sz="2" w:space="0" w:color="auto"/>
              <w:right w:val="single" w:sz="2" w:space="0" w:color="auto"/>
            </w:tcBorders>
            <w:vAlign w:val="center"/>
          </w:tcPr>
          <w:p w14:paraId="724697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-778,944,346.47</w:t>
            </w:r>
          </w:p>
        </w:tc>
      </w:tr>
      <w:tr w:rsidR="00E32FE0" w:rsidRPr="005B5EC1" w14:paraId="7066F7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A921BD"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21800E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1,353,695.09</w:t>
            </w:r>
          </w:p>
        </w:tc>
        <w:tc>
          <w:tcPr>
            <w:tcW w:w="3213" w:type="dxa"/>
            <w:tcBorders>
              <w:top w:val="single" w:sz="2" w:space="0" w:color="auto"/>
              <w:left w:val="single" w:sz="2" w:space="0" w:color="auto"/>
              <w:bottom w:val="single" w:sz="2" w:space="0" w:color="auto"/>
              <w:right w:val="single" w:sz="2" w:space="0" w:color="auto"/>
            </w:tcBorders>
            <w:vAlign w:val="center"/>
          </w:tcPr>
          <w:p w14:paraId="48C2B3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1,150,633.84</w:t>
            </w:r>
          </w:p>
        </w:tc>
      </w:tr>
      <w:tr w:rsidR="00E32FE0" w:rsidRPr="005B5EC1" w14:paraId="6CE588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2E32B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14:paraId="3C5C59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3,478,419.85</w:t>
            </w:r>
          </w:p>
        </w:tc>
        <w:tc>
          <w:tcPr>
            <w:tcW w:w="3213" w:type="dxa"/>
            <w:tcBorders>
              <w:top w:val="single" w:sz="2" w:space="0" w:color="auto"/>
              <w:left w:val="single" w:sz="2" w:space="0" w:color="auto"/>
              <w:bottom w:val="single" w:sz="2" w:space="0" w:color="auto"/>
              <w:right w:val="single" w:sz="2" w:space="0" w:color="auto"/>
            </w:tcBorders>
            <w:vAlign w:val="center"/>
          </w:tcPr>
          <w:p w14:paraId="3DE3F2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17,008,036.80</w:t>
            </w:r>
          </w:p>
        </w:tc>
      </w:tr>
      <w:tr w:rsidR="00E32FE0" w:rsidRPr="005B5EC1" w14:paraId="361271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B23F9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三、利润总额（亏损总额以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1D3D3F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-14,576,456.89</w:t>
            </w:r>
          </w:p>
        </w:tc>
        <w:tc>
          <w:tcPr>
            <w:tcW w:w="3213" w:type="dxa"/>
            <w:tcBorders>
              <w:top w:val="single" w:sz="2" w:space="0" w:color="auto"/>
              <w:left w:val="single" w:sz="2" w:space="0" w:color="auto"/>
              <w:bottom w:val="single" w:sz="2" w:space="0" w:color="auto"/>
              <w:right w:val="single" w:sz="2" w:space="0" w:color="auto"/>
            </w:tcBorders>
            <w:vAlign w:val="center"/>
          </w:tcPr>
          <w:p w14:paraId="51B8B5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-794,801,749.43</w:t>
            </w:r>
          </w:p>
        </w:tc>
      </w:tr>
      <w:tr w:rsidR="00E32FE0" w:rsidRPr="005B5EC1" w14:paraId="1EE460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915981"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6F23B5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-1,973,744.83</w:t>
            </w:r>
          </w:p>
        </w:tc>
        <w:tc>
          <w:tcPr>
            <w:tcW w:w="3213" w:type="dxa"/>
            <w:tcBorders>
              <w:top w:val="single" w:sz="2" w:space="0" w:color="auto"/>
              <w:left w:val="single" w:sz="2" w:space="0" w:color="auto"/>
              <w:bottom w:val="single" w:sz="2" w:space="0" w:color="auto"/>
              <w:right w:val="single" w:sz="2" w:space="0" w:color="auto"/>
            </w:tcBorders>
            <w:vAlign w:val="center"/>
          </w:tcPr>
          <w:p w14:paraId="47F50C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31,271,476.88</w:t>
            </w:r>
          </w:p>
        </w:tc>
      </w:tr>
      <w:tr w:rsidR="00E32FE0" w:rsidRPr="005B5EC1" w14:paraId="4AAAA5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58BE8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四、净利润（净亏损以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799197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-12,602,712.06</w:t>
            </w:r>
          </w:p>
        </w:tc>
        <w:tc>
          <w:tcPr>
            <w:tcW w:w="3213" w:type="dxa"/>
            <w:tcBorders>
              <w:top w:val="single" w:sz="2" w:space="0" w:color="auto"/>
              <w:left w:val="single" w:sz="2" w:space="0" w:color="auto"/>
              <w:bottom w:val="single" w:sz="2" w:space="0" w:color="auto"/>
              <w:right w:val="single" w:sz="2" w:space="0" w:color="auto"/>
            </w:tcBorders>
            <w:vAlign w:val="center"/>
          </w:tcPr>
          <w:p w14:paraId="6177C4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-826,073,226.31</w:t>
            </w:r>
          </w:p>
        </w:tc>
      </w:tr>
      <w:tr w:rsidR="00E32FE0" w:rsidRPr="005B5EC1" w14:paraId="707FBA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A20F2D"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（一）持续经营净利润（净亏损以</w:t>
            </w:r>
            <w:r w:rsidRPr="005B5EC1">
              <w:rPr>
                <w:rFonts w:ascii="Times New Roman" w:eastAsia="宋体" w:hAnsi="Times New Roman" w:cs="Times New Roman"/>
                <w:sz w:val="18"/>
                <w:szCs w:val="18"/>
              </w:rPr>
              <w:lastRenderedPageBreak/>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72CEF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-12,602,712.06</w:t>
            </w:r>
          </w:p>
        </w:tc>
        <w:tc>
          <w:tcPr>
            <w:tcW w:w="3213" w:type="dxa"/>
            <w:tcBorders>
              <w:top w:val="single" w:sz="2" w:space="0" w:color="auto"/>
              <w:left w:val="single" w:sz="2" w:space="0" w:color="auto"/>
              <w:bottom w:val="single" w:sz="2" w:space="0" w:color="auto"/>
              <w:right w:val="single" w:sz="2" w:space="0" w:color="auto"/>
            </w:tcBorders>
            <w:vAlign w:val="center"/>
          </w:tcPr>
          <w:p w14:paraId="71EB71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-826,073,226.31</w:t>
            </w:r>
          </w:p>
        </w:tc>
      </w:tr>
      <w:tr w:rsidR="00E32FE0" w:rsidRPr="005B5EC1" w14:paraId="65D800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100896"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（二）终止经营净利润（净亏损以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vAlign w:val="center"/>
          </w:tcPr>
          <w:p w14:paraId="55265A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B6326E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A8F7D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A18C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14:paraId="128E96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3F9D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r>
      <w:tr w:rsidR="00E32FE0" w:rsidRPr="005B5EC1" w14:paraId="4C9694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C44CC7"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EC240F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421E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r>
      <w:tr w:rsidR="00E32FE0" w:rsidRPr="005B5EC1" w14:paraId="3149A4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BB20CC"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14:paraId="70E61D0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F49D7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0FE54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477D51"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E9F78F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F1B01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8792E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081782"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497ACA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BDBF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r>
      <w:tr w:rsidR="00E32FE0" w:rsidRPr="005B5EC1" w14:paraId="3A7780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F62BEB"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4DFF8B9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9A388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26211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92A981"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67D81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D7F1C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B32EB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58FC71" w14:textId="77777777" w:rsidR="00E32FE0" w:rsidRPr="005B5EC1" w:rsidRDefault="00000000">
            <w:pPr>
              <w:spacing w:after="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7BD933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8FF18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86F5F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7E3400"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539DAC7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EDD0C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A5E1E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9E39C2"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14:paraId="281A9E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043F6C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5A893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C162E2"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14:paraId="10FB4F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427605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291B3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3316D1"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14:paraId="15FF3F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39702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92B6C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A811AD"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14:paraId="4CBAFB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C4B8B4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FDD24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F9C2EC"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14:paraId="75B7B86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29BA4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76AF5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CAEDCC" w14:textId="77777777" w:rsidR="00E32FE0" w:rsidRPr="005B5EC1" w:rsidRDefault="00000000">
            <w:pPr>
              <w:spacing w:after="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7.</w:t>
            </w: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111652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36366C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E7212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6D65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219AE9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-12,602,712.06</w:t>
            </w:r>
          </w:p>
        </w:tc>
        <w:tc>
          <w:tcPr>
            <w:tcW w:w="3213" w:type="dxa"/>
            <w:tcBorders>
              <w:top w:val="single" w:sz="2" w:space="0" w:color="auto"/>
              <w:left w:val="single" w:sz="2" w:space="0" w:color="auto"/>
              <w:bottom w:val="single" w:sz="2" w:space="0" w:color="auto"/>
              <w:right w:val="single" w:sz="2" w:space="0" w:color="auto"/>
            </w:tcBorders>
            <w:vAlign w:val="center"/>
          </w:tcPr>
          <w:p w14:paraId="4F01ADB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-826,395,405.98</w:t>
            </w:r>
          </w:p>
        </w:tc>
      </w:tr>
      <w:tr w:rsidR="00E32FE0" w:rsidRPr="005B5EC1" w14:paraId="1EA853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3714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271F2C"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E3B520" w14:textId="77777777" w:rsidR="00E32FE0" w:rsidRPr="005B5EC1" w:rsidRDefault="00E32FE0">
            <w:pPr>
              <w:rPr>
                <w:rFonts w:ascii="Times New Roman" w:hAnsi="Times New Roman" w:cs="Times New Roman"/>
              </w:rPr>
            </w:pPr>
          </w:p>
        </w:tc>
      </w:tr>
      <w:tr w:rsidR="00E32FE0" w:rsidRPr="005B5EC1" w14:paraId="28F85B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A3F51B"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3EFEDC8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5F316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26B19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ED2178"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14:paraId="5629D36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DA01C51"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01C22268" w14:textId="77777777" w:rsidR="00E32FE0" w:rsidRPr="005B5EC1" w:rsidRDefault="00000000">
      <w:pPr>
        <w:pStyle w:val="3"/>
        <w:spacing w:line="280" w:lineRule="exact"/>
        <w:jc w:val="left"/>
        <w:rPr>
          <w:rFonts w:ascii="Times New Roman" w:hAnsi="Times New Roman" w:cs="Times New Roman"/>
          <w:b/>
          <w:bCs/>
        </w:rPr>
      </w:pPr>
      <w:bookmarkStart w:id="167" w:name="_Toc989056"/>
      <w:r w:rsidRPr="005B5EC1">
        <w:rPr>
          <w:rFonts w:ascii="Times New Roman" w:hAnsi="Times New Roman" w:cs="Times New Roman"/>
          <w:b/>
          <w:bCs/>
        </w:rPr>
        <w:t>5</w:t>
      </w:r>
      <w:r w:rsidRPr="005B5EC1">
        <w:rPr>
          <w:rFonts w:ascii="Times New Roman" w:hAnsi="Times New Roman" w:cs="Times New Roman"/>
          <w:b/>
          <w:bCs/>
        </w:rPr>
        <w:t>、合并现金流量表</w:t>
      </w:r>
      <w:bookmarkEnd w:id="167"/>
    </w:p>
    <w:p w14:paraId="0FAEB41E"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7CA56C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40AF8E"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9B9E19"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0CF1D0"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w:t>
            </w:r>
          </w:p>
        </w:tc>
      </w:tr>
      <w:tr w:rsidR="00E32FE0" w:rsidRPr="005B5EC1" w14:paraId="44A93C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2E8D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EFC2E1"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13E79E" w14:textId="77777777" w:rsidR="00E32FE0" w:rsidRPr="005B5EC1" w:rsidRDefault="00E32FE0">
            <w:pPr>
              <w:rPr>
                <w:rFonts w:ascii="Times New Roman" w:hAnsi="Times New Roman" w:cs="Times New Roman"/>
              </w:rPr>
            </w:pPr>
          </w:p>
        </w:tc>
      </w:tr>
      <w:tr w:rsidR="00E32FE0" w:rsidRPr="005B5EC1" w14:paraId="6945E9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835C8F"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82B4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11,729,626,031.83</w:t>
            </w:r>
          </w:p>
        </w:tc>
        <w:tc>
          <w:tcPr>
            <w:tcW w:w="3213" w:type="dxa"/>
            <w:tcBorders>
              <w:top w:val="single" w:sz="2" w:space="0" w:color="auto"/>
              <w:left w:val="single" w:sz="2" w:space="0" w:color="auto"/>
              <w:bottom w:val="single" w:sz="2" w:space="0" w:color="auto"/>
              <w:right w:val="single" w:sz="2" w:space="0" w:color="auto"/>
            </w:tcBorders>
            <w:vAlign w:val="center"/>
          </w:tcPr>
          <w:p w14:paraId="56467D6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14,294,718,462.37</w:t>
            </w:r>
          </w:p>
        </w:tc>
      </w:tr>
      <w:tr w:rsidR="00E32FE0" w:rsidRPr="005B5EC1" w14:paraId="730477B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2C1F8F"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49C391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B00D8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2B78E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72A3BF"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20083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B8C05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F172F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D01A14"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88536F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99DF4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21664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85849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14:paraId="483C2E7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D0032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5AD40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13F74F"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190350C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3F2CF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E7907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A02D53"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55F774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330CA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9FAA2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22D455"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373898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385AA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D0F9F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45FAB4"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1AAFBB1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A9F45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C8C484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5E08F6"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18A98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D0D914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7B255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BCED9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26F447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45A4FC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1054C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87577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763402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19,293,395.30</w:t>
            </w:r>
          </w:p>
        </w:tc>
        <w:tc>
          <w:tcPr>
            <w:tcW w:w="3213" w:type="dxa"/>
            <w:tcBorders>
              <w:top w:val="single" w:sz="2" w:space="0" w:color="auto"/>
              <w:left w:val="single" w:sz="2" w:space="0" w:color="auto"/>
              <w:bottom w:val="single" w:sz="2" w:space="0" w:color="auto"/>
              <w:right w:val="single" w:sz="2" w:space="0" w:color="auto"/>
            </w:tcBorders>
            <w:vAlign w:val="center"/>
          </w:tcPr>
          <w:p w14:paraId="444408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38,689,208.73</w:t>
            </w:r>
          </w:p>
        </w:tc>
      </w:tr>
      <w:tr w:rsidR="00E32FE0" w:rsidRPr="005B5EC1" w14:paraId="08DEC3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526005"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A3A78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140,112,038.20</w:t>
            </w:r>
          </w:p>
        </w:tc>
        <w:tc>
          <w:tcPr>
            <w:tcW w:w="3213" w:type="dxa"/>
            <w:tcBorders>
              <w:top w:val="single" w:sz="2" w:space="0" w:color="auto"/>
              <w:left w:val="single" w:sz="2" w:space="0" w:color="auto"/>
              <w:bottom w:val="single" w:sz="2" w:space="0" w:color="auto"/>
              <w:right w:val="single" w:sz="2" w:space="0" w:color="auto"/>
            </w:tcBorders>
            <w:vAlign w:val="center"/>
          </w:tcPr>
          <w:p w14:paraId="403D40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222,912,636.28</w:t>
            </w:r>
          </w:p>
        </w:tc>
      </w:tr>
      <w:tr w:rsidR="00E32FE0" w:rsidRPr="005B5EC1" w14:paraId="78F7E4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EF03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4057BE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11,889,031,465.33</w:t>
            </w:r>
          </w:p>
        </w:tc>
        <w:tc>
          <w:tcPr>
            <w:tcW w:w="3213" w:type="dxa"/>
            <w:tcBorders>
              <w:top w:val="single" w:sz="2" w:space="0" w:color="auto"/>
              <w:left w:val="single" w:sz="2" w:space="0" w:color="auto"/>
              <w:bottom w:val="single" w:sz="2" w:space="0" w:color="auto"/>
              <w:right w:val="single" w:sz="2" w:space="0" w:color="auto"/>
            </w:tcBorders>
            <w:vAlign w:val="center"/>
          </w:tcPr>
          <w:p w14:paraId="01280F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14,556,320,307.38</w:t>
            </w:r>
          </w:p>
        </w:tc>
      </w:tr>
      <w:tr w:rsidR="00E32FE0" w:rsidRPr="005B5EC1" w14:paraId="4ED780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11169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F9C71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10,794,559,712.92</w:t>
            </w:r>
          </w:p>
        </w:tc>
        <w:tc>
          <w:tcPr>
            <w:tcW w:w="3213" w:type="dxa"/>
            <w:tcBorders>
              <w:top w:val="single" w:sz="2" w:space="0" w:color="auto"/>
              <w:left w:val="single" w:sz="2" w:space="0" w:color="auto"/>
              <w:bottom w:val="single" w:sz="2" w:space="0" w:color="auto"/>
              <w:right w:val="single" w:sz="2" w:space="0" w:color="auto"/>
            </w:tcBorders>
            <w:vAlign w:val="center"/>
          </w:tcPr>
          <w:p w14:paraId="2FCC61F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14,291,607,544.28</w:t>
            </w:r>
          </w:p>
        </w:tc>
      </w:tr>
      <w:tr w:rsidR="00E32FE0" w:rsidRPr="005B5EC1" w14:paraId="0B59E3B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6874D4"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E56BE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E2E43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A0477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8236E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88212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0F10C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365313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614485"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14:paraId="468E9F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879600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991B3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1D50C3"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7BB01D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E68E7C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2A2D7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911AE1"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14:paraId="1AC0FE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E41FB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CEEE6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435EF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14:paraId="5F9F13D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C88DA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34A83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8599B"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353245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439,787,426.72</w:t>
            </w:r>
          </w:p>
        </w:tc>
        <w:tc>
          <w:tcPr>
            <w:tcW w:w="3213" w:type="dxa"/>
            <w:tcBorders>
              <w:top w:val="single" w:sz="2" w:space="0" w:color="auto"/>
              <w:left w:val="single" w:sz="2" w:space="0" w:color="auto"/>
              <w:bottom w:val="single" w:sz="2" w:space="0" w:color="auto"/>
              <w:right w:val="single" w:sz="2" w:space="0" w:color="auto"/>
            </w:tcBorders>
            <w:vAlign w:val="center"/>
          </w:tcPr>
          <w:p w14:paraId="64A905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498,639,640.35</w:t>
            </w:r>
          </w:p>
        </w:tc>
      </w:tr>
      <w:tr w:rsidR="00E32FE0" w:rsidRPr="005B5EC1" w14:paraId="529523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A0C970"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5F5C83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33,928,470.17</w:t>
            </w:r>
          </w:p>
        </w:tc>
        <w:tc>
          <w:tcPr>
            <w:tcW w:w="3213" w:type="dxa"/>
            <w:tcBorders>
              <w:top w:val="single" w:sz="2" w:space="0" w:color="auto"/>
              <w:left w:val="single" w:sz="2" w:space="0" w:color="auto"/>
              <w:bottom w:val="single" w:sz="2" w:space="0" w:color="auto"/>
              <w:right w:val="single" w:sz="2" w:space="0" w:color="auto"/>
            </w:tcBorders>
            <w:vAlign w:val="center"/>
          </w:tcPr>
          <w:p w14:paraId="7B2196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35,104,307.66</w:t>
            </w:r>
          </w:p>
        </w:tc>
      </w:tr>
      <w:tr w:rsidR="00E32FE0" w:rsidRPr="005B5EC1" w14:paraId="32D009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8F06E5"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0085E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227,455,278.46</w:t>
            </w:r>
          </w:p>
        </w:tc>
        <w:tc>
          <w:tcPr>
            <w:tcW w:w="3213" w:type="dxa"/>
            <w:tcBorders>
              <w:top w:val="single" w:sz="2" w:space="0" w:color="auto"/>
              <w:left w:val="single" w:sz="2" w:space="0" w:color="auto"/>
              <w:bottom w:val="single" w:sz="2" w:space="0" w:color="auto"/>
              <w:right w:val="single" w:sz="2" w:space="0" w:color="auto"/>
            </w:tcBorders>
            <w:vAlign w:val="center"/>
          </w:tcPr>
          <w:p w14:paraId="2C2F6F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319,687,293.78</w:t>
            </w:r>
          </w:p>
        </w:tc>
      </w:tr>
      <w:tr w:rsidR="00E32FE0" w:rsidRPr="005B5EC1" w14:paraId="218F45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09F8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0399AC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11,495,730,888.27</w:t>
            </w:r>
          </w:p>
        </w:tc>
        <w:tc>
          <w:tcPr>
            <w:tcW w:w="3213" w:type="dxa"/>
            <w:tcBorders>
              <w:top w:val="single" w:sz="2" w:space="0" w:color="auto"/>
              <w:left w:val="single" w:sz="2" w:space="0" w:color="auto"/>
              <w:bottom w:val="single" w:sz="2" w:space="0" w:color="auto"/>
              <w:right w:val="single" w:sz="2" w:space="0" w:color="auto"/>
            </w:tcBorders>
            <w:vAlign w:val="center"/>
          </w:tcPr>
          <w:p w14:paraId="3976E7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15,145,038,786.07</w:t>
            </w:r>
          </w:p>
        </w:tc>
      </w:tr>
      <w:tr w:rsidR="00E32FE0" w:rsidRPr="005B5EC1" w14:paraId="1AF764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7C23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05750C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393,300,577.06</w:t>
            </w:r>
          </w:p>
        </w:tc>
        <w:tc>
          <w:tcPr>
            <w:tcW w:w="3213" w:type="dxa"/>
            <w:tcBorders>
              <w:top w:val="single" w:sz="2" w:space="0" w:color="auto"/>
              <w:left w:val="single" w:sz="2" w:space="0" w:color="auto"/>
              <w:bottom w:val="single" w:sz="2" w:space="0" w:color="auto"/>
              <w:right w:val="single" w:sz="2" w:space="0" w:color="auto"/>
            </w:tcBorders>
            <w:vAlign w:val="center"/>
          </w:tcPr>
          <w:p w14:paraId="767C55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-588,718,478.69</w:t>
            </w:r>
          </w:p>
        </w:tc>
      </w:tr>
      <w:tr w:rsidR="00E32FE0" w:rsidRPr="005B5EC1" w14:paraId="51CC05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D4220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2A597C"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B7B5F2" w14:textId="77777777" w:rsidR="00E32FE0" w:rsidRPr="005B5EC1" w:rsidRDefault="00E32FE0">
            <w:pPr>
              <w:rPr>
                <w:rFonts w:ascii="Times New Roman" w:hAnsi="Times New Roman" w:cs="Times New Roman"/>
              </w:rPr>
            </w:pPr>
          </w:p>
        </w:tc>
      </w:tr>
      <w:tr w:rsidR="00E32FE0" w:rsidRPr="005B5EC1" w14:paraId="0754659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F00172"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047421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2,904,356.67</w:t>
            </w:r>
          </w:p>
        </w:tc>
        <w:tc>
          <w:tcPr>
            <w:tcW w:w="3213" w:type="dxa"/>
            <w:tcBorders>
              <w:top w:val="single" w:sz="2" w:space="0" w:color="auto"/>
              <w:left w:val="single" w:sz="2" w:space="0" w:color="auto"/>
              <w:bottom w:val="single" w:sz="2" w:space="0" w:color="auto"/>
              <w:right w:val="single" w:sz="2" w:space="0" w:color="auto"/>
            </w:tcBorders>
            <w:vAlign w:val="center"/>
          </w:tcPr>
          <w:p w14:paraId="762F156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1,200,000,000.00</w:t>
            </w:r>
          </w:p>
        </w:tc>
      </w:tr>
      <w:tr w:rsidR="00E32FE0" w:rsidRPr="005B5EC1" w14:paraId="057632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C8FCAF"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892A8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5087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24,000,000.00</w:t>
            </w:r>
          </w:p>
        </w:tc>
      </w:tr>
      <w:tr w:rsidR="00E32FE0" w:rsidRPr="005B5EC1" w14:paraId="1B02E35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6F50AC"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2376A1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586,547.09</w:t>
            </w:r>
          </w:p>
        </w:tc>
        <w:tc>
          <w:tcPr>
            <w:tcW w:w="3213" w:type="dxa"/>
            <w:tcBorders>
              <w:top w:val="single" w:sz="2" w:space="0" w:color="auto"/>
              <w:left w:val="single" w:sz="2" w:space="0" w:color="auto"/>
              <w:bottom w:val="single" w:sz="2" w:space="0" w:color="auto"/>
              <w:right w:val="single" w:sz="2" w:space="0" w:color="auto"/>
            </w:tcBorders>
            <w:vAlign w:val="center"/>
          </w:tcPr>
          <w:p w14:paraId="190CCC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118,872,222.49</w:t>
            </w:r>
          </w:p>
        </w:tc>
      </w:tr>
      <w:tr w:rsidR="00E32FE0" w:rsidRPr="005B5EC1" w14:paraId="3C4390D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D89BDB"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08E008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14,909,810.29</w:t>
            </w:r>
          </w:p>
        </w:tc>
        <w:tc>
          <w:tcPr>
            <w:tcW w:w="3213" w:type="dxa"/>
            <w:tcBorders>
              <w:top w:val="single" w:sz="2" w:space="0" w:color="auto"/>
              <w:left w:val="single" w:sz="2" w:space="0" w:color="auto"/>
              <w:bottom w:val="single" w:sz="2" w:space="0" w:color="auto"/>
              <w:right w:val="single" w:sz="2" w:space="0" w:color="auto"/>
            </w:tcBorders>
            <w:vAlign w:val="center"/>
          </w:tcPr>
          <w:p w14:paraId="15A6D4E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B0D78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1874E8"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504991D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6DC438" w14:textId="499784FB"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EA7C9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D97BA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86879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18,400,714.05</w:t>
            </w:r>
          </w:p>
        </w:tc>
        <w:tc>
          <w:tcPr>
            <w:tcW w:w="3213" w:type="dxa"/>
            <w:tcBorders>
              <w:top w:val="single" w:sz="2" w:space="0" w:color="auto"/>
              <w:left w:val="single" w:sz="2" w:space="0" w:color="auto"/>
              <w:bottom w:val="single" w:sz="2" w:space="0" w:color="auto"/>
              <w:right w:val="single" w:sz="2" w:space="0" w:color="auto"/>
            </w:tcBorders>
            <w:vAlign w:val="center"/>
          </w:tcPr>
          <w:p w14:paraId="0B051F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1,342,872,222.49</w:t>
            </w:r>
          </w:p>
        </w:tc>
      </w:tr>
      <w:tr w:rsidR="00E32FE0" w:rsidRPr="005B5EC1" w14:paraId="1C636E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F5A878"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C4CEC1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145,290,398.54</w:t>
            </w:r>
          </w:p>
        </w:tc>
        <w:tc>
          <w:tcPr>
            <w:tcW w:w="3213" w:type="dxa"/>
            <w:tcBorders>
              <w:top w:val="single" w:sz="2" w:space="0" w:color="auto"/>
              <w:left w:val="single" w:sz="2" w:space="0" w:color="auto"/>
              <w:bottom w:val="single" w:sz="2" w:space="0" w:color="auto"/>
              <w:right w:val="single" w:sz="2" w:space="0" w:color="auto"/>
            </w:tcBorders>
            <w:vAlign w:val="center"/>
          </w:tcPr>
          <w:p w14:paraId="4E0B23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424,592,421.14</w:t>
            </w:r>
          </w:p>
        </w:tc>
      </w:tr>
      <w:tr w:rsidR="00E32FE0" w:rsidRPr="005B5EC1" w14:paraId="1DCCF6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96AE83"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8B1A3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63,475,647.42</w:t>
            </w:r>
          </w:p>
        </w:tc>
        <w:tc>
          <w:tcPr>
            <w:tcW w:w="3213" w:type="dxa"/>
            <w:tcBorders>
              <w:top w:val="single" w:sz="2" w:space="0" w:color="auto"/>
              <w:left w:val="single" w:sz="2" w:space="0" w:color="auto"/>
              <w:bottom w:val="single" w:sz="2" w:space="0" w:color="auto"/>
              <w:right w:val="single" w:sz="2" w:space="0" w:color="auto"/>
            </w:tcBorders>
            <w:vAlign w:val="center"/>
          </w:tcPr>
          <w:p w14:paraId="21DFB2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623,313,809.04</w:t>
            </w:r>
          </w:p>
        </w:tc>
      </w:tr>
      <w:tr w:rsidR="00E32FE0" w:rsidRPr="005B5EC1" w14:paraId="44929F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13FD70"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28EE9F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6DE90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75881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006394"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1F8FF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7A4FE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7D4D7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794FDF"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DF9FE25" w14:textId="1C15843B"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A97AD02" w14:textId="54D575D0"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1AE69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69B3E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12708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208,766,045.96</w:t>
            </w:r>
          </w:p>
        </w:tc>
        <w:tc>
          <w:tcPr>
            <w:tcW w:w="3213" w:type="dxa"/>
            <w:tcBorders>
              <w:top w:val="single" w:sz="2" w:space="0" w:color="auto"/>
              <w:left w:val="single" w:sz="2" w:space="0" w:color="auto"/>
              <w:bottom w:val="single" w:sz="2" w:space="0" w:color="auto"/>
              <w:right w:val="single" w:sz="2" w:space="0" w:color="auto"/>
            </w:tcBorders>
            <w:vAlign w:val="center"/>
          </w:tcPr>
          <w:p w14:paraId="318475F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1,047,906,230.18</w:t>
            </w:r>
          </w:p>
        </w:tc>
      </w:tr>
      <w:tr w:rsidR="00E32FE0" w:rsidRPr="005B5EC1" w14:paraId="7AB715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1285D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70A4FB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-190,365,331.91</w:t>
            </w:r>
          </w:p>
        </w:tc>
        <w:tc>
          <w:tcPr>
            <w:tcW w:w="3213" w:type="dxa"/>
            <w:tcBorders>
              <w:top w:val="single" w:sz="2" w:space="0" w:color="auto"/>
              <w:left w:val="single" w:sz="2" w:space="0" w:color="auto"/>
              <w:bottom w:val="single" w:sz="2" w:space="0" w:color="auto"/>
              <w:right w:val="single" w:sz="2" w:space="0" w:color="auto"/>
            </w:tcBorders>
            <w:vAlign w:val="center"/>
          </w:tcPr>
          <w:p w14:paraId="0452E2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294,965,992.31</w:t>
            </w:r>
          </w:p>
        </w:tc>
      </w:tr>
      <w:tr w:rsidR="00E32FE0" w:rsidRPr="005B5EC1" w14:paraId="3A0AFF3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D0A2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ED4EFC"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CFBFC4E" w14:textId="77777777" w:rsidR="00E32FE0" w:rsidRPr="005B5EC1" w:rsidRDefault="00E32FE0">
            <w:pPr>
              <w:rPr>
                <w:rFonts w:ascii="Times New Roman" w:hAnsi="Times New Roman" w:cs="Times New Roman"/>
              </w:rPr>
            </w:pPr>
          </w:p>
        </w:tc>
      </w:tr>
      <w:tr w:rsidR="00E32FE0" w:rsidRPr="005B5EC1" w14:paraId="212C15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EEF598"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34509C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428,220.00</w:t>
            </w:r>
          </w:p>
        </w:tc>
        <w:tc>
          <w:tcPr>
            <w:tcW w:w="3213" w:type="dxa"/>
            <w:tcBorders>
              <w:top w:val="single" w:sz="2" w:space="0" w:color="auto"/>
              <w:left w:val="single" w:sz="2" w:space="0" w:color="auto"/>
              <w:bottom w:val="single" w:sz="2" w:space="0" w:color="auto"/>
              <w:right w:val="single" w:sz="2" w:space="0" w:color="auto"/>
            </w:tcBorders>
            <w:vAlign w:val="center"/>
          </w:tcPr>
          <w:p w14:paraId="1396F4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3,786,675.95</w:t>
            </w:r>
          </w:p>
        </w:tc>
      </w:tr>
      <w:tr w:rsidR="00E32FE0" w:rsidRPr="005B5EC1" w14:paraId="535400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428F4C"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B8013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428,220.00</w:t>
            </w:r>
          </w:p>
        </w:tc>
        <w:tc>
          <w:tcPr>
            <w:tcW w:w="3213" w:type="dxa"/>
            <w:tcBorders>
              <w:top w:val="single" w:sz="2" w:space="0" w:color="auto"/>
              <w:left w:val="single" w:sz="2" w:space="0" w:color="auto"/>
              <w:bottom w:val="single" w:sz="2" w:space="0" w:color="auto"/>
              <w:right w:val="single" w:sz="2" w:space="0" w:color="auto"/>
            </w:tcBorders>
            <w:vAlign w:val="center"/>
          </w:tcPr>
          <w:p w14:paraId="1B742FA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700F7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A7772C"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B93B6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1,123,989,741.43</w:t>
            </w:r>
          </w:p>
        </w:tc>
        <w:tc>
          <w:tcPr>
            <w:tcW w:w="3213" w:type="dxa"/>
            <w:tcBorders>
              <w:top w:val="single" w:sz="2" w:space="0" w:color="auto"/>
              <w:left w:val="single" w:sz="2" w:space="0" w:color="auto"/>
              <w:bottom w:val="single" w:sz="2" w:space="0" w:color="auto"/>
              <w:right w:val="single" w:sz="2" w:space="0" w:color="auto"/>
            </w:tcBorders>
            <w:vAlign w:val="center"/>
          </w:tcPr>
          <w:p w14:paraId="5CC9DBC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1,951,771,588.17</w:t>
            </w:r>
          </w:p>
        </w:tc>
      </w:tr>
      <w:tr w:rsidR="00E32FE0" w:rsidRPr="005B5EC1" w14:paraId="61A96C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258DAE"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AB8FB3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1,507,725,108.63</w:t>
            </w:r>
          </w:p>
        </w:tc>
        <w:tc>
          <w:tcPr>
            <w:tcW w:w="3213" w:type="dxa"/>
            <w:tcBorders>
              <w:top w:val="single" w:sz="2" w:space="0" w:color="auto"/>
              <w:left w:val="single" w:sz="2" w:space="0" w:color="auto"/>
              <w:bottom w:val="single" w:sz="2" w:space="0" w:color="auto"/>
              <w:right w:val="single" w:sz="2" w:space="0" w:color="auto"/>
            </w:tcBorders>
            <w:vAlign w:val="center"/>
          </w:tcPr>
          <w:p w14:paraId="65895C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1,455,322,585.49</w:t>
            </w:r>
          </w:p>
        </w:tc>
      </w:tr>
      <w:tr w:rsidR="00E32FE0" w:rsidRPr="005B5EC1" w14:paraId="7535F72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B8EDD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408A63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2,632,143,070.06</w:t>
            </w:r>
          </w:p>
        </w:tc>
        <w:tc>
          <w:tcPr>
            <w:tcW w:w="3213" w:type="dxa"/>
            <w:tcBorders>
              <w:top w:val="single" w:sz="2" w:space="0" w:color="auto"/>
              <w:left w:val="single" w:sz="2" w:space="0" w:color="auto"/>
              <w:bottom w:val="single" w:sz="2" w:space="0" w:color="auto"/>
              <w:right w:val="single" w:sz="2" w:space="0" w:color="auto"/>
            </w:tcBorders>
            <w:vAlign w:val="center"/>
          </w:tcPr>
          <w:p w14:paraId="180E3C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3,410,880,849.61</w:t>
            </w:r>
          </w:p>
        </w:tc>
      </w:tr>
      <w:tr w:rsidR="00E32FE0" w:rsidRPr="005B5EC1" w14:paraId="7DAF5D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57EF75"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28A363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1,426,298,573.22</w:t>
            </w:r>
          </w:p>
        </w:tc>
        <w:tc>
          <w:tcPr>
            <w:tcW w:w="3213" w:type="dxa"/>
            <w:tcBorders>
              <w:top w:val="single" w:sz="2" w:space="0" w:color="auto"/>
              <w:left w:val="single" w:sz="2" w:space="0" w:color="auto"/>
              <w:bottom w:val="single" w:sz="2" w:space="0" w:color="auto"/>
              <w:right w:val="single" w:sz="2" w:space="0" w:color="auto"/>
            </w:tcBorders>
            <w:vAlign w:val="center"/>
          </w:tcPr>
          <w:p w14:paraId="3B4FC1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1,583,809,757.37</w:t>
            </w:r>
          </w:p>
        </w:tc>
      </w:tr>
      <w:tr w:rsidR="00E32FE0" w:rsidRPr="005B5EC1" w14:paraId="2C2942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AE887E"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1B72F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82,011,892.36</w:t>
            </w:r>
          </w:p>
        </w:tc>
        <w:tc>
          <w:tcPr>
            <w:tcW w:w="3213" w:type="dxa"/>
            <w:tcBorders>
              <w:top w:val="single" w:sz="2" w:space="0" w:color="auto"/>
              <w:left w:val="single" w:sz="2" w:space="0" w:color="auto"/>
              <w:bottom w:val="single" w:sz="2" w:space="0" w:color="auto"/>
              <w:right w:val="single" w:sz="2" w:space="0" w:color="auto"/>
            </w:tcBorders>
            <w:vAlign w:val="center"/>
          </w:tcPr>
          <w:p w14:paraId="6BB57A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67,400,303.16</w:t>
            </w:r>
          </w:p>
        </w:tc>
      </w:tr>
      <w:tr w:rsidR="00E32FE0" w:rsidRPr="005B5EC1" w14:paraId="0E055A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DE0DEC"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14:paraId="72C8FD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3B9127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F1C08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6379D3"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49457F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1,612,019,242.69</w:t>
            </w:r>
          </w:p>
        </w:tc>
        <w:tc>
          <w:tcPr>
            <w:tcW w:w="3213" w:type="dxa"/>
            <w:tcBorders>
              <w:top w:val="single" w:sz="2" w:space="0" w:color="auto"/>
              <w:left w:val="single" w:sz="2" w:space="0" w:color="auto"/>
              <w:bottom w:val="single" w:sz="2" w:space="0" w:color="auto"/>
              <w:right w:val="single" w:sz="2" w:space="0" w:color="auto"/>
            </w:tcBorders>
            <w:vAlign w:val="center"/>
          </w:tcPr>
          <w:p w14:paraId="0A2CAE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1,311,786,153.70</w:t>
            </w:r>
          </w:p>
        </w:tc>
      </w:tr>
      <w:tr w:rsidR="00E32FE0" w:rsidRPr="005B5EC1" w14:paraId="34D4EA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8D28C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3F633F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3,120,329,708.27</w:t>
            </w:r>
          </w:p>
        </w:tc>
        <w:tc>
          <w:tcPr>
            <w:tcW w:w="3213" w:type="dxa"/>
            <w:tcBorders>
              <w:top w:val="single" w:sz="2" w:space="0" w:color="auto"/>
              <w:left w:val="single" w:sz="2" w:space="0" w:color="auto"/>
              <w:bottom w:val="single" w:sz="2" w:space="0" w:color="auto"/>
              <w:right w:val="single" w:sz="2" w:space="0" w:color="auto"/>
            </w:tcBorders>
            <w:vAlign w:val="center"/>
          </w:tcPr>
          <w:p w14:paraId="5D983F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2,962,996,214.23</w:t>
            </w:r>
          </w:p>
        </w:tc>
      </w:tr>
      <w:tr w:rsidR="00E32FE0" w:rsidRPr="005B5EC1" w14:paraId="282267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4084F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31394D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-488,186,638.21</w:t>
            </w:r>
          </w:p>
        </w:tc>
        <w:tc>
          <w:tcPr>
            <w:tcW w:w="3213" w:type="dxa"/>
            <w:tcBorders>
              <w:top w:val="single" w:sz="2" w:space="0" w:color="auto"/>
              <w:left w:val="single" w:sz="2" w:space="0" w:color="auto"/>
              <w:bottom w:val="single" w:sz="2" w:space="0" w:color="auto"/>
              <w:right w:val="single" w:sz="2" w:space="0" w:color="auto"/>
            </w:tcBorders>
            <w:vAlign w:val="center"/>
          </w:tcPr>
          <w:p w14:paraId="7E5544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447,884,635.38</w:t>
            </w:r>
          </w:p>
        </w:tc>
      </w:tr>
      <w:tr w:rsidR="00E32FE0" w:rsidRPr="005B5EC1" w14:paraId="1FBFDEF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ED1D7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058F4F1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1,832.64</w:t>
            </w:r>
          </w:p>
        </w:tc>
        <w:tc>
          <w:tcPr>
            <w:tcW w:w="3213" w:type="dxa"/>
            <w:tcBorders>
              <w:top w:val="single" w:sz="2" w:space="0" w:color="auto"/>
              <w:left w:val="single" w:sz="2" w:space="0" w:color="auto"/>
              <w:bottom w:val="single" w:sz="2" w:space="0" w:color="auto"/>
              <w:right w:val="single" w:sz="2" w:space="0" w:color="auto"/>
            </w:tcBorders>
            <w:vAlign w:val="center"/>
          </w:tcPr>
          <w:p w14:paraId="65DB0E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64,071.20</w:t>
            </w:r>
          </w:p>
        </w:tc>
      </w:tr>
      <w:tr w:rsidR="00E32FE0" w:rsidRPr="005B5EC1" w14:paraId="1ACF81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D85D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6D89C5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-285,249,560.42</w:t>
            </w:r>
          </w:p>
        </w:tc>
        <w:tc>
          <w:tcPr>
            <w:tcW w:w="3213" w:type="dxa"/>
            <w:tcBorders>
              <w:top w:val="single" w:sz="2" w:space="0" w:color="auto"/>
              <w:left w:val="single" w:sz="2" w:space="0" w:color="auto"/>
              <w:bottom w:val="single" w:sz="2" w:space="0" w:color="auto"/>
              <w:right w:val="single" w:sz="2" w:space="0" w:color="auto"/>
            </w:tcBorders>
            <w:vAlign w:val="center"/>
          </w:tcPr>
          <w:p w14:paraId="595E89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154,196,220.20</w:t>
            </w:r>
          </w:p>
        </w:tc>
      </w:tr>
      <w:tr w:rsidR="00E32FE0" w:rsidRPr="005B5EC1" w14:paraId="26BC477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B622D4"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5762D8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903,314,576.39</w:t>
            </w:r>
          </w:p>
        </w:tc>
        <w:tc>
          <w:tcPr>
            <w:tcW w:w="3213" w:type="dxa"/>
            <w:tcBorders>
              <w:top w:val="single" w:sz="2" w:space="0" w:color="auto"/>
              <w:left w:val="single" w:sz="2" w:space="0" w:color="auto"/>
              <w:bottom w:val="single" w:sz="2" w:space="0" w:color="auto"/>
              <w:right w:val="single" w:sz="2" w:space="0" w:color="auto"/>
            </w:tcBorders>
            <w:vAlign w:val="center"/>
          </w:tcPr>
          <w:p w14:paraId="060C73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749,118,356.19</w:t>
            </w:r>
          </w:p>
        </w:tc>
      </w:tr>
      <w:tr w:rsidR="00E32FE0" w:rsidRPr="005B5EC1" w14:paraId="4D1F02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0F977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1132C99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618,065,015.97</w:t>
            </w:r>
          </w:p>
        </w:tc>
        <w:tc>
          <w:tcPr>
            <w:tcW w:w="3213" w:type="dxa"/>
            <w:tcBorders>
              <w:top w:val="single" w:sz="2" w:space="0" w:color="auto"/>
              <w:left w:val="single" w:sz="2" w:space="0" w:color="auto"/>
              <w:bottom w:val="single" w:sz="2" w:space="0" w:color="auto"/>
              <w:right w:val="single" w:sz="2" w:space="0" w:color="auto"/>
            </w:tcBorders>
            <w:vAlign w:val="center"/>
          </w:tcPr>
          <w:p w14:paraId="646D38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903,314,576.39</w:t>
            </w:r>
          </w:p>
        </w:tc>
      </w:tr>
    </w:tbl>
    <w:p w14:paraId="39A7A9E6" w14:textId="77777777" w:rsidR="00E32FE0" w:rsidRPr="005B5EC1" w:rsidRDefault="00000000">
      <w:pPr>
        <w:pStyle w:val="3"/>
        <w:spacing w:line="280" w:lineRule="exact"/>
        <w:jc w:val="left"/>
        <w:rPr>
          <w:rFonts w:ascii="Times New Roman" w:hAnsi="Times New Roman" w:cs="Times New Roman"/>
          <w:b/>
          <w:bCs/>
        </w:rPr>
      </w:pPr>
      <w:bookmarkStart w:id="168" w:name="_Toc989057"/>
      <w:r w:rsidRPr="005B5EC1">
        <w:rPr>
          <w:rFonts w:ascii="Times New Roman" w:hAnsi="Times New Roman" w:cs="Times New Roman"/>
          <w:b/>
          <w:bCs/>
        </w:rPr>
        <w:lastRenderedPageBreak/>
        <w:t>6</w:t>
      </w:r>
      <w:r w:rsidRPr="005B5EC1">
        <w:rPr>
          <w:rFonts w:ascii="Times New Roman" w:hAnsi="Times New Roman" w:cs="Times New Roman"/>
          <w:b/>
          <w:bCs/>
        </w:rPr>
        <w:t>、母公司现金流量表</w:t>
      </w:r>
      <w:bookmarkEnd w:id="168"/>
    </w:p>
    <w:p w14:paraId="702DAE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1DAD2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84A055"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07A722"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A39D6A"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w:t>
            </w:r>
          </w:p>
        </w:tc>
      </w:tr>
      <w:tr w:rsidR="00E32FE0" w:rsidRPr="005B5EC1" w14:paraId="5FC540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BA63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75862B"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A8E0CE" w14:textId="77777777" w:rsidR="00E32FE0" w:rsidRPr="005B5EC1" w:rsidRDefault="00E32FE0">
            <w:pPr>
              <w:rPr>
                <w:rFonts w:ascii="Times New Roman" w:hAnsi="Times New Roman" w:cs="Times New Roman"/>
              </w:rPr>
            </w:pPr>
          </w:p>
        </w:tc>
      </w:tr>
      <w:tr w:rsidR="00E32FE0" w:rsidRPr="005B5EC1" w14:paraId="6311E3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387292"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99018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4,664,749,608.87</w:t>
            </w:r>
          </w:p>
        </w:tc>
        <w:tc>
          <w:tcPr>
            <w:tcW w:w="3213" w:type="dxa"/>
            <w:tcBorders>
              <w:top w:val="single" w:sz="2" w:space="0" w:color="auto"/>
              <w:left w:val="single" w:sz="2" w:space="0" w:color="auto"/>
              <w:bottom w:val="single" w:sz="2" w:space="0" w:color="auto"/>
              <w:right w:val="single" w:sz="2" w:space="0" w:color="auto"/>
            </w:tcBorders>
            <w:vAlign w:val="center"/>
          </w:tcPr>
          <w:p w14:paraId="57F813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5,866,301,773.11</w:t>
            </w:r>
          </w:p>
        </w:tc>
      </w:tr>
      <w:tr w:rsidR="00E32FE0" w:rsidRPr="005B5EC1" w14:paraId="56E617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472952"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14:paraId="0509154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82A4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27,487,047.87</w:t>
            </w:r>
          </w:p>
        </w:tc>
      </w:tr>
      <w:tr w:rsidR="00E32FE0" w:rsidRPr="005B5EC1" w14:paraId="090F8A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2C2103"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BFB4E8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48,317,038.86</w:t>
            </w:r>
          </w:p>
        </w:tc>
        <w:tc>
          <w:tcPr>
            <w:tcW w:w="3213" w:type="dxa"/>
            <w:tcBorders>
              <w:top w:val="single" w:sz="2" w:space="0" w:color="auto"/>
              <w:left w:val="single" w:sz="2" w:space="0" w:color="auto"/>
              <w:bottom w:val="single" w:sz="2" w:space="0" w:color="auto"/>
              <w:right w:val="single" w:sz="2" w:space="0" w:color="auto"/>
            </w:tcBorders>
            <w:vAlign w:val="center"/>
          </w:tcPr>
          <w:p w14:paraId="32FF59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69,272,029.72</w:t>
            </w:r>
          </w:p>
        </w:tc>
      </w:tr>
      <w:tr w:rsidR="00E32FE0" w:rsidRPr="005B5EC1" w14:paraId="180669E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30B99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4C4DBD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4,713,066,647.73</w:t>
            </w:r>
          </w:p>
        </w:tc>
        <w:tc>
          <w:tcPr>
            <w:tcW w:w="3213" w:type="dxa"/>
            <w:tcBorders>
              <w:top w:val="single" w:sz="2" w:space="0" w:color="auto"/>
              <w:left w:val="single" w:sz="2" w:space="0" w:color="auto"/>
              <w:bottom w:val="single" w:sz="2" w:space="0" w:color="auto"/>
              <w:right w:val="single" w:sz="2" w:space="0" w:color="auto"/>
            </w:tcBorders>
            <w:vAlign w:val="center"/>
          </w:tcPr>
          <w:p w14:paraId="5D6C1F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5,963,060,850.70</w:t>
            </w:r>
          </w:p>
        </w:tc>
      </w:tr>
      <w:tr w:rsidR="00E32FE0" w:rsidRPr="005B5EC1" w14:paraId="5C6DBC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19E43D"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155D4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4,376,390,691.78</w:t>
            </w:r>
          </w:p>
        </w:tc>
        <w:tc>
          <w:tcPr>
            <w:tcW w:w="3213" w:type="dxa"/>
            <w:tcBorders>
              <w:top w:val="single" w:sz="2" w:space="0" w:color="auto"/>
              <w:left w:val="single" w:sz="2" w:space="0" w:color="auto"/>
              <w:bottom w:val="single" w:sz="2" w:space="0" w:color="auto"/>
              <w:right w:val="single" w:sz="2" w:space="0" w:color="auto"/>
            </w:tcBorders>
            <w:vAlign w:val="center"/>
          </w:tcPr>
          <w:p w14:paraId="54D076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5,607,436,579.78</w:t>
            </w:r>
          </w:p>
        </w:tc>
      </w:tr>
      <w:tr w:rsidR="00E32FE0" w:rsidRPr="005B5EC1" w14:paraId="64731E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F1F890"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75D9AD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192,891,998.42</w:t>
            </w:r>
          </w:p>
        </w:tc>
        <w:tc>
          <w:tcPr>
            <w:tcW w:w="3213" w:type="dxa"/>
            <w:tcBorders>
              <w:top w:val="single" w:sz="2" w:space="0" w:color="auto"/>
              <w:left w:val="single" w:sz="2" w:space="0" w:color="auto"/>
              <w:bottom w:val="single" w:sz="2" w:space="0" w:color="auto"/>
              <w:right w:val="single" w:sz="2" w:space="0" w:color="auto"/>
            </w:tcBorders>
            <w:vAlign w:val="center"/>
          </w:tcPr>
          <w:p w14:paraId="3AE453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235,659,199.87</w:t>
            </w:r>
          </w:p>
        </w:tc>
      </w:tr>
      <w:tr w:rsidR="00E32FE0" w:rsidRPr="005B5EC1" w14:paraId="64FDBD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7666C8"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14:paraId="6C51C3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14,197,015.54</w:t>
            </w:r>
          </w:p>
        </w:tc>
        <w:tc>
          <w:tcPr>
            <w:tcW w:w="3213" w:type="dxa"/>
            <w:tcBorders>
              <w:top w:val="single" w:sz="2" w:space="0" w:color="auto"/>
              <w:left w:val="single" w:sz="2" w:space="0" w:color="auto"/>
              <w:bottom w:val="single" w:sz="2" w:space="0" w:color="auto"/>
              <w:right w:val="single" w:sz="2" w:space="0" w:color="auto"/>
            </w:tcBorders>
            <w:vAlign w:val="center"/>
          </w:tcPr>
          <w:p w14:paraId="17CE6B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7,357,882.47</w:t>
            </w:r>
          </w:p>
        </w:tc>
      </w:tr>
      <w:tr w:rsidR="00E32FE0" w:rsidRPr="005B5EC1" w14:paraId="0A5877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6447F5"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32975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123,015,809.89</w:t>
            </w:r>
          </w:p>
        </w:tc>
        <w:tc>
          <w:tcPr>
            <w:tcW w:w="3213" w:type="dxa"/>
            <w:tcBorders>
              <w:top w:val="single" w:sz="2" w:space="0" w:color="auto"/>
              <w:left w:val="single" w:sz="2" w:space="0" w:color="auto"/>
              <w:bottom w:val="single" w:sz="2" w:space="0" w:color="auto"/>
              <w:right w:val="single" w:sz="2" w:space="0" w:color="auto"/>
            </w:tcBorders>
            <w:vAlign w:val="center"/>
          </w:tcPr>
          <w:p w14:paraId="088C52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131,965,231.36</w:t>
            </w:r>
          </w:p>
        </w:tc>
      </w:tr>
      <w:tr w:rsidR="00E32FE0" w:rsidRPr="005B5EC1" w14:paraId="42D937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FE560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7E383A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4,706,495,515.63</w:t>
            </w:r>
          </w:p>
        </w:tc>
        <w:tc>
          <w:tcPr>
            <w:tcW w:w="3213" w:type="dxa"/>
            <w:tcBorders>
              <w:top w:val="single" w:sz="2" w:space="0" w:color="auto"/>
              <w:left w:val="single" w:sz="2" w:space="0" w:color="auto"/>
              <w:bottom w:val="single" w:sz="2" w:space="0" w:color="auto"/>
              <w:right w:val="single" w:sz="2" w:space="0" w:color="auto"/>
            </w:tcBorders>
            <w:vAlign w:val="center"/>
          </w:tcPr>
          <w:p w14:paraId="4E26D5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5,982,418,893.48</w:t>
            </w:r>
          </w:p>
        </w:tc>
      </w:tr>
      <w:tr w:rsidR="00E32FE0" w:rsidRPr="005B5EC1" w14:paraId="14EA10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41D5A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52AD7D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6,571,132.10</w:t>
            </w:r>
          </w:p>
        </w:tc>
        <w:tc>
          <w:tcPr>
            <w:tcW w:w="3213" w:type="dxa"/>
            <w:tcBorders>
              <w:top w:val="single" w:sz="2" w:space="0" w:color="auto"/>
              <w:left w:val="single" w:sz="2" w:space="0" w:color="auto"/>
              <w:bottom w:val="single" w:sz="2" w:space="0" w:color="auto"/>
              <w:right w:val="single" w:sz="2" w:space="0" w:color="auto"/>
            </w:tcBorders>
            <w:vAlign w:val="center"/>
          </w:tcPr>
          <w:p w14:paraId="64AE7C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-19,358,042.78</w:t>
            </w:r>
          </w:p>
        </w:tc>
      </w:tr>
      <w:tr w:rsidR="00E32FE0" w:rsidRPr="005B5EC1" w14:paraId="4268D9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7BE04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589BCE"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5DD960" w14:textId="77777777" w:rsidR="00E32FE0" w:rsidRPr="005B5EC1" w:rsidRDefault="00E32FE0">
            <w:pPr>
              <w:rPr>
                <w:rFonts w:ascii="Times New Roman" w:hAnsi="Times New Roman" w:cs="Times New Roman"/>
              </w:rPr>
            </w:pPr>
          </w:p>
        </w:tc>
      </w:tr>
      <w:tr w:rsidR="00E32FE0" w:rsidRPr="005B5EC1" w14:paraId="66C497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6AAC47"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565FEC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16,168,709.25</w:t>
            </w:r>
          </w:p>
        </w:tc>
        <w:tc>
          <w:tcPr>
            <w:tcW w:w="3213" w:type="dxa"/>
            <w:tcBorders>
              <w:top w:val="single" w:sz="2" w:space="0" w:color="auto"/>
              <w:left w:val="single" w:sz="2" w:space="0" w:color="auto"/>
              <w:bottom w:val="single" w:sz="2" w:space="0" w:color="auto"/>
              <w:right w:val="single" w:sz="2" w:space="0" w:color="auto"/>
            </w:tcBorders>
            <w:vAlign w:val="center"/>
          </w:tcPr>
          <w:p w14:paraId="390743E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22A2E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0778B0"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CADBF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89D12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31325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43A9DF"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19D892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867,382.48</w:t>
            </w:r>
          </w:p>
        </w:tc>
        <w:tc>
          <w:tcPr>
            <w:tcW w:w="3213" w:type="dxa"/>
            <w:tcBorders>
              <w:top w:val="single" w:sz="2" w:space="0" w:color="auto"/>
              <w:left w:val="single" w:sz="2" w:space="0" w:color="auto"/>
              <w:bottom w:val="single" w:sz="2" w:space="0" w:color="auto"/>
              <w:right w:val="single" w:sz="2" w:space="0" w:color="auto"/>
            </w:tcBorders>
            <w:vAlign w:val="center"/>
          </w:tcPr>
          <w:p w14:paraId="246C8AB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1,944,888.97</w:t>
            </w:r>
          </w:p>
        </w:tc>
      </w:tr>
      <w:tr w:rsidR="00E32FE0" w:rsidRPr="005B5EC1" w14:paraId="44A18D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95DCC9"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043D7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9EB56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BC905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C6EE98"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5EBBDE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1,303,928,709.28</w:t>
            </w:r>
          </w:p>
        </w:tc>
        <w:tc>
          <w:tcPr>
            <w:tcW w:w="3213" w:type="dxa"/>
            <w:tcBorders>
              <w:top w:val="single" w:sz="2" w:space="0" w:color="auto"/>
              <w:left w:val="single" w:sz="2" w:space="0" w:color="auto"/>
              <w:bottom w:val="single" w:sz="2" w:space="0" w:color="auto"/>
              <w:right w:val="single" w:sz="2" w:space="0" w:color="auto"/>
            </w:tcBorders>
            <w:vAlign w:val="center"/>
          </w:tcPr>
          <w:p w14:paraId="68504D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1,125,593,918.70</w:t>
            </w:r>
          </w:p>
        </w:tc>
      </w:tr>
      <w:tr w:rsidR="00E32FE0" w:rsidRPr="005B5EC1" w14:paraId="347103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DD8D9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38E27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1,320,964,801.01</w:t>
            </w:r>
          </w:p>
        </w:tc>
        <w:tc>
          <w:tcPr>
            <w:tcW w:w="3213" w:type="dxa"/>
            <w:tcBorders>
              <w:top w:val="single" w:sz="2" w:space="0" w:color="auto"/>
              <w:left w:val="single" w:sz="2" w:space="0" w:color="auto"/>
              <w:bottom w:val="single" w:sz="2" w:space="0" w:color="auto"/>
              <w:right w:val="single" w:sz="2" w:space="0" w:color="auto"/>
            </w:tcBorders>
            <w:vAlign w:val="center"/>
          </w:tcPr>
          <w:p w14:paraId="5FA0BC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1,127,538,807.67</w:t>
            </w:r>
          </w:p>
        </w:tc>
      </w:tr>
      <w:tr w:rsidR="00E32FE0" w:rsidRPr="005B5EC1" w14:paraId="67F404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B108C5"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18AA4D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19,343,376.77</w:t>
            </w:r>
          </w:p>
        </w:tc>
        <w:tc>
          <w:tcPr>
            <w:tcW w:w="3213" w:type="dxa"/>
            <w:tcBorders>
              <w:top w:val="single" w:sz="2" w:space="0" w:color="auto"/>
              <w:left w:val="single" w:sz="2" w:space="0" w:color="auto"/>
              <w:bottom w:val="single" w:sz="2" w:space="0" w:color="auto"/>
              <w:right w:val="single" w:sz="2" w:space="0" w:color="auto"/>
            </w:tcBorders>
            <w:vAlign w:val="center"/>
          </w:tcPr>
          <w:p w14:paraId="5873A7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6,767,431.76</w:t>
            </w:r>
          </w:p>
        </w:tc>
      </w:tr>
      <w:tr w:rsidR="00E32FE0" w:rsidRPr="005B5EC1" w14:paraId="12B5D14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529B8F"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57266D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181,740,000.00</w:t>
            </w:r>
          </w:p>
        </w:tc>
        <w:tc>
          <w:tcPr>
            <w:tcW w:w="3213" w:type="dxa"/>
            <w:tcBorders>
              <w:top w:val="single" w:sz="2" w:space="0" w:color="auto"/>
              <w:left w:val="single" w:sz="2" w:space="0" w:color="auto"/>
              <w:bottom w:val="single" w:sz="2" w:space="0" w:color="auto"/>
              <w:right w:val="single" w:sz="2" w:space="0" w:color="auto"/>
            </w:tcBorders>
            <w:vAlign w:val="center"/>
          </w:tcPr>
          <w:p w14:paraId="784F3B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173,313,809.04</w:t>
            </w:r>
          </w:p>
        </w:tc>
      </w:tr>
      <w:tr w:rsidR="00E32FE0" w:rsidRPr="005B5EC1" w14:paraId="614FED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2A9EC8"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14:paraId="521A40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29C3F8" w14:textId="6C19F515"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DF10D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6613C7"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31118BD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1,343,566,019.19</w:t>
            </w:r>
          </w:p>
        </w:tc>
        <w:tc>
          <w:tcPr>
            <w:tcW w:w="3213" w:type="dxa"/>
            <w:tcBorders>
              <w:top w:val="single" w:sz="2" w:space="0" w:color="auto"/>
              <w:left w:val="single" w:sz="2" w:space="0" w:color="auto"/>
              <w:bottom w:val="single" w:sz="2" w:space="0" w:color="auto"/>
              <w:right w:val="single" w:sz="2" w:space="0" w:color="auto"/>
            </w:tcBorders>
            <w:vAlign w:val="center"/>
          </w:tcPr>
          <w:p w14:paraId="092F7D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889,058,000.00</w:t>
            </w:r>
          </w:p>
        </w:tc>
      </w:tr>
      <w:tr w:rsidR="00E32FE0" w:rsidRPr="005B5EC1" w14:paraId="1229A1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93479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42E80B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1,544,649,395.96</w:t>
            </w:r>
          </w:p>
        </w:tc>
        <w:tc>
          <w:tcPr>
            <w:tcW w:w="3213" w:type="dxa"/>
            <w:tcBorders>
              <w:top w:val="single" w:sz="2" w:space="0" w:color="auto"/>
              <w:left w:val="single" w:sz="2" w:space="0" w:color="auto"/>
              <w:bottom w:val="single" w:sz="2" w:space="0" w:color="auto"/>
              <w:right w:val="single" w:sz="2" w:space="0" w:color="auto"/>
            </w:tcBorders>
            <w:vAlign w:val="center"/>
          </w:tcPr>
          <w:p w14:paraId="670DA9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1,069,139,240.80</w:t>
            </w:r>
          </w:p>
        </w:tc>
      </w:tr>
      <w:tr w:rsidR="00E32FE0" w:rsidRPr="005B5EC1" w14:paraId="7651F0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2487D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2E7CC1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-223,684,594.95</w:t>
            </w:r>
          </w:p>
        </w:tc>
        <w:tc>
          <w:tcPr>
            <w:tcW w:w="3213" w:type="dxa"/>
            <w:tcBorders>
              <w:top w:val="single" w:sz="2" w:space="0" w:color="auto"/>
              <w:left w:val="single" w:sz="2" w:space="0" w:color="auto"/>
              <w:bottom w:val="single" w:sz="2" w:space="0" w:color="auto"/>
              <w:right w:val="single" w:sz="2" w:space="0" w:color="auto"/>
            </w:tcBorders>
            <w:vAlign w:val="center"/>
          </w:tcPr>
          <w:p w14:paraId="032325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58,399,566.87</w:t>
            </w:r>
          </w:p>
        </w:tc>
      </w:tr>
      <w:tr w:rsidR="00E32FE0" w:rsidRPr="005B5EC1" w14:paraId="563B36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7E1A6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C83923"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44CB61" w14:textId="77777777" w:rsidR="00E32FE0" w:rsidRPr="005B5EC1" w:rsidRDefault="00E32FE0">
            <w:pPr>
              <w:rPr>
                <w:rFonts w:ascii="Times New Roman" w:hAnsi="Times New Roman" w:cs="Times New Roman"/>
              </w:rPr>
            </w:pPr>
          </w:p>
        </w:tc>
      </w:tr>
      <w:tr w:rsidR="00E32FE0" w:rsidRPr="005B5EC1" w14:paraId="60F0F5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93C88A"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1881197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BBDBE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3,786,675.95</w:t>
            </w:r>
          </w:p>
        </w:tc>
      </w:tr>
      <w:tr w:rsidR="00E32FE0" w:rsidRPr="005B5EC1" w14:paraId="2376D9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FAB6A3"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2B3D454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414,360,000.00</w:t>
            </w:r>
          </w:p>
        </w:tc>
        <w:tc>
          <w:tcPr>
            <w:tcW w:w="3213" w:type="dxa"/>
            <w:tcBorders>
              <w:top w:val="single" w:sz="2" w:space="0" w:color="auto"/>
              <w:left w:val="single" w:sz="2" w:space="0" w:color="auto"/>
              <w:bottom w:val="single" w:sz="2" w:space="0" w:color="auto"/>
              <w:right w:val="single" w:sz="2" w:space="0" w:color="auto"/>
            </w:tcBorders>
            <w:vAlign w:val="center"/>
          </w:tcPr>
          <w:p w14:paraId="6897D2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784,200,000.00</w:t>
            </w:r>
          </w:p>
        </w:tc>
      </w:tr>
      <w:tr w:rsidR="00E32FE0" w:rsidRPr="005B5EC1" w14:paraId="14D505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784EE7"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1F77BC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2,627,256,305.48</w:t>
            </w:r>
          </w:p>
        </w:tc>
        <w:tc>
          <w:tcPr>
            <w:tcW w:w="3213" w:type="dxa"/>
            <w:tcBorders>
              <w:top w:val="single" w:sz="2" w:space="0" w:color="auto"/>
              <w:left w:val="single" w:sz="2" w:space="0" w:color="auto"/>
              <w:bottom w:val="single" w:sz="2" w:space="0" w:color="auto"/>
              <w:right w:val="single" w:sz="2" w:space="0" w:color="auto"/>
            </w:tcBorders>
            <w:vAlign w:val="center"/>
          </w:tcPr>
          <w:p w14:paraId="4F8DFA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1,720,622,765.08</w:t>
            </w:r>
          </w:p>
        </w:tc>
      </w:tr>
      <w:tr w:rsidR="00E32FE0" w:rsidRPr="005B5EC1" w14:paraId="75029C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32622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14:paraId="66EC87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3,041,616,305.48</w:t>
            </w:r>
          </w:p>
        </w:tc>
        <w:tc>
          <w:tcPr>
            <w:tcW w:w="3213" w:type="dxa"/>
            <w:tcBorders>
              <w:top w:val="single" w:sz="2" w:space="0" w:color="auto"/>
              <w:left w:val="single" w:sz="2" w:space="0" w:color="auto"/>
              <w:bottom w:val="single" w:sz="2" w:space="0" w:color="auto"/>
              <w:right w:val="single" w:sz="2" w:space="0" w:color="auto"/>
            </w:tcBorders>
            <w:vAlign w:val="center"/>
          </w:tcPr>
          <w:p w14:paraId="1B2852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2,508,609,441.03</w:t>
            </w:r>
          </w:p>
        </w:tc>
      </w:tr>
      <w:tr w:rsidR="00E32FE0" w:rsidRPr="005B5EC1" w14:paraId="6C8A9E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4CE9DB"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21B431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827,132,243.13</w:t>
            </w:r>
          </w:p>
        </w:tc>
        <w:tc>
          <w:tcPr>
            <w:tcW w:w="3213" w:type="dxa"/>
            <w:tcBorders>
              <w:top w:val="single" w:sz="2" w:space="0" w:color="auto"/>
              <w:left w:val="single" w:sz="2" w:space="0" w:color="auto"/>
              <w:bottom w:val="single" w:sz="2" w:space="0" w:color="auto"/>
              <w:right w:val="single" w:sz="2" w:space="0" w:color="auto"/>
            </w:tcBorders>
            <w:vAlign w:val="center"/>
          </w:tcPr>
          <w:p w14:paraId="18DCE0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900,200,000.00</w:t>
            </w:r>
          </w:p>
        </w:tc>
      </w:tr>
      <w:tr w:rsidR="00E32FE0" w:rsidRPr="005B5EC1" w14:paraId="67FC09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EB5139"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14:paraId="0A97CA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40,905,533.65</w:t>
            </w:r>
          </w:p>
        </w:tc>
        <w:tc>
          <w:tcPr>
            <w:tcW w:w="3213" w:type="dxa"/>
            <w:tcBorders>
              <w:top w:val="single" w:sz="2" w:space="0" w:color="auto"/>
              <w:left w:val="single" w:sz="2" w:space="0" w:color="auto"/>
              <w:bottom w:val="single" w:sz="2" w:space="0" w:color="auto"/>
              <w:right w:val="single" w:sz="2" w:space="0" w:color="auto"/>
            </w:tcBorders>
            <w:vAlign w:val="center"/>
          </w:tcPr>
          <w:p w14:paraId="7C51C4E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42,442,383.55</w:t>
            </w:r>
          </w:p>
        </w:tc>
      </w:tr>
      <w:tr w:rsidR="00E32FE0" w:rsidRPr="005B5EC1" w14:paraId="30CE81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022191"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14:paraId="2BCE8D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2,236,105,218.54</w:t>
            </w:r>
          </w:p>
        </w:tc>
        <w:tc>
          <w:tcPr>
            <w:tcW w:w="3213" w:type="dxa"/>
            <w:tcBorders>
              <w:top w:val="single" w:sz="2" w:space="0" w:color="auto"/>
              <w:left w:val="single" w:sz="2" w:space="0" w:color="auto"/>
              <w:bottom w:val="single" w:sz="2" w:space="0" w:color="auto"/>
              <w:right w:val="single" w:sz="2" w:space="0" w:color="auto"/>
            </w:tcBorders>
            <w:vAlign w:val="center"/>
          </w:tcPr>
          <w:p w14:paraId="2E132D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1,351,112,676.00</w:t>
            </w:r>
          </w:p>
        </w:tc>
      </w:tr>
      <w:tr w:rsidR="00E32FE0" w:rsidRPr="005B5EC1" w14:paraId="215935A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4BF80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14:paraId="6676F2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3,104,142,995.32</w:t>
            </w:r>
          </w:p>
        </w:tc>
        <w:tc>
          <w:tcPr>
            <w:tcW w:w="3213" w:type="dxa"/>
            <w:tcBorders>
              <w:top w:val="single" w:sz="2" w:space="0" w:color="auto"/>
              <w:left w:val="single" w:sz="2" w:space="0" w:color="auto"/>
              <w:bottom w:val="single" w:sz="2" w:space="0" w:color="auto"/>
              <w:right w:val="single" w:sz="2" w:space="0" w:color="auto"/>
            </w:tcBorders>
            <w:vAlign w:val="center"/>
          </w:tcPr>
          <w:p w14:paraId="7C353C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2,293,755,059.55</w:t>
            </w:r>
          </w:p>
        </w:tc>
      </w:tr>
      <w:tr w:rsidR="00E32FE0" w:rsidRPr="005B5EC1" w14:paraId="457386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6BB29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14:paraId="1CB009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-62,526,689.84</w:t>
            </w:r>
          </w:p>
        </w:tc>
        <w:tc>
          <w:tcPr>
            <w:tcW w:w="3213" w:type="dxa"/>
            <w:tcBorders>
              <w:top w:val="single" w:sz="2" w:space="0" w:color="auto"/>
              <w:left w:val="single" w:sz="2" w:space="0" w:color="auto"/>
              <w:bottom w:val="single" w:sz="2" w:space="0" w:color="auto"/>
              <w:right w:val="single" w:sz="2" w:space="0" w:color="auto"/>
            </w:tcBorders>
            <w:vAlign w:val="center"/>
          </w:tcPr>
          <w:p w14:paraId="2861A7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214,854,381.48</w:t>
            </w:r>
          </w:p>
        </w:tc>
      </w:tr>
      <w:tr w:rsidR="00E32FE0" w:rsidRPr="005B5EC1" w14:paraId="2052DA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06B17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14:paraId="27D445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0.01</w:t>
            </w:r>
          </w:p>
        </w:tc>
        <w:tc>
          <w:tcPr>
            <w:tcW w:w="3213" w:type="dxa"/>
            <w:tcBorders>
              <w:top w:val="single" w:sz="2" w:space="0" w:color="auto"/>
              <w:left w:val="single" w:sz="2" w:space="0" w:color="auto"/>
              <w:bottom w:val="single" w:sz="2" w:space="0" w:color="auto"/>
              <w:right w:val="single" w:sz="2" w:space="0" w:color="auto"/>
            </w:tcBorders>
            <w:vAlign w:val="center"/>
          </w:tcPr>
          <w:p w14:paraId="1570B8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428.78</w:t>
            </w:r>
          </w:p>
        </w:tc>
      </w:tr>
      <w:tr w:rsidR="00E32FE0" w:rsidRPr="005B5EC1" w14:paraId="60ABAC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9C82B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14:paraId="004F1B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-279,640,152.68</w:t>
            </w:r>
          </w:p>
        </w:tc>
        <w:tc>
          <w:tcPr>
            <w:tcW w:w="3213" w:type="dxa"/>
            <w:tcBorders>
              <w:top w:val="single" w:sz="2" w:space="0" w:color="auto"/>
              <w:left w:val="single" w:sz="2" w:space="0" w:color="auto"/>
              <w:bottom w:val="single" w:sz="2" w:space="0" w:color="auto"/>
              <w:right w:val="single" w:sz="2" w:space="0" w:color="auto"/>
            </w:tcBorders>
            <w:vAlign w:val="center"/>
          </w:tcPr>
          <w:p w14:paraId="75DAA9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253,896,334.35</w:t>
            </w:r>
          </w:p>
        </w:tc>
      </w:tr>
      <w:tr w:rsidR="00E32FE0" w:rsidRPr="005B5EC1" w14:paraId="298047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06DA76" w14:textId="77777777" w:rsidR="00E32FE0" w:rsidRPr="005B5EC1" w:rsidRDefault="00000000">
            <w:pPr>
              <w:spacing w:after="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62F7C0C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672,111,840.03</w:t>
            </w:r>
          </w:p>
        </w:tc>
        <w:tc>
          <w:tcPr>
            <w:tcW w:w="3213" w:type="dxa"/>
            <w:tcBorders>
              <w:top w:val="single" w:sz="2" w:space="0" w:color="auto"/>
              <w:left w:val="single" w:sz="2" w:space="0" w:color="auto"/>
              <w:bottom w:val="single" w:sz="2" w:space="0" w:color="auto"/>
              <w:right w:val="single" w:sz="2" w:space="0" w:color="auto"/>
            </w:tcBorders>
            <w:vAlign w:val="center"/>
          </w:tcPr>
          <w:p w14:paraId="55AB58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418,215,505.68</w:t>
            </w:r>
          </w:p>
        </w:tc>
      </w:tr>
      <w:tr w:rsidR="00E32FE0" w:rsidRPr="005B5EC1" w14:paraId="4B5120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35A98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14:paraId="5AB6B4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392,471,687.35</w:t>
            </w:r>
          </w:p>
        </w:tc>
        <w:tc>
          <w:tcPr>
            <w:tcW w:w="3213" w:type="dxa"/>
            <w:tcBorders>
              <w:top w:val="single" w:sz="2" w:space="0" w:color="auto"/>
              <w:left w:val="single" w:sz="2" w:space="0" w:color="auto"/>
              <w:bottom w:val="single" w:sz="2" w:space="0" w:color="auto"/>
              <w:right w:val="single" w:sz="2" w:space="0" w:color="auto"/>
            </w:tcBorders>
            <w:vAlign w:val="center"/>
          </w:tcPr>
          <w:p w14:paraId="2E31E5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672,111,840.03</w:t>
            </w:r>
          </w:p>
        </w:tc>
      </w:tr>
    </w:tbl>
    <w:p w14:paraId="2C2C752E" w14:textId="77777777" w:rsidR="004C3D2C" w:rsidRPr="005B5EC1" w:rsidRDefault="004C3D2C" w:rsidP="004C3D2C">
      <w:pPr>
        <w:rPr>
          <w:rFonts w:hint="eastAsia"/>
        </w:rPr>
      </w:pPr>
    </w:p>
    <w:p w14:paraId="37043F2C" w14:textId="77777777" w:rsidR="004C3D2C" w:rsidRPr="005B5EC1" w:rsidRDefault="004C3D2C">
      <w:pPr>
        <w:spacing w:after="0" w:line="240" w:lineRule="exact"/>
        <w:rPr>
          <w:rFonts w:ascii="Times New Roman" w:eastAsia="宋体" w:hAnsi="Times New Roman" w:cs="Times New Roman"/>
          <w:sz w:val="18"/>
          <w:szCs w:val="18"/>
        </w:rPr>
        <w:sectPr w:rsidR="004C3D2C" w:rsidRPr="005B5EC1">
          <w:headerReference w:type="default" r:id="rId9"/>
          <w:footerReference w:type="default" r:id="rId10"/>
          <w:pgSz w:w="11905" w:h="16840"/>
          <w:pgMar w:top="1440" w:right="1134" w:bottom="1440" w:left="1134" w:header="850" w:footer="992" w:gutter="0"/>
          <w:cols w:space="720"/>
          <w:docGrid w:type="linesAndChars" w:linePitch="312"/>
        </w:sectPr>
      </w:pPr>
    </w:p>
    <w:p w14:paraId="69EDA9F3" w14:textId="77777777" w:rsidR="00E71751" w:rsidRPr="005B5EC1" w:rsidRDefault="00E71751" w:rsidP="00E71751">
      <w:pPr>
        <w:pStyle w:val="3"/>
        <w:spacing w:line="280" w:lineRule="exact"/>
        <w:jc w:val="left"/>
        <w:rPr>
          <w:rFonts w:ascii="Times New Roman" w:hAnsi="Times New Roman" w:cs="Times New Roman"/>
          <w:b/>
          <w:bCs/>
        </w:rPr>
      </w:pPr>
      <w:bookmarkStart w:id="169" w:name="_Toc989058"/>
      <w:r w:rsidRPr="005B5EC1">
        <w:rPr>
          <w:rFonts w:ascii="Times New Roman" w:hAnsi="Times New Roman" w:cs="Times New Roman"/>
          <w:b/>
          <w:bCs/>
        </w:rPr>
        <w:lastRenderedPageBreak/>
        <w:t>7</w:t>
      </w:r>
      <w:r w:rsidRPr="005B5EC1">
        <w:rPr>
          <w:rFonts w:ascii="Times New Roman" w:hAnsi="Times New Roman" w:cs="Times New Roman"/>
          <w:b/>
          <w:bCs/>
        </w:rPr>
        <w:t>、合并所有者权益变动表</w:t>
      </w:r>
      <w:bookmarkEnd w:id="169"/>
    </w:p>
    <w:p w14:paraId="3AB19DE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本期金额</w:t>
      </w:r>
    </w:p>
    <w:p w14:paraId="4B02A991"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5397" w:type="dxa"/>
        <w:tblInd w:w="-65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39"/>
        <w:gridCol w:w="1276"/>
        <w:gridCol w:w="283"/>
        <w:gridCol w:w="284"/>
        <w:gridCol w:w="1134"/>
        <w:gridCol w:w="1275"/>
        <w:gridCol w:w="1276"/>
        <w:gridCol w:w="1418"/>
        <w:gridCol w:w="425"/>
        <w:gridCol w:w="1134"/>
        <w:gridCol w:w="425"/>
        <w:gridCol w:w="1276"/>
        <w:gridCol w:w="567"/>
        <w:gridCol w:w="1276"/>
        <w:gridCol w:w="1134"/>
        <w:gridCol w:w="1275"/>
      </w:tblGrid>
      <w:tr w:rsidR="00E32FE0" w:rsidRPr="005B5EC1" w14:paraId="0009857B" w14:textId="77777777" w:rsidTr="004C3D2C">
        <w:trPr>
          <w:trHeight w:val="240"/>
        </w:trPr>
        <w:tc>
          <w:tcPr>
            <w:tcW w:w="93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2FEE9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4458"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09E0618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w:t>
            </w:r>
          </w:p>
        </w:tc>
      </w:tr>
      <w:tr w:rsidR="00E32FE0" w:rsidRPr="005B5EC1" w14:paraId="048EED12" w14:textId="77777777" w:rsidTr="004C3D2C">
        <w:trPr>
          <w:trHeight w:val="240"/>
        </w:trPr>
        <w:tc>
          <w:tcPr>
            <w:tcW w:w="93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8527D94" w14:textId="77777777" w:rsidR="00E32FE0" w:rsidRPr="005B5EC1" w:rsidRDefault="00E32FE0">
            <w:pPr>
              <w:rPr>
                <w:rFonts w:ascii="Times New Roman" w:hAnsi="Times New Roman" w:cs="Times New Roman"/>
              </w:rPr>
            </w:pPr>
          </w:p>
        </w:tc>
        <w:tc>
          <w:tcPr>
            <w:tcW w:w="1204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5FA84B9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归属于母公司所有者权益</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668C986" w14:textId="77777777" w:rsidR="00E32FE0" w:rsidRPr="005B5EC1" w:rsidRDefault="00000000">
            <w:pPr>
              <w:spacing w:before="40" w:after="40" w:line="0" w:lineRule="atLeas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少数股东权益</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07F00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所有者权益合计</w:t>
            </w:r>
          </w:p>
        </w:tc>
      </w:tr>
      <w:tr w:rsidR="004C3D2C" w:rsidRPr="005B5EC1" w14:paraId="57869E38" w14:textId="77777777" w:rsidTr="004C3D2C">
        <w:trPr>
          <w:trHeight w:val="240"/>
        </w:trPr>
        <w:tc>
          <w:tcPr>
            <w:tcW w:w="93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A29806F" w14:textId="77777777" w:rsidR="00E32FE0" w:rsidRPr="005B5EC1" w:rsidRDefault="00E32FE0">
            <w:pPr>
              <w:rPr>
                <w:rFonts w:ascii="Times New Roman" w:hAnsi="Times New Roman" w:cs="Times New Roman"/>
              </w:rPr>
            </w:pP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312BA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股本</w:t>
            </w:r>
          </w:p>
        </w:tc>
        <w:tc>
          <w:tcPr>
            <w:tcW w:w="170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A65170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30AA6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资本公积</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D0602D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减：库存股</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A8C32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其他综合收益</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52C9F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专项储备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E19ED2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盈余公积</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ACD44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一般风险准备</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57939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未分配利润</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C5B06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50CD06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小计</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A4FF94" w14:textId="77777777" w:rsidR="00E32FE0" w:rsidRPr="005B5EC1" w:rsidRDefault="00E32FE0">
            <w:pPr>
              <w:rPr>
                <w:rFonts w:ascii="Times New Roman" w:hAnsi="Times New Roman" w:cs="Times New Roman"/>
              </w:rPr>
            </w:pPr>
          </w:p>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ED8EA7" w14:textId="77777777" w:rsidR="00E32FE0" w:rsidRPr="005B5EC1" w:rsidRDefault="00E32FE0">
            <w:pPr>
              <w:rPr>
                <w:rFonts w:ascii="Times New Roman" w:hAnsi="Times New Roman" w:cs="Times New Roman"/>
              </w:rPr>
            </w:pPr>
          </w:p>
        </w:tc>
      </w:tr>
      <w:tr w:rsidR="004C3D2C" w:rsidRPr="005B5EC1" w14:paraId="109C1951" w14:textId="77777777" w:rsidTr="004C3D2C">
        <w:trPr>
          <w:trHeight w:val="240"/>
        </w:trPr>
        <w:tc>
          <w:tcPr>
            <w:tcW w:w="93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270A66E"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6ADACDE" w14:textId="77777777" w:rsidR="00E32FE0" w:rsidRPr="005B5EC1" w:rsidRDefault="00E32FE0">
            <w:pPr>
              <w:rPr>
                <w:rFonts w:ascii="Times New Roman" w:hAnsi="Times New Roman" w:cs="Times New Roman"/>
              </w:rPr>
            </w:pPr>
          </w:p>
        </w:tc>
        <w:tc>
          <w:tcPr>
            <w:tcW w:w="283" w:type="dxa"/>
            <w:tcBorders>
              <w:top w:val="single" w:sz="2" w:space="0" w:color="auto"/>
              <w:left w:val="single" w:sz="2" w:space="0" w:color="auto"/>
              <w:bottom w:val="single" w:sz="2" w:space="0" w:color="auto"/>
              <w:right w:val="single" w:sz="2" w:space="0" w:color="auto"/>
            </w:tcBorders>
            <w:shd w:val="clear" w:color="auto" w:fill="D3D3D3"/>
            <w:vAlign w:val="center"/>
          </w:tcPr>
          <w:p w14:paraId="1FCD918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优先股</w:t>
            </w:r>
          </w:p>
        </w:tc>
        <w:tc>
          <w:tcPr>
            <w:tcW w:w="284" w:type="dxa"/>
            <w:tcBorders>
              <w:top w:val="single" w:sz="2" w:space="0" w:color="auto"/>
              <w:left w:val="single" w:sz="2" w:space="0" w:color="auto"/>
              <w:bottom w:val="single" w:sz="2" w:space="0" w:color="auto"/>
              <w:right w:val="single" w:sz="2" w:space="0" w:color="auto"/>
            </w:tcBorders>
            <w:shd w:val="clear" w:color="auto" w:fill="D3D3D3"/>
            <w:vAlign w:val="center"/>
          </w:tcPr>
          <w:p w14:paraId="2C538E9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永续债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C927F2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244FB6"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B12C577" w14:textId="77777777" w:rsidR="00E32FE0" w:rsidRPr="005B5EC1" w:rsidRDefault="00E32FE0">
            <w:pPr>
              <w:rPr>
                <w:rFonts w:ascii="Times New Roman"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2E69F5" w14:textId="77777777" w:rsidR="00E32FE0" w:rsidRPr="005B5EC1" w:rsidRDefault="00E32FE0">
            <w:pPr>
              <w:rPr>
                <w:rFonts w:ascii="Times New Roman" w:hAnsi="Times New Roman" w:cs="Times New Roman"/>
              </w:rPr>
            </w:pPr>
          </w:p>
        </w:tc>
        <w:tc>
          <w:tcPr>
            <w:tcW w:w="425" w:type="dxa"/>
            <w:vMerge/>
            <w:tcBorders>
              <w:top w:val="single" w:sz="2" w:space="0" w:color="auto"/>
              <w:left w:val="single" w:sz="2" w:space="0" w:color="auto"/>
              <w:bottom w:val="single" w:sz="2" w:space="0" w:color="auto"/>
              <w:right w:val="single" w:sz="2" w:space="0" w:color="auto"/>
            </w:tcBorders>
            <w:vAlign w:val="center"/>
          </w:tcPr>
          <w:p w14:paraId="01A39C12" w14:textId="77777777" w:rsidR="00E32FE0" w:rsidRPr="005B5EC1" w:rsidRDefault="00E32FE0">
            <w:pPr>
              <w:rPr>
                <w:rFonts w:ascii="Times New Roman"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CA71DA0" w14:textId="77777777" w:rsidR="00E32FE0" w:rsidRPr="005B5EC1" w:rsidRDefault="00E32FE0">
            <w:pPr>
              <w:rPr>
                <w:rFonts w:ascii="Times New Roman" w:hAnsi="Times New Roman" w:cs="Times New Roman"/>
              </w:rPr>
            </w:pPr>
          </w:p>
        </w:tc>
        <w:tc>
          <w:tcPr>
            <w:tcW w:w="42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2288115"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ECCEAE" w14:textId="77777777" w:rsidR="00E32FE0" w:rsidRPr="005B5EC1" w:rsidRDefault="00E32FE0">
            <w:pPr>
              <w:rPr>
                <w:rFonts w:ascii="Times New Roman" w:hAnsi="Times New Roman" w:cs="Times New Roman"/>
              </w:rPr>
            </w:pPr>
          </w:p>
        </w:tc>
        <w:tc>
          <w:tcPr>
            <w:tcW w:w="56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C1D10F"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7E2337" w14:textId="77777777" w:rsidR="00E32FE0" w:rsidRPr="005B5EC1" w:rsidRDefault="00E32FE0">
            <w:pPr>
              <w:rPr>
                <w:rFonts w:ascii="Times New Roman"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D19A4A3" w14:textId="77777777" w:rsidR="00E32FE0" w:rsidRPr="005B5EC1" w:rsidRDefault="00E32FE0">
            <w:pPr>
              <w:rPr>
                <w:rFonts w:ascii="Times New Roman" w:hAnsi="Times New Roman" w:cs="Times New Roman"/>
              </w:rPr>
            </w:pPr>
          </w:p>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BCDC8C6" w14:textId="77777777" w:rsidR="00E32FE0" w:rsidRPr="005B5EC1" w:rsidRDefault="00E32FE0">
            <w:pPr>
              <w:rPr>
                <w:rFonts w:ascii="Times New Roman" w:hAnsi="Times New Roman" w:cs="Times New Roman"/>
              </w:rPr>
            </w:pPr>
          </w:p>
        </w:tc>
      </w:tr>
      <w:tr w:rsidR="004C3D2C" w:rsidRPr="005B5EC1" w14:paraId="20945788"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4F83F38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一、上年期末余额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1423016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1,079,159,832.00</w:t>
            </w:r>
          </w:p>
        </w:tc>
        <w:tc>
          <w:tcPr>
            <w:tcW w:w="283" w:type="dxa"/>
            <w:tcBorders>
              <w:top w:val="single" w:sz="2" w:space="0" w:color="auto"/>
              <w:left w:val="single" w:sz="2" w:space="0" w:color="auto"/>
              <w:bottom w:val="single" w:sz="2" w:space="0" w:color="auto"/>
              <w:right w:val="single" w:sz="2" w:space="0" w:color="auto"/>
            </w:tcBorders>
            <w:vAlign w:val="center"/>
          </w:tcPr>
          <w:p w14:paraId="1DF9811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07DA43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B67A6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c>
          <w:tcPr>
            <w:tcW w:w="1275" w:type="dxa"/>
            <w:tcBorders>
              <w:top w:val="single" w:sz="2" w:space="0" w:color="auto"/>
              <w:left w:val="single" w:sz="2" w:space="0" w:color="auto"/>
              <w:bottom w:val="single" w:sz="2" w:space="0" w:color="auto"/>
              <w:right w:val="single" w:sz="2" w:space="0" w:color="auto"/>
            </w:tcBorders>
            <w:vAlign w:val="center"/>
          </w:tcPr>
          <w:p w14:paraId="327BA65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824,957,421.64</w:t>
            </w:r>
          </w:p>
        </w:tc>
        <w:tc>
          <w:tcPr>
            <w:tcW w:w="1276" w:type="dxa"/>
            <w:tcBorders>
              <w:top w:val="single" w:sz="2" w:space="0" w:color="auto"/>
              <w:left w:val="single" w:sz="2" w:space="0" w:color="auto"/>
              <w:bottom w:val="single" w:sz="2" w:space="0" w:color="auto"/>
              <w:right w:val="single" w:sz="2" w:space="0" w:color="auto"/>
            </w:tcBorders>
            <w:vAlign w:val="center"/>
          </w:tcPr>
          <w:p w14:paraId="4CA851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418" w:type="dxa"/>
            <w:tcBorders>
              <w:top w:val="single" w:sz="2" w:space="0" w:color="auto"/>
              <w:left w:val="single" w:sz="2" w:space="0" w:color="auto"/>
              <w:bottom w:val="single" w:sz="2" w:space="0" w:color="auto"/>
              <w:right w:val="single" w:sz="2" w:space="0" w:color="auto"/>
            </w:tcBorders>
            <w:vAlign w:val="center"/>
          </w:tcPr>
          <w:p w14:paraId="704DB6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705F98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E5A25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425" w:type="dxa"/>
            <w:tcBorders>
              <w:top w:val="single" w:sz="2" w:space="0" w:color="auto"/>
              <w:left w:val="single" w:sz="2" w:space="0" w:color="auto"/>
              <w:bottom w:val="single" w:sz="2" w:space="0" w:color="auto"/>
              <w:right w:val="single" w:sz="2" w:space="0" w:color="auto"/>
            </w:tcBorders>
            <w:vAlign w:val="center"/>
          </w:tcPr>
          <w:p w14:paraId="034BA8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87ED0D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-515,299,374.16</w:t>
            </w:r>
          </w:p>
        </w:tc>
        <w:tc>
          <w:tcPr>
            <w:tcW w:w="567" w:type="dxa"/>
            <w:tcBorders>
              <w:top w:val="single" w:sz="2" w:space="0" w:color="auto"/>
              <w:left w:val="single" w:sz="2" w:space="0" w:color="auto"/>
              <w:bottom w:val="single" w:sz="2" w:space="0" w:color="auto"/>
              <w:right w:val="single" w:sz="2" w:space="0" w:color="auto"/>
            </w:tcBorders>
            <w:vAlign w:val="center"/>
          </w:tcPr>
          <w:p w14:paraId="041F68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40A52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1,481,981,607.33</w:t>
            </w:r>
          </w:p>
        </w:tc>
        <w:tc>
          <w:tcPr>
            <w:tcW w:w="1134" w:type="dxa"/>
            <w:tcBorders>
              <w:top w:val="single" w:sz="2" w:space="0" w:color="auto"/>
              <w:left w:val="single" w:sz="2" w:space="0" w:color="auto"/>
              <w:bottom w:val="single" w:sz="2" w:space="0" w:color="auto"/>
              <w:right w:val="single" w:sz="2" w:space="0" w:color="auto"/>
            </w:tcBorders>
            <w:vAlign w:val="center"/>
          </w:tcPr>
          <w:p w14:paraId="5AFC17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174,979,208.11</w:t>
            </w:r>
          </w:p>
        </w:tc>
        <w:tc>
          <w:tcPr>
            <w:tcW w:w="1275" w:type="dxa"/>
            <w:tcBorders>
              <w:top w:val="single" w:sz="2" w:space="0" w:color="auto"/>
              <w:left w:val="single" w:sz="2" w:space="0" w:color="auto"/>
              <w:bottom w:val="single" w:sz="2" w:space="0" w:color="auto"/>
              <w:right w:val="single" w:sz="2" w:space="0" w:color="auto"/>
            </w:tcBorders>
            <w:vAlign w:val="center"/>
          </w:tcPr>
          <w:p w14:paraId="1429BF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1,656,960,815.44</w:t>
            </w:r>
          </w:p>
        </w:tc>
      </w:tr>
      <w:tr w:rsidR="004C3D2C" w:rsidRPr="005B5EC1" w14:paraId="28C767B8"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75EEBA25" w14:textId="77777777" w:rsidR="00E32FE0" w:rsidRPr="005B5EC1" w:rsidRDefault="00000000" w:rsidP="004C3D2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加：会计政策变更</w:t>
            </w:r>
          </w:p>
        </w:tc>
        <w:tc>
          <w:tcPr>
            <w:tcW w:w="1276" w:type="dxa"/>
            <w:tcBorders>
              <w:top w:val="single" w:sz="2" w:space="0" w:color="auto"/>
              <w:left w:val="single" w:sz="2" w:space="0" w:color="auto"/>
              <w:bottom w:val="single" w:sz="2" w:space="0" w:color="auto"/>
              <w:right w:val="single" w:sz="2" w:space="0" w:color="auto"/>
            </w:tcBorders>
            <w:vAlign w:val="center"/>
          </w:tcPr>
          <w:p w14:paraId="626811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4D632A6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705F06A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8F7FA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420DFB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C3261B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3DB90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9381C4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A237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23128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2FD865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3168B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2E6D8B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1547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454157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09E7D441"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04E2C541" w14:textId="77777777" w:rsidR="00E32FE0" w:rsidRPr="005B5EC1" w:rsidRDefault="00000000" w:rsidP="004C3D2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前期差错更正</w:t>
            </w:r>
          </w:p>
        </w:tc>
        <w:tc>
          <w:tcPr>
            <w:tcW w:w="1276" w:type="dxa"/>
            <w:tcBorders>
              <w:top w:val="single" w:sz="2" w:space="0" w:color="auto"/>
              <w:left w:val="single" w:sz="2" w:space="0" w:color="auto"/>
              <w:bottom w:val="single" w:sz="2" w:space="0" w:color="auto"/>
              <w:right w:val="single" w:sz="2" w:space="0" w:color="auto"/>
            </w:tcBorders>
            <w:vAlign w:val="center"/>
          </w:tcPr>
          <w:p w14:paraId="0AB6061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0413572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750418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91ED8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F6FDB1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3582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CD11E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D8E8F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120E7B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66559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930FC8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754C8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AABCAB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B8C99E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BFA3C4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433D8629"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1DC66E46" w14:textId="77777777" w:rsidR="00E32FE0" w:rsidRPr="005B5EC1" w:rsidRDefault="00000000" w:rsidP="004C3D2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608130C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5739D2E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605BFA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3A998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C5B76C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BE9D9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547694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F9F20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6A679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B9582C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C73C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36F82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7F9D70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6BAF8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DD22E0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02ED6D08"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2A5099C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二、本年期初余额</w:t>
            </w:r>
          </w:p>
        </w:tc>
        <w:tc>
          <w:tcPr>
            <w:tcW w:w="1276" w:type="dxa"/>
            <w:tcBorders>
              <w:top w:val="single" w:sz="2" w:space="0" w:color="auto"/>
              <w:left w:val="single" w:sz="2" w:space="0" w:color="auto"/>
              <w:bottom w:val="single" w:sz="2" w:space="0" w:color="auto"/>
              <w:right w:val="single" w:sz="2" w:space="0" w:color="auto"/>
            </w:tcBorders>
            <w:vAlign w:val="center"/>
          </w:tcPr>
          <w:p w14:paraId="71283A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1,079,159,832.00</w:t>
            </w:r>
          </w:p>
        </w:tc>
        <w:tc>
          <w:tcPr>
            <w:tcW w:w="283" w:type="dxa"/>
            <w:tcBorders>
              <w:top w:val="single" w:sz="2" w:space="0" w:color="auto"/>
              <w:left w:val="single" w:sz="2" w:space="0" w:color="auto"/>
              <w:bottom w:val="single" w:sz="2" w:space="0" w:color="auto"/>
              <w:right w:val="single" w:sz="2" w:space="0" w:color="auto"/>
            </w:tcBorders>
            <w:vAlign w:val="center"/>
          </w:tcPr>
          <w:p w14:paraId="2F6052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1D3C37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3C1FD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c>
          <w:tcPr>
            <w:tcW w:w="1275" w:type="dxa"/>
            <w:tcBorders>
              <w:top w:val="single" w:sz="2" w:space="0" w:color="auto"/>
              <w:left w:val="single" w:sz="2" w:space="0" w:color="auto"/>
              <w:bottom w:val="single" w:sz="2" w:space="0" w:color="auto"/>
              <w:right w:val="single" w:sz="2" w:space="0" w:color="auto"/>
            </w:tcBorders>
            <w:vAlign w:val="center"/>
          </w:tcPr>
          <w:p w14:paraId="5F9DCF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824,957,421.64</w:t>
            </w:r>
          </w:p>
        </w:tc>
        <w:tc>
          <w:tcPr>
            <w:tcW w:w="1276" w:type="dxa"/>
            <w:tcBorders>
              <w:top w:val="single" w:sz="2" w:space="0" w:color="auto"/>
              <w:left w:val="single" w:sz="2" w:space="0" w:color="auto"/>
              <w:bottom w:val="single" w:sz="2" w:space="0" w:color="auto"/>
              <w:right w:val="single" w:sz="2" w:space="0" w:color="auto"/>
            </w:tcBorders>
            <w:vAlign w:val="center"/>
          </w:tcPr>
          <w:p w14:paraId="4436BF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418" w:type="dxa"/>
            <w:tcBorders>
              <w:top w:val="single" w:sz="2" w:space="0" w:color="auto"/>
              <w:left w:val="single" w:sz="2" w:space="0" w:color="auto"/>
              <w:bottom w:val="single" w:sz="2" w:space="0" w:color="auto"/>
              <w:right w:val="single" w:sz="2" w:space="0" w:color="auto"/>
            </w:tcBorders>
            <w:vAlign w:val="center"/>
          </w:tcPr>
          <w:p w14:paraId="035E774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5A12EBC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2ED38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425" w:type="dxa"/>
            <w:tcBorders>
              <w:top w:val="single" w:sz="2" w:space="0" w:color="auto"/>
              <w:left w:val="single" w:sz="2" w:space="0" w:color="auto"/>
              <w:bottom w:val="single" w:sz="2" w:space="0" w:color="auto"/>
              <w:right w:val="single" w:sz="2" w:space="0" w:color="auto"/>
            </w:tcBorders>
            <w:vAlign w:val="center"/>
          </w:tcPr>
          <w:p w14:paraId="0191A1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AE961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-515,299,374.16</w:t>
            </w:r>
          </w:p>
        </w:tc>
        <w:tc>
          <w:tcPr>
            <w:tcW w:w="567" w:type="dxa"/>
            <w:tcBorders>
              <w:top w:val="single" w:sz="2" w:space="0" w:color="auto"/>
              <w:left w:val="single" w:sz="2" w:space="0" w:color="auto"/>
              <w:bottom w:val="single" w:sz="2" w:space="0" w:color="auto"/>
              <w:right w:val="single" w:sz="2" w:space="0" w:color="auto"/>
            </w:tcBorders>
            <w:vAlign w:val="center"/>
          </w:tcPr>
          <w:p w14:paraId="7644D1F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93867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1,481,981,607.33</w:t>
            </w:r>
          </w:p>
        </w:tc>
        <w:tc>
          <w:tcPr>
            <w:tcW w:w="1134" w:type="dxa"/>
            <w:tcBorders>
              <w:top w:val="single" w:sz="2" w:space="0" w:color="auto"/>
              <w:left w:val="single" w:sz="2" w:space="0" w:color="auto"/>
              <w:bottom w:val="single" w:sz="2" w:space="0" w:color="auto"/>
              <w:right w:val="single" w:sz="2" w:space="0" w:color="auto"/>
            </w:tcBorders>
            <w:vAlign w:val="center"/>
          </w:tcPr>
          <w:p w14:paraId="13E925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174,979,208.11</w:t>
            </w:r>
          </w:p>
        </w:tc>
        <w:tc>
          <w:tcPr>
            <w:tcW w:w="1275" w:type="dxa"/>
            <w:tcBorders>
              <w:top w:val="single" w:sz="2" w:space="0" w:color="auto"/>
              <w:left w:val="single" w:sz="2" w:space="0" w:color="auto"/>
              <w:bottom w:val="single" w:sz="2" w:space="0" w:color="auto"/>
              <w:right w:val="single" w:sz="2" w:space="0" w:color="auto"/>
            </w:tcBorders>
            <w:vAlign w:val="center"/>
          </w:tcPr>
          <w:p w14:paraId="7260B4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1,656,960,815.44</w:t>
            </w:r>
          </w:p>
        </w:tc>
      </w:tr>
      <w:tr w:rsidR="004C3D2C" w:rsidRPr="005B5EC1" w14:paraId="6534A3FE"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697C8C6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三、本期增减变动金额（减少以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1276" w:type="dxa"/>
            <w:tcBorders>
              <w:top w:val="single" w:sz="2" w:space="0" w:color="auto"/>
              <w:left w:val="single" w:sz="2" w:space="0" w:color="auto"/>
              <w:bottom w:val="single" w:sz="2" w:space="0" w:color="auto"/>
              <w:right w:val="single" w:sz="2" w:space="0" w:color="auto"/>
            </w:tcBorders>
            <w:vAlign w:val="center"/>
          </w:tcPr>
          <w:p w14:paraId="6A23CDC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429.00</w:t>
            </w:r>
          </w:p>
        </w:tc>
        <w:tc>
          <w:tcPr>
            <w:tcW w:w="283" w:type="dxa"/>
            <w:tcBorders>
              <w:top w:val="single" w:sz="2" w:space="0" w:color="auto"/>
              <w:left w:val="single" w:sz="2" w:space="0" w:color="auto"/>
              <w:bottom w:val="single" w:sz="2" w:space="0" w:color="auto"/>
              <w:right w:val="single" w:sz="2" w:space="0" w:color="auto"/>
            </w:tcBorders>
            <w:vAlign w:val="center"/>
          </w:tcPr>
          <w:p w14:paraId="7A99FAC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0037441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33C1A6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-725.41</w:t>
            </w:r>
          </w:p>
        </w:tc>
        <w:tc>
          <w:tcPr>
            <w:tcW w:w="1275" w:type="dxa"/>
            <w:tcBorders>
              <w:top w:val="single" w:sz="2" w:space="0" w:color="auto"/>
              <w:left w:val="single" w:sz="2" w:space="0" w:color="auto"/>
              <w:bottom w:val="single" w:sz="2" w:space="0" w:color="auto"/>
              <w:right w:val="single" w:sz="2" w:space="0" w:color="auto"/>
            </w:tcBorders>
            <w:vAlign w:val="center"/>
          </w:tcPr>
          <w:p w14:paraId="13CE629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-314,689.36</w:t>
            </w:r>
          </w:p>
        </w:tc>
        <w:tc>
          <w:tcPr>
            <w:tcW w:w="1276" w:type="dxa"/>
            <w:tcBorders>
              <w:top w:val="single" w:sz="2" w:space="0" w:color="auto"/>
              <w:left w:val="single" w:sz="2" w:space="0" w:color="auto"/>
              <w:bottom w:val="single" w:sz="2" w:space="0" w:color="auto"/>
              <w:right w:val="single" w:sz="2" w:space="0" w:color="auto"/>
            </w:tcBorders>
            <w:vAlign w:val="center"/>
          </w:tcPr>
          <w:p w14:paraId="6FA872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C33DA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C5A73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51A3B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A5EBD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FA4D9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21,617,644.76</w:t>
            </w:r>
          </w:p>
        </w:tc>
        <w:tc>
          <w:tcPr>
            <w:tcW w:w="567" w:type="dxa"/>
            <w:tcBorders>
              <w:top w:val="single" w:sz="2" w:space="0" w:color="auto"/>
              <w:left w:val="single" w:sz="2" w:space="0" w:color="auto"/>
              <w:bottom w:val="single" w:sz="2" w:space="0" w:color="auto"/>
              <w:right w:val="single" w:sz="2" w:space="0" w:color="auto"/>
            </w:tcBorders>
            <w:vAlign w:val="center"/>
          </w:tcPr>
          <w:p w14:paraId="42270D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F3DE2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21,302,658.99</w:t>
            </w:r>
          </w:p>
        </w:tc>
        <w:tc>
          <w:tcPr>
            <w:tcW w:w="1134" w:type="dxa"/>
            <w:tcBorders>
              <w:top w:val="single" w:sz="2" w:space="0" w:color="auto"/>
              <w:left w:val="single" w:sz="2" w:space="0" w:color="auto"/>
              <w:bottom w:val="single" w:sz="2" w:space="0" w:color="auto"/>
              <w:right w:val="single" w:sz="2" w:space="0" w:color="auto"/>
            </w:tcBorders>
            <w:vAlign w:val="center"/>
          </w:tcPr>
          <w:p w14:paraId="34285E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-16,992,556.37</w:t>
            </w:r>
          </w:p>
        </w:tc>
        <w:tc>
          <w:tcPr>
            <w:tcW w:w="1275" w:type="dxa"/>
            <w:tcBorders>
              <w:top w:val="single" w:sz="2" w:space="0" w:color="auto"/>
              <w:left w:val="single" w:sz="2" w:space="0" w:color="auto"/>
              <w:bottom w:val="single" w:sz="2" w:space="0" w:color="auto"/>
              <w:right w:val="single" w:sz="2" w:space="0" w:color="auto"/>
            </w:tcBorders>
            <w:vAlign w:val="center"/>
          </w:tcPr>
          <w:p w14:paraId="0BD0D2D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4,310,102.62</w:t>
            </w:r>
          </w:p>
        </w:tc>
      </w:tr>
      <w:tr w:rsidR="004C3D2C" w:rsidRPr="005B5EC1" w14:paraId="18770863"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2F84421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（一）综合收益总额</w:t>
            </w:r>
          </w:p>
        </w:tc>
        <w:tc>
          <w:tcPr>
            <w:tcW w:w="1276" w:type="dxa"/>
            <w:tcBorders>
              <w:top w:val="single" w:sz="2" w:space="0" w:color="auto"/>
              <w:left w:val="single" w:sz="2" w:space="0" w:color="auto"/>
              <w:bottom w:val="single" w:sz="2" w:space="0" w:color="auto"/>
              <w:right w:val="single" w:sz="2" w:space="0" w:color="auto"/>
            </w:tcBorders>
            <w:vAlign w:val="center"/>
          </w:tcPr>
          <w:p w14:paraId="7FE7EE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7FADF58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4FB162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31B0C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FC2317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7EFD2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65D35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0DB212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92EB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C6DA24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4F7F5E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21,617,644.76</w:t>
            </w:r>
          </w:p>
        </w:tc>
        <w:tc>
          <w:tcPr>
            <w:tcW w:w="567" w:type="dxa"/>
            <w:tcBorders>
              <w:top w:val="single" w:sz="2" w:space="0" w:color="auto"/>
              <w:left w:val="single" w:sz="2" w:space="0" w:color="auto"/>
              <w:bottom w:val="single" w:sz="2" w:space="0" w:color="auto"/>
              <w:right w:val="single" w:sz="2" w:space="0" w:color="auto"/>
            </w:tcBorders>
            <w:vAlign w:val="center"/>
          </w:tcPr>
          <w:p w14:paraId="37A0A2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8828E2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21,617,644.76</w:t>
            </w:r>
          </w:p>
        </w:tc>
        <w:tc>
          <w:tcPr>
            <w:tcW w:w="1134" w:type="dxa"/>
            <w:tcBorders>
              <w:top w:val="single" w:sz="2" w:space="0" w:color="auto"/>
              <w:left w:val="single" w:sz="2" w:space="0" w:color="auto"/>
              <w:bottom w:val="single" w:sz="2" w:space="0" w:color="auto"/>
              <w:right w:val="single" w:sz="2" w:space="0" w:color="auto"/>
            </w:tcBorders>
            <w:vAlign w:val="center"/>
          </w:tcPr>
          <w:p w14:paraId="33942E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-14,740,030.78</w:t>
            </w:r>
          </w:p>
        </w:tc>
        <w:tc>
          <w:tcPr>
            <w:tcW w:w="1275" w:type="dxa"/>
            <w:tcBorders>
              <w:top w:val="single" w:sz="2" w:space="0" w:color="auto"/>
              <w:left w:val="single" w:sz="2" w:space="0" w:color="auto"/>
              <w:bottom w:val="single" w:sz="2" w:space="0" w:color="auto"/>
              <w:right w:val="single" w:sz="2" w:space="0" w:color="auto"/>
            </w:tcBorders>
            <w:vAlign w:val="center"/>
          </w:tcPr>
          <w:p w14:paraId="56B5D3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6,877,613.98</w:t>
            </w:r>
          </w:p>
        </w:tc>
      </w:tr>
      <w:tr w:rsidR="004C3D2C" w:rsidRPr="005B5EC1" w14:paraId="6728AAA1"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29897D4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（二）所有者投入和减少资本</w:t>
            </w:r>
          </w:p>
        </w:tc>
        <w:tc>
          <w:tcPr>
            <w:tcW w:w="1276" w:type="dxa"/>
            <w:tcBorders>
              <w:top w:val="single" w:sz="2" w:space="0" w:color="auto"/>
              <w:left w:val="single" w:sz="2" w:space="0" w:color="auto"/>
              <w:bottom w:val="single" w:sz="2" w:space="0" w:color="auto"/>
              <w:right w:val="single" w:sz="2" w:space="0" w:color="auto"/>
            </w:tcBorders>
            <w:vAlign w:val="center"/>
          </w:tcPr>
          <w:p w14:paraId="1A97F9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429.00</w:t>
            </w:r>
          </w:p>
        </w:tc>
        <w:tc>
          <w:tcPr>
            <w:tcW w:w="283" w:type="dxa"/>
            <w:tcBorders>
              <w:top w:val="single" w:sz="2" w:space="0" w:color="auto"/>
              <w:left w:val="single" w:sz="2" w:space="0" w:color="auto"/>
              <w:bottom w:val="single" w:sz="2" w:space="0" w:color="auto"/>
              <w:right w:val="single" w:sz="2" w:space="0" w:color="auto"/>
            </w:tcBorders>
            <w:vAlign w:val="center"/>
          </w:tcPr>
          <w:p w14:paraId="534366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5BB93A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C134F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-725.41</w:t>
            </w:r>
          </w:p>
        </w:tc>
        <w:tc>
          <w:tcPr>
            <w:tcW w:w="1275" w:type="dxa"/>
            <w:tcBorders>
              <w:top w:val="single" w:sz="2" w:space="0" w:color="auto"/>
              <w:left w:val="single" w:sz="2" w:space="0" w:color="auto"/>
              <w:bottom w:val="single" w:sz="2" w:space="0" w:color="auto"/>
              <w:right w:val="single" w:sz="2" w:space="0" w:color="auto"/>
            </w:tcBorders>
            <w:vAlign w:val="center"/>
          </w:tcPr>
          <w:p w14:paraId="3BD441D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-314,689.36</w:t>
            </w:r>
          </w:p>
        </w:tc>
        <w:tc>
          <w:tcPr>
            <w:tcW w:w="1276" w:type="dxa"/>
            <w:tcBorders>
              <w:top w:val="single" w:sz="2" w:space="0" w:color="auto"/>
              <w:left w:val="single" w:sz="2" w:space="0" w:color="auto"/>
              <w:bottom w:val="single" w:sz="2" w:space="0" w:color="auto"/>
              <w:right w:val="single" w:sz="2" w:space="0" w:color="auto"/>
            </w:tcBorders>
            <w:vAlign w:val="center"/>
          </w:tcPr>
          <w:p w14:paraId="58EE84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16514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DD148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0D903F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07A04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3FE3BC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B4966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9F83CA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-314,985.77</w:t>
            </w:r>
          </w:p>
        </w:tc>
        <w:tc>
          <w:tcPr>
            <w:tcW w:w="1134" w:type="dxa"/>
            <w:tcBorders>
              <w:top w:val="single" w:sz="2" w:space="0" w:color="auto"/>
              <w:left w:val="single" w:sz="2" w:space="0" w:color="auto"/>
              <w:bottom w:val="single" w:sz="2" w:space="0" w:color="auto"/>
              <w:right w:val="single" w:sz="2" w:space="0" w:color="auto"/>
            </w:tcBorders>
            <w:vAlign w:val="center"/>
          </w:tcPr>
          <w:p w14:paraId="333AB4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-2,252,525.59</w:t>
            </w:r>
          </w:p>
        </w:tc>
        <w:tc>
          <w:tcPr>
            <w:tcW w:w="1275" w:type="dxa"/>
            <w:tcBorders>
              <w:top w:val="single" w:sz="2" w:space="0" w:color="auto"/>
              <w:left w:val="single" w:sz="2" w:space="0" w:color="auto"/>
              <w:bottom w:val="single" w:sz="2" w:space="0" w:color="auto"/>
              <w:right w:val="single" w:sz="2" w:space="0" w:color="auto"/>
            </w:tcBorders>
            <w:vAlign w:val="center"/>
          </w:tcPr>
          <w:p w14:paraId="6E30F4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-2,567,511.36</w:t>
            </w:r>
          </w:p>
        </w:tc>
      </w:tr>
      <w:tr w:rsidR="004C3D2C" w:rsidRPr="005B5EC1" w14:paraId="36DF0112"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1E26CB7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．所有者投入的普通</w:t>
            </w:r>
            <w:r w:rsidRPr="005B5EC1">
              <w:rPr>
                <w:rFonts w:ascii="Times New Roman" w:eastAsia="宋体" w:hAnsi="Times New Roman" w:cs="Times New Roman"/>
                <w:sz w:val="18"/>
                <w:szCs w:val="18"/>
              </w:rPr>
              <w:lastRenderedPageBreak/>
              <w:t>股</w:t>
            </w:r>
          </w:p>
        </w:tc>
        <w:tc>
          <w:tcPr>
            <w:tcW w:w="1276" w:type="dxa"/>
            <w:tcBorders>
              <w:top w:val="single" w:sz="2" w:space="0" w:color="auto"/>
              <w:left w:val="single" w:sz="2" w:space="0" w:color="auto"/>
              <w:bottom w:val="single" w:sz="2" w:space="0" w:color="auto"/>
              <w:right w:val="single" w:sz="2" w:space="0" w:color="auto"/>
            </w:tcBorders>
            <w:vAlign w:val="center"/>
          </w:tcPr>
          <w:p w14:paraId="51585A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429.00</w:t>
            </w:r>
          </w:p>
        </w:tc>
        <w:tc>
          <w:tcPr>
            <w:tcW w:w="283" w:type="dxa"/>
            <w:tcBorders>
              <w:top w:val="single" w:sz="2" w:space="0" w:color="auto"/>
              <w:left w:val="single" w:sz="2" w:space="0" w:color="auto"/>
              <w:bottom w:val="single" w:sz="2" w:space="0" w:color="auto"/>
              <w:right w:val="single" w:sz="2" w:space="0" w:color="auto"/>
            </w:tcBorders>
            <w:vAlign w:val="center"/>
          </w:tcPr>
          <w:p w14:paraId="4583FCB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7383D2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323CB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F4EC9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4,565.05</w:t>
            </w:r>
          </w:p>
        </w:tc>
        <w:tc>
          <w:tcPr>
            <w:tcW w:w="1276" w:type="dxa"/>
            <w:tcBorders>
              <w:top w:val="single" w:sz="2" w:space="0" w:color="auto"/>
              <w:left w:val="single" w:sz="2" w:space="0" w:color="auto"/>
              <w:bottom w:val="single" w:sz="2" w:space="0" w:color="auto"/>
              <w:right w:val="single" w:sz="2" w:space="0" w:color="auto"/>
            </w:tcBorders>
            <w:vAlign w:val="center"/>
          </w:tcPr>
          <w:p w14:paraId="7CA62B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DE068A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51BB8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38938F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25B2D7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EEC81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237BA5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EF398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4,994.05</w:t>
            </w:r>
          </w:p>
        </w:tc>
        <w:tc>
          <w:tcPr>
            <w:tcW w:w="1134" w:type="dxa"/>
            <w:tcBorders>
              <w:top w:val="single" w:sz="2" w:space="0" w:color="auto"/>
              <w:left w:val="single" w:sz="2" w:space="0" w:color="auto"/>
              <w:bottom w:val="single" w:sz="2" w:space="0" w:color="auto"/>
              <w:right w:val="single" w:sz="2" w:space="0" w:color="auto"/>
            </w:tcBorders>
            <w:vAlign w:val="center"/>
          </w:tcPr>
          <w:p w14:paraId="223065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5AC87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4,994.05</w:t>
            </w:r>
          </w:p>
        </w:tc>
      </w:tr>
      <w:tr w:rsidR="004C3D2C" w:rsidRPr="005B5EC1" w14:paraId="17B26207"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2438F2F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．其他权益工具持有者投入资本</w:t>
            </w:r>
          </w:p>
        </w:tc>
        <w:tc>
          <w:tcPr>
            <w:tcW w:w="1276" w:type="dxa"/>
            <w:tcBorders>
              <w:top w:val="single" w:sz="2" w:space="0" w:color="auto"/>
              <w:left w:val="single" w:sz="2" w:space="0" w:color="auto"/>
              <w:bottom w:val="single" w:sz="2" w:space="0" w:color="auto"/>
              <w:right w:val="single" w:sz="2" w:space="0" w:color="auto"/>
            </w:tcBorders>
            <w:vAlign w:val="center"/>
          </w:tcPr>
          <w:p w14:paraId="37CDEF5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726459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0EB8AC7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DBC8D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57EB3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8C5B67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3F6B7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AEB48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F4B1D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FC6976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0AB59F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8A7CCE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86D52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FB22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15EAA2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3A2C17CE"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3167617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．股份支付计入所有者权益的金额</w:t>
            </w:r>
          </w:p>
        </w:tc>
        <w:tc>
          <w:tcPr>
            <w:tcW w:w="1276" w:type="dxa"/>
            <w:tcBorders>
              <w:top w:val="single" w:sz="2" w:space="0" w:color="auto"/>
              <w:left w:val="single" w:sz="2" w:space="0" w:color="auto"/>
              <w:bottom w:val="single" w:sz="2" w:space="0" w:color="auto"/>
              <w:right w:val="single" w:sz="2" w:space="0" w:color="auto"/>
            </w:tcBorders>
            <w:vAlign w:val="center"/>
          </w:tcPr>
          <w:p w14:paraId="6611D6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5565DE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4027E9C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640194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417D7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1AE320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2C1FA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6A877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7FF54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94D617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8A2177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D6BBB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902141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C9D2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C920DE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6F400B56"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489A1F5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5BB2115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59503F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76A6A5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22C37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-725.41</w:t>
            </w:r>
          </w:p>
        </w:tc>
        <w:tc>
          <w:tcPr>
            <w:tcW w:w="1275" w:type="dxa"/>
            <w:tcBorders>
              <w:top w:val="single" w:sz="2" w:space="0" w:color="auto"/>
              <w:left w:val="single" w:sz="2" w:space="0" w:color="auto"/>
              <w:bottom w:val="single" w:sz="2" w:space="0" w:color="auto"/>
              <w:right w:val="single" w:sz="2" w:space="0" w:color="auto"/>
            </w:tcBorders>
            <w:vAlign w:val="center"/>
          </w:tcPr>
          <w:p w14:paraId="2559FD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-319,254.41</w:t>
            </w:r>
          </w:p>
        </w:tc>
        <w:tc>
          <w:tcPr>
            <w:tcW w:w="1276" w:type="dxa"/>
            <w:tcBorders>
              <w:top w:val="single" w:sz="2" w:space="0" w:color="auto"/>
              <w:left w:val="single" w:sz="2" w:space="0" w:color="auto"/>
              <w:bottom w:val="single" w:sz="2" w:space="0" w:color="auto"/>
              <w:right w:val="single" w:sz="2" w:space="0" w:color="auto"/>
            </w:tcBorders>
            <w:vAlign w:val="center"/>
          </w:tcPr>
          <w:p w14:paraId="08647C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1FCD7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BDEDEC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01569E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08BEB0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2C442E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E47B6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0387A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-319,979.82</w:t>
            </w:r>
          </w:p>
        </w:tc>
        <w:tc>
          <w:tcPr>
            <w:tcW w:w="1134" w:type="dxa"/>
            <w:tcBorders>
              <w:top w:val="single" w:sz="2" w:space="0" w:color="auto"/>
              <w:left w:val="single" w:sz="2" w:space="0" w:color="auto"/>
              <w:bottom w:val="single" w:sz="2" w:space="0" w:color="auto"/>
              <w:right w:val="single" w:sz="2" w:space="0" w:color="auto"/>
            </w:tcBorders>
            <w:vAlign w:val="center"/>
          </w:tcPr>
          <w:p w14:paraId="31B3A3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-2,252,525.59</w:t>
            </w:r>
          </w:p>
        </w:tc>
        <w:tc>
          <w:tcPr>
            <w:tcW w:w="1275" w:type="dxa"/>
            <w:tcBorders>
              <w:top w:val="single" w:sz="2" w:space="0" w:color="auto"/>
              <w:left w:val="single" w:sz="2" w:space="0" w:color="auto"/>
              <w:bottom w:val="single" w:sz="2" w:space="0" w:color="auto"/>
              <w:right w:val="single" w:sz="2" w:space="0" w:color="auto"/>
            </w:tcBorders>
            <w:vAlign w:val="center"/>
          </w:tcPr>
          <w:p w14:paraId="539DFE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-2,572,505.41</w:t>
            </w:r>
          </w:p>
        </w:tc>
      </w:tr>
      <w:tr w:rsidR="004C3D2C" w:rsidRPr="005B5EC1" w14:paraId="715A4A43"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06FFCFF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（三）利润分配</w:t>
            </w:r>
          </w:p>
        </w:tc>
        <w:tc>
          <w:tcPr>
            <w:tcW w:w="1276" w:type="dxa"/>
            <w:tcBorders>
              <w:top w:val="single" w:sz="2" w:space="0" w:color="auto"/>
              <w:left w:val="single" w:sz="2" w:space="0" w:color="auto"/>
              <w:bottom w:val="single" w:sz="2" w:space="0" w:color="auto"/>
              <w:right w:val="single" w:sz="2" w:space="0" w:color="auto"/>
            </w:tcBorders>
            <w:vAlign w:val="center"/>
          </w:tcPr>
          <w:p w14:paraId="1ED9010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0609576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F6A55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D683FA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35DC2A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F015F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2AF16C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208A6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0DA2C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CF7CA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92D68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E10F0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ADD60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9CBF0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FD6752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261F0F89"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2FDFE36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．提取盈余公积</w:t>
            </w:r>
          </w:p>
        </w:tc>
        <w:tc>
          <w:tcPr>
            <w:tcW w:w="1276" w:type="dxa"/>
            <w:tcBorders>
              <w:top w:val="single" w:sz="2" w:space="0" w:color="auto"/>
              <w:left w:val="single" w:sz="2" w:space="0" w:color="auto"/>
              <w:bottom w:val="single" w:sz="2" w:space="0" w:color="auto"/>
              <w:right w:val="single" w:sz="2" w:space="0" w:color="auto"/>
            </w:tcBorders>
            <w:vAlign w:val="center"/>
          </w:tcPr>
          <w:p w14:paraId="3B23B2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63714E3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0CD2A3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7D606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8BEFA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19BC1E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F69D1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990F96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BDD0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1EEA29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ADFBCB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458889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37D9C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4E497D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0A2F1B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7ADF33AA"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10A3B46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．提取一般风险准备</w:t>
            </w:r>
          </w:p>
        </w:tc>
        <w:tc>
          <w:tcPr>
            <w:tcW w:w="1276" w:type="dxa"/>
            <w:tcBorders>
              <w:top w:val="single" w:sz="2" w:space="0" w:color="auto"/>
              <w:left w:val="single" w:sz="2" w:space="0" w:color="auto"/>
              <w:bottom w:val="single" w:sz="2" w:space="0" w:color="auto"/>
              <w:right w:val="single" w:sz="2" w:space="0" w:color="auto"/>
            </w:tcBorders>
            <w:vAlign w:val="center"/>
          </w:tcPr>
          <w:p w14:paraId="734C2DF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4C8BCA5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9DF8B8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FF8C5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5B461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40F19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24C04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955CA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B3D60C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CB6AD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29EC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E61BE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6E8D25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CDB2D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F6F460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39DCA0CF"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5FCE03E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．对所有者（或股东）的分配</w:t>
            </w:r>
          </w:p>
        </w:tc>
        <w:tc>
          <w:tcPr>
            <w:tcW w:w="1276" w:type="dxa"/>
            <w:tcBorders>
              <w:top w:val="single" w:sz="2" w:space="0" w:color="auto"/>
              <w:left w:val="single" w:sz="2" w:space="0" w:color="auto"/>
              <w:bottom w:val="single" w:sz="2" w:space="0" w:color="auto"/>
              <w:right w:val="single" w:sz="2" w:space="0" w:color="auto"/>
            </w:tcBorders>
            <w:vAlign w:val="center"/>
          </w:tcPr>
          <w:p w14:paraId="7D77CA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7792CD7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55E27C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CC541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66114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55BD6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F42C29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F2F7C0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BB732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E1B22A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20DAC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1A43A1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4552E3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2DBC89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4ABB21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12CBA85C"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6011E75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29E59D2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68CB78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60D206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458B3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9E1D2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61DF9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0CA7B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2E7C56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8C06B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6EB34B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852F3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14EAD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275561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749D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6C65C3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4EF33035"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2A067BC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（四）所有者权益内部结转</w:t>
            </w:r>
          </w:p>
        </w:tc>
        <w:tc>
          <w:tcPr>
            <w:tcW w:w="1276" w:type="dxa"/>
            <w:tcBorders>
              <w:top w:val="single" w:sz="2" w:space="0" w:color="auto"/>
              <w:left w:val="single" w:sz="2" w:space="0" w:color="auto"/>
              <w:bottom w:val="single" w:sz="2" w:space="0" w:color="auto"/>
              <w:right w:val="single" w:sz="2" w:space="0" w:color="auto"/>
            </w:tcBorders>
            <w:vAlign w:val="center"/>
          </w:tcPr>
          <w:p w14:paraId="55C68D0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3D1C3C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7F554B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638B5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89603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E0E2FB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14A0F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14335F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A792E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5F3F7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B643A0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F137A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94AD9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77553F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B21E8F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32057CBF"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628D515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．资本公积转增资本（或股本）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627692F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79F184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416B2F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80211F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1277C94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872A55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13E5CB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0789F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E98EB8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B8F5E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61AB6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9CC0AA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3C0AF5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21433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C025F0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4E4CB799"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178F6B2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．盈余公积转增资本（或股本）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740E80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6B6E07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77211F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CB8849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DC33A1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5988F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8B7816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2EB86B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9CB6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724AF7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56C8B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0250B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836A8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3EA4A0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E25E19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752BAE30"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702C3C9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．盈余公积弥补亏损</w:t>
            </w:r>
          </w:p>
        </w:tc>
        <w:tc>
          <w:tcPr>
            <w:tcW w:w="1276" w:type="dxa"/>
            <w:tcBorders>
              <w:top w:val="single" w:sz="2" w:space="0" w:color="auto"/>
              <w:left w:val="single" w:sz="2" w:space="0" w:color="auto"/>
              <w:bottom w:val="single" w:sz="2" w:space="0" w:color="auto"/>
              <w:right w:val="single" w:sz="2" w:space="0" w:color="auto"/>
            </w:tcBorders>
            <w:vAlign w:val="center"/>
          </w:tcPr>
          <w:p w14:paraId="6C1CC4F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26BE2C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68B277F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1B13D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7A2CA2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B3308F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FEB1BA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98FE9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0EB56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F619B9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E9A50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0FC60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D1B616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E74BC0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F5F46C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47519E8C"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27C65C7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．设定受益计划变动额结转留存</w:t>
            </w:r>
            <w:r w:rsidRPr="005B5EC1">
              <w:rPr>
                <w:rFonts w:ascii="Times New Roman" w:eastAsia="宋体" w:hAnsi="Times New Roman" w:cs="Times New Roman"/>
                <w:sz w:val="18"/>
                <w:szCs w:val="18"/>
              </w:rPr>
              <w:lastRenderedPageBreak/>
              <w:t>收益</w:t>
            </w:r>
          </w:p>
        </w:tc>
        <w:tc>
          <w:tcPr>
            <w:tcW w:w="1276" w:type="dxa"/>
            <w:tcBorders>
              <w:top w:val="single" w:sz="2" w:space="0" w:color="auto"/>
              <w:left w:val="single" w:sz="2" w:space="0" w:color="auto"/>
              <w:bottom w:val="single" w:sz="2" w:space="0" w:color="auto"/>
              <w:right w:val="single" w:sz="2" w:space="0" w:color="auto"/>
            </w:tcBorders>
            <w:vAlign w:val="center"/>
          </w:tcPr>
          <w:p w14:paraId="7FD683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63861EA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B5387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E82ED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FE7E94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EEDB67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07DD35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62272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28998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3B89D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C91A3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A35FA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3E3BC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2B50B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67A27B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2695FE10"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213C4B5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．其他综合收益结转留存收益</w:t>
            </w:r>
          </w:p>
        </w:tc>
        <w:tc>
          <w:tcPr>
            <w:tcW w:w="1276" w:type="dxa"/>
            <w:tcBorders>
              <w:top w:val="single" w:sz="2" w:space="0" w:color="auto"/>
              <w:left w:val="single" w:sz="2" w:space="0" w:color="auto"/>
              <w:bottom w:val="single" w:sz="2" w:space="0" w:color="auto"/>
              <w:right w:val="single" w:sz="2" w:space="0" w:color="auto"/>
            </w:tcBorders>
            <w:vAlign w:val="center"/>
          </w:tcPr>
          <w:p w14:paraId="2122D9F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51119E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2BECC6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57903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E91C5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963D6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616301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C3FDD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3401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B2AC6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31A440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1B07D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AB8A5F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8C3F8A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7128000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2B3F70A5"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6340667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38A85F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2E56B57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4F7CFB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C9A38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A939B8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BC285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080AD1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37D4E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93B797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9AF0A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B28C1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59C77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EA04FA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71D56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5B9982E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7F3D694F"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3BD1418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（五）专项储备</w:t>
            </w:r>
          </w:p>
        </w:tc>
        <w:tc>
          <w:tcPr>
            <w:tcW w:w="1276" w:type="dxa"/>
            <w:tcBorders>
              <w:top w:val="single" w:sz="2" w:space="0" w:color="auto"/>
              <w:left w:val="single" w:sz="2" w:space="0" w:color="auto"/>
              <w:bottom w:val="single" w:sz="2" w:space="0" w:color="auto"/>
              <w:right w:val="single" w:sz="2" w:space="0" w:color="auto"/>
            </w:tcBorders>
            <w:vAlign w:val="center"/>
          </w:tcPr>
          <w:p w14:paraId="65CBE5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5A2504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591E68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E98DFE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9D2BDF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4CEA2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62F31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B7C37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76137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78D61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5E459A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44F55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291B09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A30EE7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23A3CD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3185E6F6"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71FDEE0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．本期提取</w:t>
            </w:r>
          </w:p>
        </w:tc>
        <w:tc>
          <w:tcPr>
            <w:tcW w:w="1276" w:type="dxa"/>
            <w:tcBorders>
              <w:top w:val="single" w:sz="2" w:space="0" w:color="auto"/>
              <w:left w:val="single" w:sz="2" w:space="0" w:color="auto"/>
              <w:bottom w:val="single" w:sz="2" w:space="0" w:color="auto"/>
              <w:right w:val="single" w:sz="2" w:space="0" w:color="auto"/>
            </w:tcBorders>
            <w:vAlign w:val="center"/>
          </w:tcPr>
          <w:p w14:paraId="35A1D6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1CB51A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6ABE5D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40C4E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072573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2BDD26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73DEC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DB2221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5D331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20D0E3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E66B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7B812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BA8C2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42A869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4E79CBA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7A7DE779"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78FA2E6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．本期使用</w:t>
            </w:r>
          </w:p>
        </w:tc>
        <w:tc>
          <w:tcPr>
            <w:tcW w:w="1276" w:type="dxa"/>
            <w:tcBorders>
              <w:top w:val="single" w:sz="2" w:space="0" w:color="auto"/>
              <w:left w:val="single" w:sz="2" w:space="0" w:color="auto"/>
              <w:bottom w:val="single" w:sz="2" w:space="0" w:color="auto"/>
              <w:right w:val="single" w:sz="2" w:space="0" w:color="auto"/>
            </w:tcBorders>
            <w:vAlign w:val="center"/>
          </w:tcPr>
          <w:p w14:paraId="30D3FB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4F5A45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55377FB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2C359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34101F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9A55A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78262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01AA0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88D20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93316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7EB7B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FEE2D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F62C9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BE01A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F5A691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57F0C2EA"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4B260A9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（六）其他</w:t>
            </w:r>
          </w:p>
        </w:tc>
        <w:tc>
          <w:tcPr>
            <w:tcW w:w="1276" w:type="dxa"/>
            <w:tcBorders>
              <w:top w:val="single" w:sz="2" w:space="0" w:color="auto"/>
              <w:left w:val="single" w:sz="2" w:space="0" w:color="auto"/>
              <w:bottom w:val="single" w:sz="2" w:space="0" w:color="auto"/>
              <w:right w:val="single" w:sz="2" w:space="0" w:color="auto"/>
            </w:tcBorders>
            <w:vAlign w:val="center"/>
          </w:tcPr>
          <w:p w14:paraId="0D71F4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3" w:type="dxa"/>
            <w:tcBorders>
              <w:top w:val="single" w:sz="2" w:space="0" w:color="auto"/>
              <w:left w:val="single" w:sz="2" w:space="0" w:color="auto"/>
              <w:bottom w:val="single" w:sz="2" w:space="0" w:color="auto"/>
              <w:right w:val="single" w:sz="2" w:space="0" w:color="auto"/>
            </w:tcBorders>
            <w:vAlign w:val="center"/>
          </w:tcPr>
          <w:p w14:paraId="67ABF6A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4B22486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D4041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252A34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F2D5EF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AA1916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35434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07E278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2BF6D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4D0846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E74391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BBDE5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F2935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14:paraId="6B02728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1D968BC7" w14:textId="77777777" w:rsidTr="004C3D2C">
        <w:trPr>
          <w:trHeight w:val="240"/>
        </w:trPr>
        <w:tc>
          <w:tcPr>
            <w:tcW w:w="939" w:type="dxa"/>
            <w:tcBorders>
              <w:top w:val="single" w:sz="2" w:space="0" w:color="auto"/>
              <w:left w:val="single" w:sz="2" w:space="0" w:color="auto"/>
              <w:bottom w:val="single" w:sz="2" w:space="0" w:color="auto"/>
              <w:right w:val="single" w:sz="2" w:space="0" w:color="auto"/>
            </w:tcBorders>
            <w:shd w:val="clear" w:color="auto" w:fill="D3D3D3"/>
            <w:vAlign w:val="center"/>
          </w:tcPr>
          <w:p w14:paraId="4A72806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四、本期期末余额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25B57A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1,079,160,261.00</w:t>
            </w:r>
          </w:p>
        </w:tc>
        <w:tc>
          <w:tcPr>
            <w:tcW w:w="283" w:type="dxa"/>
            <w:tcBorders>
              <w:top w:val="single" w:sz="2" w:space="0" w:color="auto"/>
              <w:left w:val="single" w:sz="2" w:space="0" w:color="auto"/>
              <w:bottom w:val="single" w:sz="2" w:space="0" w:color="auto"/>
              <w:right w:val="single" w:sz="2" w:space="0" w:color="auto"/>
            </w:tcBorders>
            <w:vAlign w:val="center"/>
          </w:tcPr>
          <w:p w14:paraId="3E3928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84" w:type="dxa"/>
            <w:tcBorders>
              <w:top w:val="single" w:sz="2" w:space="0" w:color="auto"/>
              <w:left w:val="single" w:sz="2" w:space="0" w:color="auto"/>
              <w:bottom w:val="single" w:sz="2" w:space="0" w:color="auto"/>
              <w:right w:val="single" w:sz="2" w:space="0" w:color="auto"/>
            </w:tcBorders>
            <w:vAlign w:val="center"/>
          </w:tcPr>
          <w:p w14:paraId="31C106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5218A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171,570,156.57</w:t>
            </w:r>
          </w:p>
        </w:tc>
        <w:tc>
          <w:tcPr>
            <w:tcW w:w="1275" w:type="dxa"/>
            <w:tcBorders>
              <w:top w:val="single" w:sz="2" w:space="0" w:color="auto"/>
              <w:left w:val="single" w:sz="2" w:space="0" w:color="auto"/>
              <w:bottom w:val="single" w:sz="2" w:space="0" w:color="auto"/>
              <w:right w:val="single" w:sz="2" w:space="0" w:color="auto"/>
            </w:tcBorders>
            <w:vAlign w:val="center"/>
          </w:tcPr>
          <w:p w14:paraId="02D0DB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824,642,732.28</w:t>
            </w:r>
          </w:p>
        </w:tc>
        <w:tc>
          <w:tcPr>
            <w:tcW w:w="1276" w:type="dxa"/>
            <w:tcBorders>
              <w:top w:val="single" w:sz="2" w:space="0" w:color="auto"/>
              <w:left w:val="single" w:sz="2" w:space="0" w:color="auto"/>
              <w:bottom w:val="single" w:sz="2" w:space="0" w:color="auto"/>
              <w:right w:val="single" w:sz="2" w:space="0" w:color="auto"/>
            </w:tcBorders>
            <w:vAlign w:val="center"/>
          </w:tcPr>
          <w:p w14:paraId="21806A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418" w:type="dxa"/>
            <w:tcBorders>
              <w:top w:val="single" w:sz="2" w:space="0" w:color="auto"/>
              <w:left w:val="single" w:sz="2" w:space="0" w:color="auto"/>
              <w:bottom w:val="single" w:sz="2" w:space="0" w:color="auto"/>
              <w:right w:val="single" w:sz="2" w:space="0" w:color="auto"/>
            </w:tcBorders>
            <w:vAlign w:val="center"/>
          </w:tcPr>
          <w:p w14:paraId="5679FDE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210EB5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C55D1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425" w:type="dxa"/>
            <w:tcBorders>
              <w:top w:val="single" w:sz="2" w:space="0" w:color="auto"/>
              <w:left w:val="single" w:sz="2" w:space="0" w:color="auto"/>
              <w:bottom w:val="single" w:sz="2" w:space="0" w:color="auto"/>
              <w:right w:val="single" w:sz="2" w:space="0" w:color="auto"/>
            </w:tcBorders>
            <w:vAlign w:val="center"/>
          </w:tcPr>
          <w:p w14:paraId="1361918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11904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-493,681,729.40</w:t>
            </w:r>
          </w:p>
        </w:tc>
        <w:tc>
          <w:tcPr>
            <w:tcW w:w="567" w:type="dxa"/>
            <w:tcBorders>
              <w:top w:val="single" w:sz="2" w:space="0" w:color="auto"/>
              <w:left w:val="single" w:sz="2" w:space="0" w:color="auto"/>
              <w:bottom w:val="single" w:sz="2" w:space="0" w:color="auto"/>
              <w:right w:val="single" w:sz="2" w:space="0" w:color="auto"/>
            </w:tcBorders>
            <w:vAlign w:val="center"/>
          </w:tcPr>
          <w:p w14:paraId="57D6D96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85F97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1,503,284,266.32</w:t>
            </w:r>
          </w:p>
        </w:tc>
        <w:tc>
          <w:tcPr>
            <w:tcW w:w="1134" w:type="dxa"/>
            <w:tcBorders>
              <w:top w:val="single" w:sz="2" w:space="0" w:color="auto"/>
              <w:left w:val="single" w:sz="2" w:space="0" w:color="auto"/>
              <w:bottom w:val="single" w:sz="2" w:space="0" w:color="auto"/>
              <w:right w:val="single" w:sz="2" w:space="0" w:color="auto"/>
            </w:tcBorders>
            <w:vAlign w:val="center"/>
          </w:tcPr>
          <w:p w14:paraId="364F09E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157,986,651.74</w:t>
            </w:r>
          </w:p>
        </w:tc>
        <w:tc>
          <w:tcPr>
            <w:tcW w:w="1275" w:type="dxa"/>
            <w:tcBorders>
              <w:top w:val="single" w:sz="2" w:space="0" w:color="auto"/>
              <w:left w:val="single" w:sz="2" w:space="0" w:color="auto"/>
              <w:bottom w:val="single" w:sz="2" w:space="0" w:color="auto"/>
              <w:right w:val="single" w:sz="2" w:space="0" w:color="auto"/>
            </w:tcBorders>
            <w:vAlign w:val="center"/>
          </w:tcPr>
          <w:p w14:paraId="113AF3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1,661,270,918.06</w:t>
            </w:r>
          </w:p>
        </w:tc>
      </w:tr>
    </w:tbl>
    <w:p w14:paraId="337D21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上期金额</w:t>
      </w:r>
    </w:p>
    <w:p w14:paraId="626B5A5A"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5556" w:type="dxa"/>
        <w:tblInd w:w="-7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93"/>
        <w:gridCol w:w="1276"/>
        <w:gridCol w:w="351"/>
        <w:gridCol w:w="357"/>
        <w:gridCol w:w="1134"/>
        <w:gridCol w:w="1418"/>
        <w:gridCol w:w="1134"/>
        <w:gridCol w:w="1134"/>
        <w:gridCol w:w="425"/>
        <w:gridCol w:w="1134"/>
        <w:gridCol w:w="567"/>
        <w:gridCol w:w="1276"/>
        <w:gridCol w:w="567"/>
        <w:gridCol w:w="1276"/>
        <w:gridCol w:w="1134"/>
        <w:gridCol w:w="1380"/>
      </w:tblGrid>
      <w:tr w:rsidR="00E32FE0" w:rsidRPr="005B5EC1" w14:paraId="32EE7803" w14:textId="77777777" w:rsidTr="00E71751">
        <w:trPr>
          <w:trHeight w:val="240"/>
        </w:trPr>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B76173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4563"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0C65A81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w:t>
            </w:r>
          </w:p>
        </w:tc>
      </w:tr>
      <w:tr w:rsidR="00E32FE0" w:rsidRPr="005B5EC1" w14:paraId="267C38BC" w14:textId="77777777" w:rsidTr="00E71751">
        <w:trPr>
          <w:trHeight w:val="240"/>
        </w:trPr>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7ED606" w14:textId="77777777" w:rsidR="00E32FE0" w:rsidRPr="005B5EC1" w:rsidRDefault="00E32FE0">
            <w:pPr>
              <w:rPr>
                <w:rFonts w:ascii="Times New Roman" w:hAnsi="Times New Roman" w:cs="Times New Roman"/>
              </w:rPr>
            </w:pPr>
          </w:p>
        </w:tc>
        <w:tc>
          <w:tcPr>
            <w:tcW w:w="1204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79E549D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归属于母公司所有者权益</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4FB17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少数股东权益</w:t>
            </w:r>
          </w:p>
        </w:tc>
        <w:tc>
          <w:tcPr>
            <w:tcW w:w="13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859577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所有者权益合计</w:t>
            </w:r>
          </w:p>
        </w:tc>
      </w:tr>
      <w:tr w:rsidR="004C3D2C" w:rsidRPr="005B5EC1" w14:paraId="6FFFE1CC" w14:textId="77777777" w:rsidTr="00E71751">
        <w:trPr>
          <w:trHeight w:val="240"/>
        </w:trPr>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6993DFF" w14:textId="77777777" w:rsidR="00E32FE0" w:rsidRPr="005B5EC1" w:rsidRDefault="00E32FE0">
            <w:pPr>
              <w:rPr>
                <w:rFonts w:ascii="Times New Roman" w:hAnsi="Times New Roman" w:cs="Times New Roman"/>
              </w:rPr>
            </w:pP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FEC0DD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股本</w:t>
            </w:r>
          </w:p>
        </w:tc>
        <w:tc>
          <w:tcPr>
            <w:tcW w:w="184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DDCDA4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CAE034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资本公积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C154F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减：库存股</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E5B0B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其他综合收益</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B8672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专项储备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59BF0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盈余公积</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60309A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一般风险准备</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95FA7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未分配利润</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B7C82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E858CB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小计</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473B2C1" w14:textId="77777777" w:rsidR="00E32FE0" w:rsidRPr="005B5EC1" w:rsidRDefault="00E32FE0">
            <w:pPr>
              <w:rPr>
                <w:rFonts w:ascii="Times New Roman" w:hAnsi="Times New Roman" w:cs="Times New Roman"/>
              </w:rPr>
            </w:pPr>
          </w:p>
        </w:tc>
        <w:tc>
          <w:tcPr>
            <w:tcW w:w="138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9D562E" w14:textId="77777777" w:rsidR="00E32FE0" w:rsidRPr="005B5EC1" w:rsidRDefault="00E32FE0">
            <w:pPr>
              <w:rPr>
                <w:rFonts w:ascii="Times New Roman" w:hAnsi="Times New Roman" w:cs="Times New Roman"/>
              </w:rPr>
            </w:pPr>
          </w:p>
        </w:tc>
      </w:tr>
      <w:tr w:rsidR="004C3D2C" w:rsidRPr="005B5EC1" w14:paraId="1702A413" w14:textId="77777777" w:rsidTr="00E71751">
        <w:trPr>
          <w:trHeight w:val="240"/>
        </w:trPr>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864D10"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4745B1" w14:textId="77777777" w:rsidR="00E32FE0" w:rsidRPr="005B5EC1" w:rsidRDefault="00E32FE0">
            <w:pPr>
              <w:rPr>
                <w:rFonts w:ascii="Times New Roman" w:hAnsi="Times New Roman" w:cs="Times New Roman"/>
              </w:rPr>
            </w:pPr>
          </w:p>
        </w:tc>
        <w:tc>
          <w:tcPr>
            <w:tcW w:w="351" w:type="dxa"/>
            <w:tcBorders>
              <w:top w:val="single" w:sz="2" w:space="0" w:color="auto"/>
              <w:left w:val="single" w:sz="2" w:space="0" w:color="auto"/>
              <w:bottom w:val="single" w:sz="2" w:space="0" w:color="auto"/>
              <w:right w:val="single" w:sz="2" w:space="0" w:color="auto"/>
            </w:tcBorders>
            <w:shd w:val="clear" w:color="auto" w:fill="D3D3D3"/>
            <w:vAlign w:val="center"/>
          </w:tcPr>
          <w:p w14:paraId="2E4959D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优先股</w:t>
            </w:r>
          </w:p>
        </w:tc>
        <w:tc>
          <w:tcPr>
            <w:tcW w:w="357" w:type="dxa"/>
            <w:tcBorders>
              <w:top w:val="single" w:sz="2" w:space="0" w:color="auto"/>
              <w:left w:val="single" w:sz="2" w:space="0" w:color="auto"/>
              <w:bottom w:val="single" w:sz="2" w:space="0" w:color="auto"/>
              <w:right w:val="single" w:sz="2" w:space="0" w:color="auto"/>
            </w:tcBorders>
            <w:shd w:val="clear" w:color="auto" w:fill="D3D3D3"/>
            <w:vAlign w:val="center"/>
          </w:tcPr>
          <w:p w14:paraId="4F084B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永续债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C57522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F7223F" w14:textId="77777777" w:rsidR="00E32FE0" w:rsidRPr="005B5EC1" w:rsidRDefault="00E32FE0">
            <w:pPr>
              <w:rPr>
                <w:rFonts w:ascii="Times New Roman"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E98554" w14:textId="77777777" w:rsidR="00E32FE0" w:rsidRPr="005B5EC1" w:rsidRDefault="00E32FE0">
            <w:pPr>
              <w:rPr>
                <w:rFonts w:ascii="Times New Roman"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ACDB6E" w14:textId="77777777" w:rsidR="00E32FE0" w:rsidRPr="005B5EC1" w:rsidRDefault="00E32FE0">
            <w:pPr>
              <w:rPr>
                <w:rFonts w:ascii="Times New Roman" w:hAnsi="Times New Roman" w:cs="Times New Roman"/>
              </w:rPr>
            </w:pPr>
          </w:p>
        </w:tc>
        <w:tc>
          <w:tcPr>
            <w:tcW w:w="425" w:type="dxa"/>
            <w:vMerge/>
            <w:tcBorders>
              <w:top w:val="single" w:sz="2" w:space="0" w:color="auto"/>
              <w:left w:val="single" w:sz="2" w:space="0" w:color="auto"/>
              <w:bottom w:val="single" w:sz="2" w:space="0" w:color="auto"/>
              <w:right w:val="single" w:sz="2" w:space="0" w:color="auto"/>
            </w:tcBorders>
            <w:vAlign w:val="center"/>
          </w:tcPr>
          <w:p w14:paraId="4E6AE4CD" w14:textId="77777777" w:rsidR="00E32FE0" w:rsidRPr="005B5EC1" w:rsidRDefault="00E32FE0">
            <w:pPr>
              <w:rPr>
                <w:rFonts w:ascii="Times New Roman"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D85E24" w14:textId="77777777" w:rsidR="00E32FE0" w:rsidRPr="005B5EC1" w:rsidRDefault="00E32FE0">
            <w:pPr>
              <w:rPr>
                <w:rFonts w:ascii="Times New Roman" w:hAnsi="Times New Roman" w:cs="Times New Roman"/>
              </w:rPr>
            </w:pPr>
          </w:p>
        </w:tc>
        <w:tc>
          <w:tcPr>
            <w:tcW w:w="56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8A08AD6"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FADBAF" w14:textId="77777777" w:rsidR="00E32FE0" w:rsidRPr="005B5EC1" w:rsidRDefault="00E32FE0">
            <w:pPr>
              <w:rPr>
                <w:rFonts w:ascii="Times New Roman" w:hAnsi="Times New Roman" w:cs="Times New Roman"/>
              </w:rPr>
            </w:pPr>
          </w:p>
        </w:tc>
        <w:tc>
          <w:tcPr>
            <w:tcW w:w="567" w:type="dxa"/>
            <w:vMerge/>
            <w:tcBorders>
              <w:top w:val="single" w:sz="2" w:space="0" w:color="auto"/>
              <w:left w:val="single" w:sz="2" w:space="0" w:color="auto"/>
              <w:bottom w:val="single" w:sz="2" w:space="0" w:color="auto"/>
              <w:right w:val="single" w:sz="2" w:space="0" w:color="auto"/>
            </w:tcBorders>
            <w:vAlign w:val="center"/>
          </w:tcPr>
          <w:p w14:paraId="5FCA74EE"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vAlign w:val="center"/>
          </w:tcPr>
          <w:p w14:paraId="74F4BCAD" w14:textId="77777777" w:rsidR="00E32FE0" w:rsidRPr="005B5EC1" w:rsidRDefault="00E32FE0">
            <w:pPr>
              <w:rPr>
                <w:rFonts w:ascii="Times New Roman" w:hAnsi="Times New Roman" w:cs="Times New Roman"/>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BF74077" w14:textId="77777777" w:rsidR="00E32FE0" w:rsidRPr="005B5EC1" w:rsidRDefault="00E32FE0">
            <w:pPr>
              <w:rPr>
                <w:rFonts w:ascii="Times New Roman" w:hAnsi="Times New Roman" w:cs="Times New Roman"/>
              </w:rPr>
            </w:pPr>
          </w:p>
        </w:tc>
        <w:tc>
          <w:tcPr>
            <w:tcW w:w="138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710CBF" w14:textId="77777777" w:rsidR="00E32FE0" w:rsidRPr="005B5EC1" w:rsidRDefault="00E32FE0">
            <w:pPr>
              <w:rPr>
                <w:rFonts w:ascii="Times New Roman" w:hAnsi="Times New Roman" w:cs="Times New Roman"/>
              </w:rPr>
            </w:pPr>
          </w:p>
        </w:tc>
      </w:tr>
      <w:tr w:rsidR="004C3D2C" w:rsidRPr="005B5EC1" w14:paraId="1FD85EF6"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B5D389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一、上年期末余额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2250712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1,079,128,488.00</w:t>
            </w:r>
          </w:p>
        </w:tc>
        <w:tc>
          <w:tcPr>
            <w:tcW w:w="351" w:type="dxa"/>
            <w:tcBorders>
              <w:top w:val="single" w:sz="2" w:space="0" w:color="auto"/>
              <w:left w:val="single" w:sz="2" w:space="0" w:color="auto"/>
              <w:bottom w:val="single" w:sz="2" w:space="0" w:color="auto"/>
              <w:right w:val="single" w:sz="2" w:space="0" w:color="auto"/>
            </w:tcBorders>
            <w:vAlign w:val="center"/>
          </w:tcPr>
          <w:p w14:paraId="031130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357" w:type="dxa"/>
            <w:tcBorders>
              <w:top w:val="single" w:sz="2" w:space="0" w:color="auto"/>
              <w:left w:val="single" w:sz="2" w:space="0" w:color="auto"/>
              <w:bottom w:val="single" w:sz="2" w:space="0" w:color="auto"/>
              <w:right w:val="single" w:sz="2" w:space="0" w:color="auto"/>
            </w:tcBorders>
            <w:vAlign w:val="center"/>
          </w:tcPr>
          <w:p w14:paraId="4586D6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60F281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171,571,679.93</w:t>
            </w:r>
          </w:p>
        </w:tc>
        <w:tc>
          <w:tcPr>
            <w:tcW w:w="1418" w:type="dxa"/>
            <w:tcBorders>
              <w:top w:val="single" w:sz="2" w:space="0" w:color="auto"/>
              <w:left w:val="single" w:sz="2" w:space="0" w:color="auto"/>
              <w:bottom w:val="single" w:sz="2" w:space="0" w:color="auto"/>
              <w:right w:val="single" w:sz="2" w:space="0" w:color="auto"/>
            </w:tcBorders>
            <w:vAlign w:val="center"/>
          </w:tcPr>
          <w:p w14:paraId="524EAC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831,830,715.12</w:t>
            </w:r>
          </w:p>
        </w:tc>
        <w:tc>
          <w:tcPr>
            <w:tcW w:w="1134" w:type="dxa"/>
            <w:tcBorders>
              <w:top w:val="single" w:sz="2" w:space="0" w:color="auto"/>
              <w:left w:val="single" w:sz="2" w:space="0" w:color="auto"/>
              <w:bottom w:val="single" w:sz="2" w:space="0" w:color="auto"/>
              <w:right w:val="single" w:sz="2" w:space="0" w:color="auto"/>
            </w:tcBorders>
            <w:vAlign w:val="center"/>
          </w:tcPr>
          <w:p w14:paraId="2F3FEB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37,244,672.24</w:t>
            </w:r>
          </w:p>
        </w:tc>
        <w:tc>
          <w:tcPr>
            <w:tcW w:w="1134" w:type="dxa"/>
            <w:tcBorders>
              <w:top w:val="single" w:sz="2" w:space="0" w:color="auto"/>
              <w:left w:val="single" w:sz="2" w:space="0" w:color="auto"/>
              <w:bottom w:val="single" w:sz="2" w:space="0" w:color="auto"/>
              <w:right w:val="single" w:sz="2" w:space="0" w:color="auto"/>
            </w:tcBorders>
            <w:vAlign w:val="center"/>
          </w:tcPr>
          <w:p w14:paraId="4249EE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-11,777,820.33</w:t>
            </w:r>
          </w:p>
        </w:tc>
        <w:tc>
          <w:tcPr>
            <w:tcW w:w="425" w:type="dxa"/>
            <w:tcBorders>
              <w:top w:val="single" w:sz="2" w:space="0" w:color="auto"/>
              <w:left w:val="single" w:sz="2" w:space="0" w:color="auto"/>
              <w:bottom w:val="single" w:sz="2" w:space="0" w:color="auto"/>
              <w:right w:val="single" w:sz="2" w:space="0" w:color="auto"/>
            </w:tcBorders>
            <w:vAlign w:val="center"/>
          </w:tcPr>
          <w:p w14:paraId="296118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CF0FFE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567" w:type="dxa"/>
            <w:tcBorders>
              <w:top w:val="single" w:sz="2" w:space="0" w:color="auto"/>
              <w:left w:val="single" w:sz="2" w:space="0" w:color="auto"/>
              <w:bottom w:val="single" w:sz="2" w:space="0" w:color="auto"/>
              <w:right w:val="single" w:sz="2" w:space="0" w:color="auto"/>
            </w:tcBorders>
            <w:vAlign w:val="center"/>
          </w:tcPr>
          <w:p w14:paraId="14952EE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A346D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1,022,982,107.97</w:t>
            </w:r>
          </w:p>
        </w:tc>
        <w:tc>
          <w:tcPr>
            <w:tcW w:w="567" w:type="dxa"/>
            <w:tcBorders>
              <w:top w:val="single" w:sz="2" w:space="0" w:color="auto"/>
              <w:left w:val="single" w:sz="2" w:space="0" w:color="auto"/>
              <w:bottom w:val="single" w:sz="2" w:space="0" w:color="auto"/>
              <w:right w:val="single" w:sz="2" w:space="0" w:color="auto"/>
            </w:tcBorders>
            <w:vAlign w:val="center"/>
          </w:tcPr>
          <w:p w14:paraId="0850A9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197F13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3,320,208,427.61</w:t>
            </w:r>
          </w:p>
        </w:tc>
        <w:tc>
          <w:tcPr>
            <w:tcW w:w="1134" w:type="dxa"/>
            <w:tcBorders>
              <w:top w:val="single" w:sz="2" w:space="0" w:color="auto"/>
              <w:left w:val="single" w:sz="2" w:space="0" w:color="auto"/>
              <w:bottom w:val="single" w:sz="2" w:space="0" w:color="auto"/>
              <w:right w:val="single" w:sz="2" w:space="0" w:color="auto"/>
            </w:tcBorders>
            <w:vAlign w:val="center"/>
          </w:tcPr>
          <w:p w14:paraId="3B0BD7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183,512,363.61</w:t>
            </w:r>
          </w:p>
        </w:tc>
        <w:tc>
          <w:tcPr>
            <w:tcW w:w="1380" w:type="dxa"/>
            <w:tcBorders>
              <w:top w:val="single" w:sz="2" w:space="0" w:color="auto"/>
              <w:left w:val="single" w:sz="2" w:space="0" w:color="auto"/>
              <w:bottom w:val="single" w:sz="2" w:space="0" w:color="auto"/>
              <w:right w:val="single" w:sz="2" w:space="0" w:color="auto"/>
            </w:tcBorders>
            <w:vAlign w:val="center"/>
          </w:tcPr>
          <w:p w14:paraId="505675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3,503,720,791.22</w:t>
            </w:r>
          </w:p>
        </w:tc>
      </w:tr>
      <w:tr w:rsidR="004C3D2C" w:rsidRPr="005B5EC1" w14:paraId="0D42E7B7"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ABFD364" w14:textId="77777777" w:rsidR="00E32FE0" w:rsidRPr="005B5EC1" w:rsidRDefault="00000000" w:rsidP="004C3D2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加：会计政策变更</w:t>
            </w:r>
          </w:p>
        </w:tc>
        <w:tc>
          <w:tcPr>
            <w:tcW w:w="1276" w:type="dxa"/>
            <w:tcBorders>
              <w:top w:val="single" w:sz="2" w:space="0" w:color="auto"/>
              <w:left w:val="single" w:sz="2" w:space="0" w:color="auto"/>
              <w:bottom w:val="single" w:sz="2" w:space="0" w:color="auto"/>
              <w:right w:val="single" w:sz="2" w:space="0" w:color="auto"/>
            </w:tcBorders>
            <w:vAlign w:val="center"/>
          </w:tcPr>
          <w:p w14:paraId="3C1D7CD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524C2CC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4F5FEB1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DCA04A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A206E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355E3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F6B30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E3D03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5B22D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F7FC8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4460E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72,221.95</w:t>
            </w:r>
          </w:p>
        </w:tc>
        <w:tc>
          <w:tcPr>
            <w:tcW w:w="567" w:type="dxa"/>
            <w:tcBorders>
              <w:top w:val="single" w:sz="2" w:space="0" w:color="auto"/>
              <w:left w:val="single" w:sz="2" w:space="0" w:color="auto"/>
              <w:bottom w:val="single" w:sz="2" w:space="0" w:color="auto"/>
              <w:right w:val="single" w:sz="2" w:space="0" w:color="auto"/>
            </w:tcBorders>
            <w:vAlign w:val="center"/>
          </w:tcPr>
          <w:p w14:paraId="3EAAE6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3D47DB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72,221.95</w:t>
            </w:r>
          </w:p>
        </w:tc>
        <w:tc>
          <w:tcPr>
            <w:tcW w:w="1134" w:type="dxa"/>
            <w:tcBorders>
              <w:top w:val="single" w:sz="2" w:space="0" w:color="auto"/>
              <w:left w:val="single" w:sz="2" w:space="0" w:color="auto"/>
              <w:bottom w:val="single" w:sz="2" w:space="0" w:color="auto"/>
              <w:right w:val="single" w:sz="2" w:space="0" w:color="auto"/>
            </w:tcBorders>
            <w:vAlign w:val="center"/>
          </w:tcPr>
          <w:p w14:paraId="08B073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1,004.82</w:t>
            </w:r>
          </w:p>
        </w:tc>
        <w:tc>
          <w:tcPr>
            <w:tcW w:w="1380" w:type="dxa"/>
            <w:tcBorders>
              <w:top w:val="single" w:sz="2" w:space="0" w:color="auto"/>
              <w:left w:val="single" w:sz="2" w:space="0" w:color="auto"/>
              <w:bottom w:val="single" w:sz="2" w:space="0" w:color="auto"/>
              <w:right w:val="single" w:sz="2" w:space="0" w:color="auto"/>
            </w:tcBorders>
            <w:vAlign w:val="center"/>
          </w:tcPr>
          <w:p w14:paraId="7458C9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73,226.77</w:t>
            </w:r>
          </w:p>
        </w:tc>
      </w:tr>
      <w:tr w:rsidR="004C3D2C" w:rsidRPr="005B5EC1" w14:paraId="1153C763"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ABFFEF7" w14:textId="77777777" w:rsidR="00E32FE0" w:rsidRPr="005B5EC1" w:rsidRDefault="00000000" w:rsidP="004C3D2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前期差错更正</w:t>
            </w:r>
          </w:p>
        </w:tc>
        <w:tc>
          <w:tcPr>
            <w:tcW w:w="1276" w:type="dxa"/>
            <w:tcBorders>
              <w:top w:val="single" w:sz="2" w:space="0" w:color="auto"/>
              <w:left w:val="single" w:sz="2" w:space="0" w:color="auto"/>
              <w:bottom w:val="single" w:sz="2" w:space="0" w:color="auto"/>
              <w:right w:val="single" w:sz="2" w:space="0" w:color="auto"/>
            </w:tcBorders>
            <w:vAlign w:val="center"/>
          </w:tcPr>
          <w:p w14:paraId="12A53F5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687CD9B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18B9B9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81F38A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0CE34C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1CC11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CC69A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A2DC0D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84C5A3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42EB7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F3C750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D6146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CD5F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CD470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5CFA81D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50D4858D"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614CFDE" w14:textId="77777777" w:rsidR="00E32FE0" w:rsidRPr="005B5EC1" w:rsidRDefault="00000000" w:rsidP="004C3D2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77776C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3B8E8B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66818D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31BE47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017AC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73ACDD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5F845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089F5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7A86ED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3B17A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AC13A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1E78E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B49BA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677DA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2EF38F7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1F81A9BF"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414559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二、本年期初余额</w:t>
            </w:r>
          </w:p>
        </w:tc>
        <w:tc>
          <w:tcPr>
            <w:tcW w:w="1276" w:type="dxa"/>
            <w:tcBorders>
              <w:top w:val="single" w:sz="2" w:space="0" w:color="auto"/>
              <w:left w:val="single" w:sz="2" w:space="0" w:color="auto"/>
              <w:bottom w:val="single" w:sz="2" w:space="0" w:color="auto"/>
              <w:right w:val="single" w:sz="2" w:space="0" w:color="auto"/>
            </w:tcBorders>
            <w:vAlign w:val="center"/>
          </w:tcPr>
          <w:p w14:paraId="1B23E3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1,079,128,488.00</w:t>
            </w:r>
          </w:p>
        </w:tc>
        <w:tc>
          <w:tcPr>
            <w:tcW w:w="351" w:type="dxa"/>
            <w:tcBorders>
              <w:top w:val="single" w:sz="2" w:space="0" w:color="auto"/>
              <w:left w:val="single" w:sz="2" w:space="0" w:color="auto"/>
              <w:bottom w:val="single" w:sz="2" w:space="0" w:color="auto"/>
              <w:right w:val="single" w:sz="2" w:space="0" w:color="auto"/>
            </w:tcBorders>
            <w:vAlign w:val="center"/>
          </w:tcPr>
          <w:p w14:paraId="4ACA9D8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357" w:type="dxa"/>
            <w:tcBorders>
              <w:top w:val="single" w:sz="2" w:space="0" w:color="auto"/>
              <w:left w:val="single" w:sz="2" w:space="0" w:color="auto"/>
              <w:bottom w:val="single" w:sz="2" w:space="0" w:color="auto"/>
              <w:right w:val="single" w:sz="2" w:space="0" w:color="auto"/>
            </w:tcBorders>
            <w:vAlign w:val="center"/>
          </w:tcPr>
          <w:p w14:paraId="5A0B01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734BAF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171,571,679.93</w:t>
            </w:r>
          </w:p>
        </w:tc>
        <w:tc>
          <w:tcPr>
            <w:tcW w:w="1418" w:type="dxa"/>
            <w:tcBorders>
              <w:top w:val="single" w:sz="2" w:space="0" w:color="auto"/>
              <w:left w:val="single" w:sz="2" w:space="0" w:color="auto"/>
              <w:bottom w:val="single" w:sz="2" w:space="0" w:color="auto"/>
              <w:right w:val="single" w:sz="2" w:space="0" w:color="auto"/>
            </w:tcBorders>
            <w:vAlign w:val="center"/>
          </w:tcPr>
          <w:p w14:paraId="399D50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831,830,715.12</w:t>
            </w:r>
          </w:p>
        </w:tc>
        <w:tc>
          <w:tcPr>
            <w:tcW w:w="1134" w:type="dxa"/>
            <w:tcBorders>
              <w:top w:val="single" w:sz="2" w:space="0" w:color="auto"/>
              <w:left w:val="single" w:sz="2" w:space="0" w:color="auto"/>
              <w:bottom w:val="single" w:sz="2" w:space="0" w:color="auto"/>
              <w:right w:val="single" w:sz="2" w:space="0" w:color="auto"/>
            </w:tcBorders>
            <w:vAlign w:val="center"/>
          </w:tcPr>
          <w:p w14:paraId="6336C9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37,244,672.24</w:t>
            </w:r>
          </w:p>
        </w:tc>
        <w:tc>
          <w:tcPr>
            <w:tcW w:w="1134" w:type="dxa"/>
            <w:tcBorders>
              <w:top w:val="single" w:sz="2" w:space="0" w:color="auto"/>
              <w:left w:val="single" w:sz="2" w:space="0" w:color="auto"/>
              <w:bottom w:val="single" w:sz="2" w:space="0" w:color="auto"/>
              <w:right w:val="single" w:sz="2" w:space="0" w:color="auto"/>
            </w:tcBorders>
            <w:vAlign w:val="center"/>
          </w:tcPr>
          <w:p w14:paraId="47DD03D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-11,777,820.33</w:t>
            </w:r>
          </w:p>
        </w:tc>
        <w:tc>
          <w:tcPr>
            <w:tcW w:w="425" w:type="dxa"/>
            <w:tcBorders>
              <w:top w:val="single" w:sz="2" w:space="0" w:color="auto"/>
              <w:left w:val="single" w:sz="2" w:space="0" w:color="auto"/>
              <w:bottom w:val="single" w:sz="2" w:space="0" w:color="auto"/>
              <w:right w:val="single" w:sz="2" w:space="0" w:color="auto"/>
            </w:tcBorders>
            <w:vAlign w:val="center"/>
          </w:tcPr>
          <w:p w14:paraId="04E884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737B9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567" w:type="dxa"/>
            <w:tcBorders>
              <w:top w:val="single" w:sz="2" w:space="0" w:color="auto"/>
              <w:left w:val="single" w:sz="2" w:space="0" w:color="auto"/>
              <w:bottom w:val="single" w:sz="2" w:space="0" w:color="auto"/>
              <w:right w:val="single" w:sz="2" w:space="0" w:color="auto"/>
            </w:tcBorders>
            <w:vAlign w:val="center"/>
          </w:tcPr>
          <w:p w14:paraId="5FC3AC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0BF5B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1,023,054,329.92</w:t>
            </w:r>
          </w:p>
        </w:tc>
        <w:tc>
          <w:tcPr>
            <w:tcW w:w="567" w:type="dxa"/>
            <w:tcBorders>
              <w:top w:val="single" w:sz="2" w:space="0" w:color="auto"/>
              <w:left w:val="single" w:sz="2" w:space="0" w:color="auto"/>
              <w:bottom w:val="single" w:sz="2" w:space="0" w:color="auto"/>
              <w:right w:val="single" w:sz="2" w:space="0" w:color="auto"/>
            </w:tcBorders>
            <w:vAlign w:val="center"/>
          </w:tcPr>
          <w:p w14:paraId="783401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7E27B2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3,320,280,649.56</w:t>
            </w:r>
          </w:p>
        </w:tc>
        <w:tc>
          <w:tcPr>
            <w:tcW w:w="1134" w:type="dxa"/>
            <w:tcBorders>
              <w:top w:val="single" w:sz="2" w:space="0" w:color="auto"/>
              <w:left w:val="single" w:sz="2" w:space="0" w:color="auto"/>
              <w:bottom w:val="single" w:sz="2" w:space="0" w:color="auto"/>
              <w:right w:val="single" w:sz="2" w:space="0" w:color="auto"/>
            </w:tcBorders>
            <w:vAlign w:val="center"/>
          </w:tcPr>
          <w:p w14:paraId="53EC35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183,513,368.43</w:t>
            </w:r>
          </w:p>
        </w:tc>
        <w:tc>
          <w:tcPr>
            <w:tcW w:w="1380" w:type="dxa"/>
            <w:tcBorders>
              <w:top w:val="single" w:sz="2" w:space="0" w:color="auto"/>
              <w:left w:val="single" w:sz="2" w:space="0" w:color="auto"/>
              <w:bottom w:val="single" w:sz="2" w:space="0" w:color="auto"/>
              <w:right w:val="single" w:sz="2" w:space="0" w:color="auto"/>
            </w:tcBorders>
            <w:vAlign w:val="center"/>
          </w:tcPr>
          <w:p w14:paraId="27C3D9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3,503,794,017.99</w:t>
            </w:r>
          </w:p>
        </w:tc>
      </w:tr>
      <w:tr w:rsidR="004C3D2C" w:rsidRPr="005B5EC1" w14:paraId="7A8466EC"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C59C23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三、本期增减变动金额（减少以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1276" w:type="dxa"/>
            <w:tcBorders>
              <w:top w:val="single" w:sz="2" w:space="0" w:color="auto"/>
              <w:left w:val="single" w:sz="2" w:space="0" w:color="auto"/>
              <w:bottom w:val="single" w:sz="2" w:space="0" w:color="auto"/>
              <w:right w:val="single" w:sz="2" w:space="0" w:color="auto"/>
            </w:tcBorders>
            <w:vAlign w:val="center"/>
          </w:tcPr>
          <w:p w14:paraId="2A7C19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31,344.00</w:t>
            </w:r>
          </w:p>
        </w:tc>
        <w:tc>
          <w:tcPr>
            <w:tcW w:w="351" w:type="dxa"/>
            <w:tcBorders>
              <w:top w:val="single" w:sz="2" w:space="0" w:color="auto"/>
              <w:left w:val="single" w:sz="2" w:space="0" w:color="auto"/>
              <w:bottom w:val="single" w:sz="2" w:space="0" w:color="auto"/>
              <w:right w:val="single" w:sz="2" w:space="0" w:color="auto"/>
            </w:tcBorders>
            <w:vAlign w:val="center"/>
          </w:tcPr>
          <w:p w14:paraId="75DC27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19DCB6E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3616E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-797.95</w:t>
            </w:r>
          </w:p>
        </w:tc>
        <w:tc>
          <w:tcPr>
            <w:tcW w:w="1418" w:type="dxa"/>
            <w:tcBorders>
              <w:top w:val="single" w:sz="2" w:space="0" w:color="auto"/>
              <w:left w:val="single" w:sz="2" w:space="0" w:color="auto"/>
              <w:bottom w:val="single" w:sz="2" w:space="0" w:color="auto"/>
              <w:right w:val="single" w:sz="2" w:space="0" w:color="auto"/>
            </w:tcBorders>
            <w:vAlign w:val="center"/>
          </w:tcPr>
          <w:p w14:paraId="0BCD49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-6,873,293.48</w:t>
            </w:r>
          </w:p>
        </w:tc>
        <w:tc>
          <w:tcPr>
            <w:tcW w:w="1134" w:type="dxa"/>
            <w:tcBorders>
              <w:top w:val="single" w:sz="2" w:space="0" w:color="auto"/>
              <w:left w:val="single" w:sz="2" w:space="0" w:color="auto"/>
              <w:bottom w:val="single" w:sz="2" w:space="0" w:color="auto"/>
              <w:right w:val="single" w:sz="2" w:space="0" w:color="auto"/>
            </w:tcBorders>
            <w:vAlign w:val="center"/>
          </w:tcPr>
          <w:p w14:paraId="5D86F5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292,780,411.05</w:t>
            </w:r>
          </w:p>
        </w:tc>
        <w:tc>
          <w:tcPr>
            <w:tcW w:w="1134" w:type="dxa"/>
            <w:tcBorders>
              <w:top w:val="single" w:sz="2" w:space="0" w:color="auto"/>
              <w:left w:val="single" w:sz="2" w:space="0" w:color="auto"/>
              <w:bottom w:val="single" w:sz="2" w:space="0" w:color="auto"/>
              <w:right w:val="single" w:sz="2" w:space="0" w:color="auto"/>
            </w:tcBorders>
            <w:vAlign w:val="center"/>
          </w:tcPr>
          <w:p w14:paraId="1D954D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c>
          <w:tcPr>
            <w:tcW w:w="425" w:type="dxa"/>
            <w:tcBorders>
              <w:top w:val="single" w:sz="2" w:space="0" w:color="auto"/>
              <w:left w:val="single" w:sz="2" w:space="0" w:color="auto"/>
              <w:bottom w:val="single" w:sz="2" w:space="0" w:color="auto"/>
              <w:right w:val="single" w:sz="2" w:space="0" w:color="auto"/>
            </w:tcBorders>
            <w:vAlign w:val="center"/>
          </w:tcPr>
          <w:p w14:paraId="03C46D4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1A0130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505F6A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0D3AC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-1,538,353,704.08</w:t>
            </w:r>
          </w:p>
        </w:tc>
        <w:tc>
          <w:tcPr>
            <w:tcW w:w="567" w:type="dxa"/>
            <w:tcBorders>
              <w:top w:val="single" w:sz="2" w:space="0" w:color="auto"/>
              <w:left w:val="single" w:sz="2" w:space="0" w:color="auto"/>
              <w:bottom w:val="single" w:sz="2" w:space="0" w:color="auto"/>
              <w:right w:val="single" w:sz="2" w:space="0" w:color="auto"/>
            </w:tcBorders>
            <w:vAlign w:val="center"/>
          </w:tcPr>
          <w:p w14:paraId="739DAE2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32FE9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-1,838,299,042.23</w:t>
            </w:r>
          </w:p>
        </w:tc>
        <w:tc>
          <w:tcPr>
            <w:tcW w:w="1134" w:type="dxa"/>
            <w:tcBorders>
              <w:top w:val="single" w:sz="2" w:space="0" w:color="auto"/>
              <w:left w:val="single" w:sz="2" w:space="0" w:color="auto"/>
              <w:bottom w:val="single" w:sz="2" w:space="0" w:color="auto"/>
              <w:right w:val="single" w:sz="2" w:space="0" w:color="auto"/>
            </w:tcBorders>
            <w:vAlign w:val="center"/>
          </w:tcPr>
          <w:p w14:paraId="60194A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-8,534,160.32</w:t>
            </w:r>
          </w:p>
        </w:tc>
        <w:tc>
          <w:tcPr>
            <w:tcW w:w="1380" w:type="dxa"/>
            <w:tcBorders>
              <w:top w:val="single" w:sz="2" w:space="0" w:color="auto"/>
              <w:left w:val="single" w:sz="2" w:space="0" w:color="auto"/>
              <w:bottom w:val="single" w:sz="2" w:space="0" w:color="auto"/>
              <w:right w:val="single" w:sz="2" w:space="0" w:color="auto"/>
            </w:tcBorders>
            <w:vAlign w:val="center"/>
          </w:tcPr>
          <w:p w14:paraId="4544C6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-1,846,833,202.55</w:t>
            </w:r>
          </w:p>
        </w:tc>
      </w:tr>
      <w:tr w:rsidR="004C3D2C" w:rsidRPr="005B5EC1" w14:paraId="0965FC5D"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46D6F8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（一）综合收益总额</w:t>
            </w:r>
          </w:p>
        </w:tc>
        <w:tc>
          <w:tcPr>
            <w:tcW w:w="1276" w:type="dxa"/>
            <w:tcBorders>
              <w:top w:val="single" w:sz="2" w:space="0" w:color="auto"/>
              <w:left w:val="single" w:sz="2" w:space="0" w:color="auto"/>
              <w:bottom w:val="single" w:sz="2" w:space="0" w:color="auto"/>
              <w:right w:val="single" w:sz="2" w:space="0" w:color="auto"/>
            </w:tcBorders>
            <w:vAlign w:val="center"/>
          </w:tcPr>
          <w:p w14:paraId="355CA1B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3DB536E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6C094AE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B8BAF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8DA85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22FDD0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13E44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c>
          <w:tcPr>
            <w:tcW w:w="425" w:type="dxa"/>
            <w:tcBorders>
              <w:top w:val="single" w:sz="2" w:space="0" w:color="auto"/>
              <w:left w:val="single" w:sz="2" w:space="0" w:color="auto"/>
              <w:bottom w:val="single" w:sz="2" w:space="0" w:color="auto"/>
              <w:right w:val="single" w:sz="2" w:space="0" w:color="auto"/>
            </w:tcBorders>
            <w:vAlign w:val="center"/>
          </w:tcPr>
          <w:p w14:paraId="3CDEA96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51579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3D4E7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BBD4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-1,538,353,704.08</w:t>
            </w:r>
          </w:p>
        </w:tc>
        <w:tc>
          <w:tcPr>
            <w:tcW w:w="567" w:type="dxa"/>
            <w:tcBorders>
              <w:top w:val="single" w:sz="2" w:space="0" w:color="auto"/>
              <w:left w:val="single" w:sz="2" w:space="0" w:color="auto"/>
              <w:bottom w:val="single" w:sz="2" w:space="0" w:color="auto"/>
              <w:right w:val="single" w:sz="2" w:space="0" w:color="auto"/>
            </w:tcBorders>
            <w:vAlign w:val="center"/>
          </w:tcPr>
          <w:p w14:paraId="35C913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DEFA8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-1,538,675,883.75</w:t>
            </w:r>
          </w:p>
        </w:tc>
        <w:tc>
          <w:tcPr>
            <w:tcW w:w="1134" w:type="dxa"/>
            <w:tcBorders>
              <w:top w:val="single" w:sz="2" w:space="0" w:color="auto"/>
              <w:left w:val="single" w:sz="2" w:space="0" w:color="auto"/>
              <w:bottom w:val="single" w:sz="2" w:space="0" w:color="auto"/>
              <w:right w:val="single" w:sz="2" w:space="0" w:color="auto"/>
            </w:tcBorders>
            <w:vAlign w:val="center"/>
          </w:tcPr>
          <w:p w14:paraId="6E0E53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54,683,544.23</w:t>
            </w:r>
          </w:p>
        </w:tc>
        <w:tc>
          <w:tcPr>
            <w:tcW w:w="1380" w:type="dxa"/>
            <w:tcBorders>
              <w:top w:val="single" w:sz="2" w:space="0" w:color="auto"/>
              <w:left w:val="single" w:sz="2" w:space="0" w:color="auto"/>
              <w:bottom w:val="single" w:sz="2" w:space="0" w:color="auto"/>
              <w:right w:val="single" w:sz="2" w:space="0" w:color="auto"/>
            </w:tcBorders>
            <w:vAlign w:val="center"/>
          </w:tcPr>
          <w:p w14:paraId="369EE9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-1,483,992,339.52</w:t>
            </w:r>
          </w:p>
        </w:tc>
      </w:tr>
      <w:tr w:rsidR="004C3D2C" w:rsidRPr="005B5EC1" w14:paraId="35E7E912"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288F284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（二）所有者投入和减少资本</w:t>
            </w:r>
          </w:p>
        </w:tc>
        <w:tc>
          <w:tcPr>
            <w:tcW w:w="1276" w:type="dxa"/>
            <w:tcBorders>
              <w:top w:val="single" w:sz="2" w:space="0" w:color="auto"/>
              <w:left w:val="single" w:sz="2" w:space="0" w:color="auto"/>
              <w:bottom w:val="single" w:sz="2" w:space="0" w:color="auto"/>
              <w:right w:val="single" w:sz="2" w:space="0" w:color="auto"/>
            </w:tcBorders>
            <w:vAlign w:val="center"/>
          </w:tcPr>
          <w:p w14:paraId="17099B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31,344.00</w:t>
            </w:r>
          </w:p>
        </w:tc>
        <w:tc>
          <w:tcPr>
            <w:tcW w:w="351" w:type="dxa"/>
            <w:tcBorders>
              <w:top w:val="single" w:sz="2" w:space="0" w:color="auto"/>
              <w:left w:val="single" w:sz="2" w:space="0" w:color="auto"/>
              <w:bottom w:val="single" w:sz="2" w:space="0" w:color="auto"/>
              <w:right w:val="single" w:sz="2" w:space="0" w:color="auto"/>
            </w:tcBorders>
            <w:vAlign w:val="center"/>
          </w:tcPr>
          <w:p w14:paraId="668DA7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357" w:type="dxa"/>
            <w:tcBorders>
              <w:top w:val="single" w:sz="2" w:space="0" w:color="auto"/>
              <w:left w:val="single" w:sz="2" w:space="0" w:color="auto"/>
              <w:bottom w:val="single" w:sz="2" w:space="0" w:color="auto"/>
              <w:right w:val="single" w:sz="2" w:space="0" w:color="auto"/>
            </w:tcBorders>
            <w:vAlign w:val="center"/>
          </w:tcPr>
          <w:p w14:paraId="63655D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42AF9C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-797.95</w:t>
            </w:r>
          </w:p>
        </w:tc>
        <w:tc>
          <w:tcPr>
            <w:tcW w:w="1418" w:type="dxa"/>
            <w:tcBorders>
              <w:top w:val="single" w:sz="2" w:space="0" w:color="auto"/>
              <w:left w:val="single" w:sz="2" w:space="0" w:color="auto"/>
              <w:bottom w:val="single" w:sz="2" w:space="0" w:color="auto"/>
              <w:right w:val="single" w:sz="2" w:space="0" w:color="auto"/>
            </w:tcBorders>
            <w:vAlign w:val="center"/>
          </w:tcPr>
          <w:p w14:paraId="66039B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-6,873,293.48</w:t>
            </w:r>
          </w:p>
        </w:tc>
        <w:tc>
          <w:tcPr>
            <w:tcW w:w="1134" w:type="dxa"/>
            <w:tcBorders>
              <w:top w:val="single" w:sz="2" w:space="0" w:color="auto"/>
              <w:left w:val="single" w:sz="2" w:space="0" w:color="auto"/>
              <w:bottom w:val="single" w:sz="2" w:space="0" w:color="auto"/>
              <w:right w:val="single" w:sz="2" w:space="0" w:color="auto"/>
            </w:tcBorders>
            <w:vAlign w:val="center"/>
          </w:tcPr>
          <w:p w14:paraId="337A47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292,780,411.05</w:t>
            </w:r>
          </w:p>
        </w:tc>
        <w:tc>
          <w:tcPr>
            <w:tcW w:w="1134" w:type="dxa"/>
            <w:tcBorders>
              <w:top w:val="single" w:sz="2" w:space="0" w:color="auto"/>
              <w:left w:val="single" w:sz="2" w:space="0" w:color="auto"/>
              <w:bottom w:val="single" w:sz="2" w:space="0" w:color="auto"/>
              <w:right w:val="single" w:sz="2" w:space="0" w:color="auto"/>
            </w:tcBorders>
            <w:vAlign w:val="center"/>
          </w:tcPr>
          <w:p w14:paraId="7512E9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71838A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5E5FE8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vAlign w:val="center"/>
          </w:tcPr>
          <w:p w14:paraId="2060B09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8625A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vAlign w:val="center"/>
          </w:tcPr>
          <w:p w14:paraId="302A76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681858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-299,623,158.48</w:t>
            </w:r>
          </w:p>
        </w:tc>
        <w:tc>
          <w:tcPr>
            <w:tcW w:w="1134" w:type="dxa"/>
            <w:tcBorders>
              <w:top w:val="single" w:sz="2" w:space="0" w:color="auto"/>
              <w:left w:val="single" w:sz="2" w:space="0" w:color="auto"/>
              <w:bottom w:val="single" w:sz="2" w:space="0" w:color="auto"/>
              <w:right w:val="single" w:sz="2" w:space="0" w:color="auto"/>
            </w:tcBorders>
            <w:vAlign w:val="center"/>
          </w:tcPr>
          <w:p w14:paraId="08FFEF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-61,537,704.55</w:t>
            </w:r>
          </w:p>
        </w:tc>
        <w:tc>
          <w:tcPr>
            <w:tcW w:w="1380" w:type="dxa"/>
            <w:tcBorders>
              <w:top w:val="single" w:sz="2" w:space="0" w:color="auto"/>
              <w:left w:val="single" w:sz="2" w:space="0" w:color="auto"/>
              <w:bottom w:val="single" w:sz="2" w:space="0" w:color="auto"/>
              <w:right w:val="single" w:sz="2" w:space="0" w:color="auto"/>
            </w:tcBorders>
            <w:vAlign w:val="center"/>
          </w:tcPr>
          <w:p w14:paraId="5D9846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-361,160,863.03</w:t>
            </w:r>
          </w:p>
        </w:tc>
      </w:tr>
      <w:tr w:rsidR="004C3D2C" w:rsidRPr="005B5EC1" w14:paraId="03280284"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1CE521D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．所有者投入的普通股</w:t>
            </w:r>
          </w:p>
        </w:tc>
        <w:tc>
          <w:tcPr>
            <w:tcW w:w="1276" w:type="dxa"/>
            <w:tcBorders>
              <w:top w:val="single" w:sz="2" w:space="0" w:color="auto"/>
              <w:left w:val="single" w:sz="2" w:space="0" w:color="auto"/>
              <w:bottom w:val="single" w:sz="2" w:space="0" w:color="auto"/>
              <w:right w:val="single" w:sz="2" w:space="0" w:color="auto"/>
            </w:tcBorders>
            <w:vAlign w:val="center"/>
          </w:tcPr>
          <w:p w14:paraId="1D5122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31,344.00</w:t>
            </w:r>
          </w:p>
        </w:tc>
        <w:tc>
          <w:tcPr>
            <w:tcW w:w="351" w:type="dxa"/>
            <w:tcBorders>
              <w:top w:val="single" w:sz="2" w:space="0" w:color="auto"/>
              <w:left w:val="single" w:sz="2" w:space="0" w:color="auto"/>
              <w:bottom w:val="single" w:sz="2" w:space="0" w:color="auto"/>
              <w:right w:val="single" w:sz="2" w:space="0" w:color="auto"/>
            </w:tcBorders>
            <w:vAlign w:val="center"/>
          </w:tcPr>
          <w:p w14:paraId="4CAC4FA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097920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6E180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40BCE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189,001.97</w:t>
            </w:r>
          </w:p>
        </w:tc>
        <w:tc>
          <w:tcPr>
            <w:tcW w:w="1134" w:type="dxa"/>
            <w:tcBorders>
              <w:top w:val="single" w:sz="2" w:space="0" w:color="auto"/>
              <w:left w:val="single" w:sz="2" w:space="0" w:color="auto"/>
              <w:bottom w:val="single" w:sz="2" w:space="0" w:color="auto"/>
              <w:right w:val="single" w:sz="2" w:space="0" w:color="auto"/>
            </w:tcBorders>
            <w:vAlign w:val="center"/>
          </w:tcPr>
          <w:p w14:paraId="23F14A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ACD56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273DA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189B2A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A96A6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07898B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D86C1D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5C886B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220,345.97</w:t>
            </w:r>
          </w:p>
        </w:tc>
        <w:tc>
          <w:tcPr>
            <w:tcW w:w="1134" w:type="dxa"/>
            <w:tcBorders>
              <w:top w:val="single" w:sz="2" w:space="0" w:color="auto"/>
              <w:left w:val="single" w:sz="2" w:space="0" w:color="auto"/>
              <w:bottom w:val="single" w:sz="2" w:space="0" w:color="auto"/>
              <w:right w:val="single" w:sz="2" w:space="0" w:color="auto"/>
            </w:tcBorders>
            <w:vAlign w:val="center"/>
          </w:tcPr>
          <w:p w14:paraId="58E4FA5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6363B5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220,345.97</w:t>
            </w:r>
          </w:p>
        </w:tc>
      </w:tr>
      <w:tr w:rsidR="004C3D2C" w:rsidRPr="005B5EC1" w14:paraId="5E86BE0F"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0F5216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．其他权益工具持有者投入资本</w:t>
            </w:r>
          </w:p>
        </w:tc>
        <w:tc>
          <w:tcPr>
            <w:tcW w:w="1276" w:type="dxa"/>
            <w:tcBorders>
              <w:top w:val="single" w:sz="2" w:space="0" w:color="auto"/>
              <w:left w:val="single" w:sz="2" w:space="0" w:color="auto"/>
              <w:bottom w:val="single" w:sz="2" w:space="0" w:color="auto"/>
              <w:right w:val="single" w:sz="2" w:space="0" w:color="auto"/>
            </w:tcBorders>
            <w:vAlign w:val="center"/>
          </w:tcPr>
          <w:p w14:paraId="471011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4E6F5C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213A08E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A748C6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43B9A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D927D0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7D3635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395D1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5A141B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663AE7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92853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B25EF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96F11E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50E9B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4C83274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32E3BB3E"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72363B8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．股份支付计入所有者权益的金额</w:t>
            </w:r>
          </w:p>
        </w:tc>
        <w:tc>
          <w:tcPr>
            <w:tcW w:w="1276" w:type="dxa"/>
            <w:tcBorders>
              <w:top w:val="single" w:sz="2" w:space="0" w:color="auto"/>
              <w:left w:val="single" w:sz="2" w:space="0" w:color="auto"/>
              <w:bottom w:val="single" w:sz="2" w:space="0" w:color="auto"/>
              <w:right w:val="single" w:sz="2" w:space="0" w:color="auto"/>
            </w:tcBorders>
            <w:vAlign w:val="center"/>
          </w:tcPr>
          <w:p w14:paraId="2596DA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2754B0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7710A45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47E34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8A21C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E2CE7F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BCAE9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2645C1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F2E2F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9DA9A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25AC4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F2906F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3FD723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D13C08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39CE1AB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5E69FFDB"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5930E6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559CF0F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351" w:type="dxa"/>
            <w:tcBorders>
              <w:top w:val="single" w:sz="2" w:space="0" w:color="auto"/>
              <w:left w:val="single" w:sz="2" w:space="0" w:color="auto"/>
              <w:bottom w:val="single" w:sz="2" w:space="0" w:color="auto"/>
              <w:right w:val="single" w:sz="2" w:space="0" w:color="auto"/>
            </w:tcBorders>
            <w:vAlign w:val="center"/>
          </w:tcPr>
          <w:p w14:paraId="00D61D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357" w:type="dxa"/>
            <w:tcBorders>
              <w:top w:val="single" w:sz="2" w:space="0" w:color="auto"/>
              <w:left w:val="single" w:sz="2" w:space="0" w:color="auto"/>
              <w:bottom w:val="single" w:sz="2" w:space="0" w:color="auto"/>
              <w:right w:val="single" w:sz="2" w:space="0" w:color="auto"/>
            </w:tcBorders>
            <w:vAlign w:val="center"/>
          </w:tcPr>
          <w:p w14:paraId="312797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56DA02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-797.95</w:t>
            </w:r>
          </w:p>
        </w:tc>
        <w:tc>
          <w:tcPr>
            <w:tcW w:w="1418" w:type="dxa"/>
            <w:tcBorders>
              <w:top w:val="single" w:sz="2" w:space="0" w:color="auto"/>
              <w:left w:val="single" w:sz="2" w:space="0" w:color="auto"/>
              <w:bottom w:val="single" w:sz="2" w:space="0" w:color="auto"/>
              <w:right w:val="single" w:sz="2" w:space="0" w:color="auto"/>
            </w:tcBorders>
            <w:vAlign w:val="center"/>
          </w:tcPr>
          <w:p w14:paraId="0495F9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-7,062,295.45</w:t>
            </w:r>
          </w:p>
        </w:tc>
        <w:tc>
          <w:tcPr>
            <w:tcW w:w="1134" w:type="dxa"/>
            <w:tcBorders>
              <w:top w:val="single" w:sz="2" w:space="0" w:color="auto"/>
              <w:left w:val="single" w:sz="2" w:space="0" w:color="auto"/>
              <w:bottom w:val="single" w:sz="2" w:space="0" w:color="auto"/>
              <w:right w:val="single" w:sz="2" w:space="0" w:color="auto"/>
            </w:tcBorders>
            <w:vAlign w:val="center"/>
          </w:tcPr>
          <w:p w14:paraId="089C2E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292,780,411.05</w:t>
            </w:r>
          </w:p>
        </w:tc>
        <w:tc>
          <w:tcPr>
            <w:tcW w:w="1134" w:type="dxa"/>
            <w:tcBorders>
              <w:top w:val="single" w:sz="2" w:space="0" w:color="auto"/>
              <w:left w:val="single" w:sz="2" w:space="0" w:color="auto"/>
              <w:bottom w:val="single" w:sz="2" w:space="0" w:color="auto"/>
              <w:right w:val="single" w:sz="2" w:space="0" w:color="auto"/>
            </w:tcBorders>
            <w:vAlign w:val="center"/>
          </w:tcPr>
          <w:p w14:paraId="6AA6F0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21610D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234D44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vAlign w:val="center"/>
          </w:tcPr>
          <w:p w14:paraId="6653430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33F561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vAlign w:val="center"/>
          </w:tcPr>
          <w:p w14:paraId="4FD73F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0FAF98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-299,843,504.45</w:t>
            </w:r>
          </w:p>
        </w:tc>
        <w:tc>
          <w:tcPr>
            <w:tcW w:w="1134" w:type="dxa"/>
            <w:tcBorders>
              <w:top w:val="single" w:sz="2" w:space="0" w:color="auto"/>
              <w:left w:val="single" w:sz="2" w:space="0" w:color="auto"/>
              <w:bottom w:val="single" w:sz="2" w:space="0" w:color="auto"/>
              <w:right w:val="single" w:sz="2" w:space="0" w:color="auto"/>
            </w:tcBorders>
            <w:vAlign w:val="center"/>
          </w:tcPr>
          <w:p w14:paraId="5E8361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-61,537,704.55</w:t>
            </w:r>
          </w:p>
        </w:tc>
        <w:tc>
          <w:tcPr>
            <w:tcW w:w="1380" w:type="dxa"/>
            <w:tcBorders>
              <w:top w:val="single" w:sz="2" w:space="0" w:color="auto"/>
              <w:left w:val="single" w:sz="2" w:space="0" w:color="auto"/>
              <w:bottom w:val="single" w:sz="2" w:space="0" w:color="auto"/>
              <w:right w:val="single" w:sz="2" w:space="0" w:color="auto"/>
            </w:tcBorders>
            <w:vAlign w:val="center"/>
          </w:tcPr>
          <w:p w14:paraId="713D79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-361,381,209.00</w:t>
            </w:r>
          </w:p>
        </w:tc>
      </w:tr>
      <w:tr w:rsidR="004C3D2C" w:rsidRPr="005B5EC1" w14:paraId="2EF4D33A"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238959C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（三）利润分配</w:t>
            </w:r>
          </w:p>
        </w:tc>
        <w:tc>
          <w:tcPr>
            <w:tcW w:w="1276" w:type="dxa"/>
            <w:tcBorders>
              <w:top w:val="single" w:sz="2" w:space="0" w:color="auto"/>
              <w:left w:val="single" w:sz="2" w:space="0" w:color="auto"/>
              <w:bottom w:val="single" w:sz="2" w:space="0" w:color="auto"/>
              <w:right w:val="single" w:sz="2" w:space="0" w:color="auto"/>
            </w:tcBorders>
            <w:vAlign w:val="center"/>
          </w:tcPr>
          <w:p w14:paraId="67465D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116D485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287D126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1383A0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5182B3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B3EA7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DB3C2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42993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A1994B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26C1D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8B8A2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E37E3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219F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E3B7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-1,680,000.00</w:t>
            </w:r>
          </w:p>
        </w:tc>
        <w:tc>
          <w:tcPr>
            <w:tcW w:w="1380" w:type="dxa"/>
            <w:tcBorders>
              <w:top w:val="single" w:sz="2" w:space="0" w:color="auto"/>
              <w:left w:val="single" w:sz="2" w:space="0" w:color="auto"/>
              <w:bottom w:val="single" w:sz="2" w:space="0" w:color="auto"/>
              <w:right w:val="single" w:sz="2" w:space="0" w:color="auto"/>
            </w:tcBorders>
            <w:vAlign w:val="center"/>
          </w:tcPr>
          <w:p w14:paraId="48097C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-1,680,000.00</w:t>
            </w:r>
          </w:p>
        </w:tc>
      </w:tr>
      <w:tr w:rsidR="004C3D2C" w:rsidRPr="005B5EC1" w14:paraId="6D437485"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15830F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．提取盈余公积</w:t>
            </w:r>
          </w:p>
        </w:tc>
        <w:tc>
          <w:tcPr>
            <w:tcW w:w="1276" w:type="dxa"/>
            <w:tcBorders>
              <w:top w:val="single" w:sz="2" w:space="0" w:color="auto"/>
              <w:left w:val="single" w:sz="2" w:space="0" w:color="auto"/>
              <w:bottom w:val="single" w:sz="2" w:space="0" w:color="auto"/>
              <w:right w:val="single" w:sz="2" w:space="0" w:color="auto"/>
            </w:tcBorders>
            <w:vAlign w:val="center"/>
          </w:tcPr>
          <w:p w14:paraId="2F5A2B0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3130613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280F36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A98194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80E5E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A3E8D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CB9F7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55C67A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502091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A2304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C784F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E87E62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E94B5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9FF8DA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4BEA0EB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13379B42"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FD9FDB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．提取一般风险准备</w:t>
            </w:r>
          </w:p>
        </w:tc>
        <w:tc>
          <w:tcPr>
            <w:tcW w:w="1276" w:type="dxa"/>
            <w:tcBorders>
              <w:top w:val="single" w:sz="2" w:space="0" w:color="auto"/>
              <w:left w:val="single" w:sz="2" w:space="0" w:color="auto"/>
              <w:bottom w:val="single" w:sz="2" w:space="0" w:color="auto"/>
              <w:right w:val="single" w:sz="2" w:space="0" w:color="auto"/>
            </w:tcBorders>
            <w:vAlign w:val="center"/>
          </w:tcPr>
          <w:p w14:paraId="78E62E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31802A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1CEDD1B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A935F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2D2F5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2217F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A19B4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73BC3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ABC314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0BA47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5489A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D5754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A5952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FC20C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5257F3F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652A3272"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74BF9D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．对所有者（或股东）的分配</w:t>
            </w:r>
          </w:p>
        </w:tc>
        <w:tc>
          <w:tcPr>
            <w:tcW w:w="1276" w:type="dxa"/>
            <w:tcBorders>
              <w:top w:val="single" w:sz="2" w:space="0" w:color="auto"/>
              <w:left w:val="single" w:sz="2" w:space="0" w:color="auto"/>
              <w:bottom w:val="single" w:sz="2" w:space="0" w:color="auto"/>
              <w:right w:val="single" w:sz="2" w:space="0" w:color="auto"/>
            </w:tcBorders>
            <w:vAlign w:val="center"/>
          </w:tcPr>
          <w:p w14:paraId="18BD40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2F5943A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0E8480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C3E03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22B2F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BD31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E23D40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F8911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85E9A7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057F90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9F883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DD185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9F1BA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7F0BC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-1,680,000.00</w:t>
            </w:r>
          </w:p>
        </w:tc>
        <w:tc>
          <w:tcPr>
            <w:tcW w:w="1380" w:type="dxa"/>
            <w:tcBorders>
              <w:top w:val="single" w:sz="2" w:space="0" w:color="auto"/>
              <w:left w:val="single" w:sz="2" w:space="0" w:color="auto"/>
              <w:bottom w:val="single" w:sz="2" w:space="0" w:color="auto"/>
              <w:right w:val="single" w:sz="2" w:space="0" w:color="auto"/>
            </w:tcBorders>
            <w:vAlign w:val="center"/>
          </w:tcPr>
          <w:p w14:paraId="19F4F3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-1,680,000.00</w:t>
            </w:r>
          </w:p>
        </w:tc>
      </w:tr>
      <w:tr w:rsidR="004C3D2C" w:rsidRPr="005B5EC1" w14:paraId="03D8411B"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1EDE279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4BA0AB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6DE35F0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46C158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270C3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B01DD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18F16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71BA4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B03415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6EF0F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C3A6F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8E06F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51BD1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74473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802B5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5AFBAAE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7A615844"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1A464C7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（四）所有者权益内部</w:t>
            </w:r>
            <w:r w:rsidRPr="005B5EC1">
              <w:rPr>
                <w:rFonts w:ascii="Times New Roman" w:eastAsia="宋体" w:hAnsi="Times New Roman" w:cs="Times New Roman"/>
                <w:sz w:val="18"/>
                <w:szCs w:val="18"/>
              </w:rPr>
              <w:lastRenderedPageBreak/>
              <w:t>结转</w:t>
            </w:r>
          </w:p>
        </w:tc>
        <w:tc>
          <w:tcPr>
            <w:tcW w:w="1276" w:type="dxa"/>
            <w:tcBorders>
              <w:top w:val="single" w:sz="2" w:space="0" w:color="auto"/>
              <w:left w:val="single" w:sz="2" w:space="0" w:color="auto"/>
              <w:bottom w:val="single" w:sz="2" w:space="0" w:color="auto"/>
              <w:right w:val="single" w:sz="2" w:space="0" w:color="auto"/>
            </w:tcBorders>
            <w:vAlign w:val="center"/>
          </w:tcPr>
          <w:p w14:paraId="15F0A97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4CA2A0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15EAF6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F5826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299DB5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37FFAD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C79F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84148C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B90EE1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20B3B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3E559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09D21C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7256DA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1EBF5B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243E056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28D9BC1E"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384167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．资本公积转增资本（或股本）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7D5EFD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403D11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01E0A0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16C678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6CCC02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7F53A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5DE2D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79015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92A5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DD2D53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C4B66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399686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F466F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C2FD9D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72C5C9C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58E79005"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4129DF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．盈余公积转增资本（或股本）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14:paraId="194403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6159341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3630E9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6920C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51BBE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46420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04B38D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0D00D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8A21A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DD5D8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FE62D0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C5956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A4A16D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75C05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703FC14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7DD19E2D"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468D032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．盈余公积弥补亏损</w:t>
            </w:r>
          </w:p>
        </w:tc>
        <w:tc>
          <w:tcPr>
            <w:tcW w:w="1276" w:type="dxa"/>
            <w:tcBorders>
              <w:top w:val="single" w:sz="2" w:space="0" w:color="auto"/>
              <w:left w:val="single" w:sz="2" w:space="0" w:color="auto"/>
              <w:bottom w:val="single" w:sz="2" w:space="0" w:color="auto"/>
              <w:right w:val="single" w:sz="2" w:space="0" w:color="auto"/>
            </w:tcBorders>
            <w:vAlign w:val="center"/>
          </w:tcPr>
          <w:p w14:paraId="2ABDF7B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54D5AC9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244B90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1FFB25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96881B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9458E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C6BF1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40B22A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A3CB9C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6AFFD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88CD6C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1E18B3C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4B60C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719961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3B9FD59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0BD3ABFA"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DAE178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．设定受益计划变动额结转留存收益</w:t>
            </w:r>
          </w:p>
        </w:tc>
        <w:tc>
          <w:tcPr>
            <w:tcW w:w="1276" w:type="dxa"/>
            <w:tcBorders>
              <w:top w:val="single" w:sz="2" w:space="0" w:color="auto"/>
              <w:left w:val="single" w:sz="2" w:space="0" w:color="auto"/>
              <w:bottom w:val="single" w:sz="2" w:space="0" w:color="auto"/>
              <w:right w:val="single" w:sz="2" w:space="0" w:color="auto"/>
            </w:tcBorders>
            <w:vAlign w:val="center"/>
          </w:tcPr>
          <w:p w14:paraId="4AC8DD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16E53F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73C3E0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C9538B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3AD057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FB789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F1A94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9B845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5154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43295C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3A8E3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11F7D0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00B52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D65E8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29A3CBF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75D79CE2"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2795DF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．其他综合收益结转留存收益</w:t>
            </w:r>
          </w:p>
        </w:tc>
        <w:tc>
          <w:tcPr>
            <w:tcW w:w="1276" w:type="dxa"/>
            <w:tcBorders>
              <w:top w:val="single" w:sz="2" w:space="0" w:color="auto"/>
              <w:left w:val="single" w:sz="2" w:space="0" w:color="auto"/>
              <w:bottom w:val="single" w:sz="2" w:space="0" w:color="auto"/>
              <w:right w:val="single" w:sz="2" w:space="0" w:color="auto"/>
            </w:tcBorders>
            <w:vAlign w:val="center"/>
          </w:tcPr>
          <w:p w14:paraId="151716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31CA5F5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3BB982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6BEEB9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560C28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C141B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A68137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5C09D4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95F1B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70BDC4E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B37D24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678A80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77A1DD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2D898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3A5F51F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76CA8160"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BAA807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14:paraId="071014F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0F008A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22CEB46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EECCEE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DCB5AA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D626CF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3FC5DC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3A6B8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DF237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04468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B762A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F4D99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EFB6D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1EB332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5BA8D39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2EE9B378"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1D2363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（五）专项储备</w:t>
            </w:r>
          </w:p>
        </w:tc>
        <w:tc>
          <w:tcPr>
            <w:tcW w:w="1276" w:type="dxa"/>
            <w:tcBorders>
              <w:top w:val="single" w:sz="2" w:space="0" w:color="auto"/>
              <w:left w:val="single" w:sz="2" w:space="0" w:color="auto"/>
              <w:bottom w:val="single" w:sz="2" w:space="0" w:color="auto"/>
              <w:right w:val="single" w:sz="2" w:space="0" w:color="auto"/>
            </w:tcBorders>
            <w:vAlign w:val="center"/>
          </w:tcPr>
          <w:p w14:paraId="0875A2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23D7E6E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2CC12B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9FEE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78E4F3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82B8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6F531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773209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6B6F5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3F476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47ABD5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43BFA1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99645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F48A9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347606A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2E2EC566"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696E00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．本期提取</w:t>
            </w:r>
          </w:p>
        </w:tc>
        <w:tc>
          <w:tcPr>
            <w:tcW w:w="1276" w:type="dxa"/>
            <w:tcBorders>
              <w:top w:val="single" w:sz="2" w:space="0" w:color="auto"/>
              <w:left w:val="single" w:sz="2" w:space="0" w:color="auto"/>
              <w:bottom w:val="single" w:sz="2" w:space="0" w:color="auto"/>
              <w:right w:val="single" w:sz="2" w:space="0" w:color="auto"/>
            </w:tcBorders>
            <w:vAlign w:val="center"/>
          </w:tcPr>
          <w:p w14:paraId="751D59C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020A6DC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65224B9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FBA2FE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4CC98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7F68F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58DE835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B62697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974DC8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33D59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3A316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2A8D6D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247C0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5A3E9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7C53995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5E9913F6"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53579A6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．本期使用</w:t>
            </w:r>
          </w:p>
        </w:tc>
        <w:tc>
          <w:tcPr>
            <w:tcW w:w="1276" w:type="dxa"/>
            <w:tcBorders>
              <w:top w:val="single" w:sz="2" w:space="0" w:color="auto"/>
              <w:left w:val="single" w:sz="2" w:space="0" w:color="auto"/>
              <w:bottom w:val="single" w:sz="2" w:space="0" w:color="auto"/>
              <w:right w:val="single" w:sz="2" w:space="0" w:color="auto"/>
            </w:tcBorders>
            <w:vAlign w:val="center"/>
          </w:tcPr>
          <w:p w14:paraId="62CBD5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40D739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1BD322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DD146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07ECF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BF7751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F53F05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237EC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66C91D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3E243C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F3882A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05F917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FFF24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A268D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7414D76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099E6BB2"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19FBA6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（六）其他</w:t>
            </w:r>
          </w:p>
        </w:tc>
        <w:tc>
          <w:tcPr>
            <w:tcW w:w="1276" w:type="dxa"/>
            <w:tcBorders>
              <w:top w:val="single" w:sz="2" w:space="0" w:color="auto"/>
              <w:left w:val="single" w:sz="2" w:space="0" w:color="auto"/>
              <w:bottom w:val="single" w:sz="2" w:space="0" w:color="auto"/>
              <w:right w:val="single" w:sz="2" w:space="0" w:color="auto"/>
            </w:tcBorders>
            <w:vAlign w:val="center"/>
          </w:tcPr>
          <w:p w14:paraId="57BDF84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1" w:type="dxa"/>
            <w:tcBorders>
              <w:top w:val="single" w:sz="2" w:space="0" w:color="auto"/>
              <w:left w:val="single" w:sz="2" w:space="0" w:color="auto"/>
              <w:bottom w:val="single" w:sz="2" w:space="0" w:color="auto"/>
              <w:right w:val="single" w:sz="2" w:space="0" w:color="auto"/>
            </w:tcBorders>
            <w:vAlign w:val="center"/>
          </w:tcPr>
          <w:p w14:paraId="2DEB6C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57" w:type="dxa"/>
            <w:tcBorders>
              <w:top w:val="single" w:sz="2" w:space="0" w:color="auto"/>
              <w:left w:val="single" w:sz="2" w:space="0" w:color="auto"/>
              <w:bottom w:val="single" w:sz="2" w:space="0" w:color="auto"/>
              <w:right w:val="single" w:sz="2" w:space="0" w:color="auto"/>
            </w:tcBorders>
            <w:vAlign w:val="center"/>
          </w:tcPr>
          <w:p w14:paraId="3BA986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A81D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9889C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8F7C5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4663D9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155538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171FF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2D6BE6A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F7B45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14:paraId="5717643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76B92E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4EF7F5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80" w:type="dxa"/>
            <w:tcBorders>
              <w:top w:val="single" w:sz="2" w:space="0" w:color="auto"/>
              <w:left w:val="single" w:sz="2" w:space="0" w:color="auto"/>
              <w:bottom w:val="single" w:sz="2" w:space="0" w:color="auto"/>
              <w:right w:val="single" w:sz="2" w:space="0" w:color="auto"/>
            </w:tcBorders>
            <w:vAlign w:val="center"/>
          </w:tcPr>
          <w:p w14:paraId="62F5C54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4C3D2C" w:rsidRPr="005B5EC1" w14:paraId="5BC9B7AC" w14:textId="77777777" w:rsidTr="00E71751">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1D964DE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四、本期期末余额</w:t>
            </w:r>
          </w:p>
        </w:tc>
        <w:tc>
          <w:tcPr>
            <w:tcW w:w="1276" w:type="dxa"/>
            <w:tcBorders>
              <w:top w:val="single" w:sz="2" w:space="0" w:color="auto"/>
              <w:left w:val="single" w:sz="2" w:space="0" w:color="auto"/>
              <w:bottom w:val="single" w:sz="2" w:space="0" w:color="auto"/>
              <w:right w:val="single" w:sz="2" w:space="0" w:color="auto"/>
            </w:tcBorders>
            <w:vAlign w:val="center"/>
          </w:tcPr>
          <w:p w14:paraId="2A3760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1,079,159,832.00</w:t>
            </w:r>
          </w:p>
        </w:tc>
        <w:tc>
          <w:tcPr>
            <w:tcW w:w="351" w:type="dxa"/>
            <w:tcBorders>
              <w:top w:val="single" w:sz="2" w:space="0" w:color="auto"/>
              <w:left w:val="single" w:sz="2" w:space="0" w:color="auto"/>
              <w:bottom w:val="single" w:sz="2" w:space="0" w:color="auto"/>
              <w:right w:val="single" w:sz="2" w:space="0" w:color="auto"/>
            </w:tcBorders>
            <w:vAlign w:val="center"/>
          </w:tcPr>
          <w:p w14:paraId="2975309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357" w:type="dxa"/>
            <w:tcBorders>
              <w:top w:val="single" w:sz="2" w:space="0" w:color="auto"/>
              <w:left w:val="single" w:sz="2" w:space="0" w:color="auto"/>
              <w:bottom w:val="single" w:sz="2" w:space="0" w:color="auto"/>
              <w:right w:val="single" w:sz="2" w:space="0" w:color="auto"/>
            </w:tcBorders>
            <w:vAlign w:val="center"/>
          </w:tcPr>
          <w:p w14:paraId="0FD64F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vAlign w:val="center"/>
          </w:tcPr>
          <w:p w14:paraId="2BAB12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c>
          <w:tcPr>
            <w:tcW w:w="1418" w:type="dxa"/>
            <w:tcBorders>
              <w:top w:val="single" w:sz="2" w:space="0" w:color="auto"/>
              <w:left w:val="single" w:sz="2" w:space="0" w:color="auto"/>
              <w:bottom w:val="single" w:sz="2" w:space="0" w:color="auto"/>
              <w:right w:val="single" w:sz="2" w:space="0" w:color="auto"/>
            </w:tcBorders>
            <w:vAlign w:val="center"/>
          </w:tcPr>
          <w:p w14:paraId="5CFC55E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824,957,421.64</w:t>
            </w:r>
          </w:p>
        </w:tc>
        <w:tc>
          <w:tcPr>
            <w:tcW w:w="1134" w:type="dxa"/>
            <w:tcBorders>
              <w:top w:val="single" w:sz="2" w:space="0" w:color="auto"/>
              <w:left w:val="single" w:sz="2" w:space="0" w:color="auto"/>
              <w:bottom w:val="single" w:sz="2" w:space="0" w:color="auto"/>
              <w:right w:val="single" w:sz="2" w:space="0" w:color="auto"/>
            </w:tcBorders>
            <w:vAlign w:val="center"/>
          </w:tcPr>
          <w:p w14:paraId="577851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134" w:type="dxa"/>
            <w:tcBorders>
              <w:top w:val="single" w:sz="2" w:space="0" w:color="auto"/>
              <w:left w:val="single" w:sz="2" w:space="0" w:color="auto"/>
              <w:bottom w:val="single" w:sz="2" w:space="0" w:color="auto"/>
              <w:right w:val="single" w:sz="2" w:space="0" w:color="auto"/>
            </w:tcBorders>
            <w:vAlign w:val="center"/>
          </w:tcPr>
          <w:p w14:paraId="3DCF89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5DCFB0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3A8E2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567" w:type="dxa"/>
            <w:tcBorders>
              <w:top w:val="single" w:sz="2" w:space="0" w:color="auto"/>
              <w:left w:val="single" w:sz="2" w:space="0" w:color="auto"/>
              <w:bottom w:val="single" w:sz="2" w:space="0" w:color="auto"/>
              <w:right w:val="single" w:sz="2" w:space="0" w:color="auto"/>
            </w:tcBorders>
            <w:vAlign w:val="center"/>
          </w:tcPr>
          <w:p w14:paraId="0115DA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E7833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-515,299,374.16</w:t>
            </w:r>
          </w:p>
        </w:tc>
        <w:tc>
          <w:tcPr>
            <w:tcW w:w="567" w:type="dxa"/>
            <w:tcBorders>
              <w:top w:val="single" w:sz="2" w:space="0" w:color="auto"/>
              <w:left w:val="single" w:sz="2" w:space="0" w:color="auto"/>
              <w:bottom w:val="single" w:sz="2" w:space="0" w:color="auto"/>
              <w:right w:val="single" w:sz="2" w:space="0" w:color="auto"/>
            </w:tcBorders>
            <w:vAlign w:val="center"/>
          </w:tcPr>
          <w:p w14:paraId="244B83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000425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1,481,981,607.33</w:t>
            </w:r>
          </w:p>
        </w:tc>
        <w:tc>
          <w:tcPr>
            <w:tcW w:w="1134" w:type="dxa"/>
            <w:tcBorders>
              <w:top w:val="single" w:sz="2" w:space="0" w:color="auto"/>
              <w:left w:val="single" w:sz="2" w:space="0" w:color="auto"/>
              <w:bottom w:val="single" w:sz="2" w:space="0" w:color="auto"/>
              <w:right w:val="single" w:sz="2" w:space="0" w:color="auto"/>
            </w:tcBorders>
            <w:vAlign w:val="center"/>
          </w:tcPr>
          <w:p w14:paraId="3A2169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174,979,208.11</w:t>
            </w:r>
          </w:p>
        </w:tc>
        <w:tc>
          <w:tcPr>
            <w:tcW w:w="1380" w:type="dxa"/>
            <w:tcBorders>
              <w:top w:val="single" w:sz="2" w:space="0" w:color="auto"/>
              <w:left w:val="single" w:sz="2" w:space="0" w:color="auto"/>
              <w:bottom w:val="single" w:sz="2" w:space="0" w:color="auto"/>
              <w:right w:val="single" w:sz="2" w:space="0" w:color="auto"/>
            </w:tcBorders>
            <w:vAlign w:val="center"/>
          </w:tcPr>
          <w:p w14:paraId="2EC878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1,656,960,815.44</w:t>
            </w:r>
          </w:p>
        </w:tc>
      </w:tr>
    </w:tbl>
    <w:p w14:paraId="0937BF6E" w14:textId="552E4795" w:rsidR="00520C70" w:rsidRPr="005B5EC1" w:rsidRDefault="00520C70">
      <w:pPr>
        <w:widowControl/>
        <w:rPr>
          <w:rFonts w:ascii="Times New Roman" w:eastAsia="宋体" w:hAnsi="Times New Roman" w:cs="Times New Roman"/>
          <w:b/>
          <w:bCs/>
          <w:sz w:val="21"/>
          <w:szCs w:val="21"/>
        </w:rPr>
      </w:pPr>
      <w:bookmarkStart w:id="170" w:name="_Toc989059"/>
    </w:p>
    <w:p w14:paraId="6B7D14D7" w14:textId="77777777" w:rsidR="00520C70" w:rsidRPr="005B5EC1" w:rsidRDefault="00520C70">
      <w:pPr>
        <w:widowControl/>
        <w:rPr>
          <w:rFonts w:ascii="Times New Roman" w:eastAsia="宋体" w:hAnsi="Times New Roman" w:cs="Times New Roman"/>
          <w:b/>
          <w:bCs/>
          <w:sz w:val="21"/>
          <w:szCs w:val="21"/>
        </w:rPr>
      </w:pPr>
      <w:r w:rsidRPr="005B5EC1">
        <w:rPr>
          <w:rFonts w:ascii="Times New Roman" w:eastAsia="宋体" w:hAnsi="Times New Roman" w:cs="Times New Roman"/>
          <w:b/>
          <w:bCs/>
          <w:sz w:val="21"/>
          <w:szCs w:val="21"/>
        </w:rPr>
        <w:br w:type="page"/>
      </w:r>
    </w:p>
    <w:p w14:paraId="649817E0" w14:textId="37C7DB60" w:rsidR="00E32FE0" w:rsidRPr="005B5EC1" w:rsidRDefault="00000000">
      <w:pPr>
        <w:pStyle w:val="3"/>
        <w:spacing w:line="280" w:lineRule="exact"/>
        <w:jc w:val="left"/>
        <w:rPr>
          <w:rFonts w:ascii="Times New Roman" w:hAnsi="Times New Roman" w:cs="Times New Roman"/>
          <w:b/>
          <w:bCs/>
        </w:rPr>
      </w:pPr>
      <w:r w:rsidRPr="005B5EC1">
        <w:rPr>
          <w:rFonts w:ascii="Times New Roman" w:hAnsi="Times New Roman" w:cs="Times New Roman"/>
          <w:b/>
          <w:bCs/>
        </w:rPr>
        <w:lastRenderedPageBreak/>
        <w:t>8</w:t>
      </w:r>
      <w:r w:rsidRPr="005B5EC1">
        <w:rPr>
          <w:rFonts w:ascii="Times New Roman" w:hAnsi="Times New Roman" w:cs="Times New Roman"/>
          <w:b/>
          <w:bCs/>
        </w:rPr>
        <w:t>、母公司所有者权益变动表</w:t>
      </w:r>
      <w:bookmarkEnd w:id="170"/>
    </w:p>
    <w:p w14:paraId="39D8D6C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本期金额</w:t>
      </w:r>
    </w:p>
    <w:p w14:paraId="4EB44112"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5593" w:type="dxa"/>
        <w:tblInd w:w="-7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555"/>
        <w:gridCol w:w="1706"/>
        <w:gridCol w:w="850"/>
        <w:gridCol w:w="993"/>
        <w:gridCol w:w="1417"/>
        <w:gridCol w:w="1276"/>
        <w:gridCol w:w="1417"/>
        <w:gridCol w:w="1276"/>
        <w:gridCol w:w="425"/>
        <w:gridCol w:w="1276"/>
        <w:gridCol w:w="1418"/>
        <w:gridCol w:w="708"/>
        <w:gridCol w:w="1276"/>
      </w:tblGrid>
      <w:tr w:rsidR="00E32FE0" w:rsidRPr="005B5EC1" w14:paraId="55482F39" w14:textId="77777777" w:rsidTr="00520C70">
        <w:trPr>
          <w:trHeight w:val="240"/>
        </w:trPr>
        <w:tc>
          <w:tcPr>
            <w:tcW w:w="155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3132E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403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1E7A4F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年度</w:t>
            </w:r>
          </w:p>
        </w:tc>
      </w:tr>
      <w:tr w:rsidR="00520C70" w:rsidRPr="005B5EC1" w14:paraId="3D382A89" w14:textId="77777777" w:rsidTr="00520C70">
        <w:trPr>
          <w:trHeight w:val="240"/>
        </w:trPr>
        <w:tc>
          <w:tcPr>
            <w:tcW w:w="155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D487C1E" w14:textId="77777777" w:rsidR="00E32FE0" w:rsidRPr="005B5EC1" w:rsidRDefault="00E32FE0">
            <w:pPr>
              <w:rPr>
                <w:rFonts w:ascii="Times New Roman" w:hAnsi="Times New Roman" w:cs="Times New Roman"/>
              </w:rPr>
            </w:pPr>
          </w:p>
        </w:tc>
        <w:tc>
          <w:tcPr>
            <w:tcW w:w="17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0CE5FA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股本</w:t>
            </w:r>
          </w:p>
        </w:tc>
        <w:tc>
          <w:tcPr>
            <w:tcW w:w="326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838012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900DD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资本公积</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704D3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减：库存股</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5036B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其他综合收益</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F4EDEB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专项储备</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C412F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盈余公积</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0175AF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未分配利润</w:t>
            </w:r>
          </w:p>
        </w:tc>
        <w:tc>
          <w:tcPr>
            <w:tcW w:w="70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B090D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51C67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所有者权益合计</w:t>
            </w:r>
          </w:p>
        </w:tc>
      </w:tr>
      <w:tr w:rsidR="00520C70" w:rsidRPr="005B5EC1" w14:paraId="2FB8EFFE" w14:textId="77777777" w:rsidTr="00520C70">
        <w:trPr>
          <w:trHeight w:val="240"/>
        </w:trPr>
        <w:tc>
          <w:tcPr>
            <w:tcW w:w="155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C4990C" w14:textId="77777777" w:rsidR="00E32FE0" w:rsidRPr="005B5EC1" w:rsidRDefault="00E32FE0">
            <w:pPr>
              <w:rPr>
                <w:rFonts w:ascii="Times New Roman" w:hAnsi="Times New Roman" w:cs="Times New Roman"/>
              </w:rPr>
            </w:pPr>
          </w:p>
        </w:tc>
        <w:tc>
          <w:tcPr>
            <w:tcW w:w="17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301B94" w14:textId="77777777" w:rsidR="00E32FE0" w:rsidRPr="005B5EC1" w:rsidRDefault="00E32FE0">
            <w:pPr>
              <w:rPr>
                <w:rFonts w:ascii="Times New Roman" w:hAnsi="Times New Roman" w:cs="Times New Roman"/>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B9EDBC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优先股</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3862210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永续债</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279B060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43229F" w14:textId="77777777" w:rsidR="00E32FE0" w:rsidRPr="005B5EC1" w:rsidRDefault="00E32FE0">
            <w:pPr>
              <w:rPr>
                <w:rFonts w:ascii="Times New Roman" w:hAnsi="Times New Roman" w:cs="Times New Roman"/>
              </w:rPr>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793ECB5"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0EC7F0C" w14:textId="77777777" w:rsidR="00E32FE0" w:rsidRPr="005B5EC1" w:rsidRDefault="00E32FE0">
            <w:pPr>
              <w:rPr>
                <w:rFonts w:ascii="Times New Roman" w:hAnsi="Times New Roman" w:cs="Times New Roman"/>
              </w:rPr>
            </w:pPr>
          </w:p>
        </w:tc>
        <w:tc>
          <w:tcPr>
            <w:tcW w:w="425" w:type="dxa"/>
            <w:vMerge/>
            <w:tcBorders>
              <w:top w:val="single" w:sz="2" w:space="0" w:color="auto"/>
              <w:left w:val="single" w:sz="2" w:space="0" w:color="auto"/>
              <w:bottom w:val="single" w:sz="2" w:space="0" w:color="auto"/>
              <w:right w:val="single" w:sz="2" w:space="0" w:color="auto"/>
            </w:tcBorders>
            <w:vAlign w:val="center"/>
          </w:tcPr>
          <w:p w14:paraId="1BD2C38B"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A474EC" w14:textId="77777777" w:rsidR="00E32FE0" w:rsidRPr="005B5EC1" w:rsidRDefault="00E32FE0">
            <w:pPr>
              <w:rPr>
                <w:rFonts w:ascii="Times New Roman"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326823C" w14:textId="77777777" w:rsidR="00E32FE0" w:rsidRPr="005B5EC1" w:rsidRDefault="00E32FE0">
            <w:pPr>
              <w:rPr>
                <w:rFonts w:ascii="Times New Roman" w:hAnsi="Times New Roman" w:cs="Times New Roman"/>
              </w:rPr>
            </w:pPr>
          </w:p>
        </w:tc>
        <w:tc>
          <w:tcPr>
            <w:tcW w:w="708" w:type="dxa"/>
            <w:vMerge/>
            <w:tcBorders>
              <w:top w:val="single" w:sz="2" w:space="0" w:color="auto"/>
              <w:left w:val="single" w:sz="2" w:space="0" w:color="auto"/>
              <w:bottom w:val="single" w:sz="2" w:space="0" w:color="auto"/>
              <w:right w:val="single" w:sz="2" w:space="0" w:color="auto"/>
            </w:tcBorders>
            <w:vAlign w:val="center"/>
          </w:tcPr>
          <w:p w14:paraId="575F256A" w14:textId="77777777" w:rsidR="00E32FE0" w:rsidRPr="005B5EC1" w:rsidRDefault="00E32FE0">
            <w:pPr>
              <w:rPr>
                <w:rFonts w:ascii="Times New Roman" w:hAnsi="Times New Roman" w:cs="Times New Roman"/>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82B49BE" w14:textId="77777777" w:rsidR="00E32FE0" w:rsidRPr="005B5EC1" w:rsidRDefault="00E32FE0">
            <w:pPr>
              <w:rPr>
                <w:rFonts w:ascii="Times New Roman" w:hAnsi="Times New Roman" w:cs="Times New Roman"/>
              </w:rPr>
            </w:pPr>
          </w:p>
        </w:tc>
      </w:tr>
      <w:tr w:rsidR="00520C70" w:rsidRPr="005B5EC1" w14:paraId="22327EA5"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64DBA16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一、上年期末余额</w:t>
            </w:r>
          </w:p>
        </w:tc>
        <w:tc>
          <w:tcPr>
            <w:tcW w:w="1706" w:type="dxa"/>
            <w:tcBorders>
              <w:top w:val="single" w:sz="2" w:space="0" w:color="auto"/>
              <w:left w:val="single" w:sz="2" w:space="0" w:color="auto"/>
              <w:bottom w:val="single" w:sz="2" w:space="0" w:color="auto"/>
              <w:right w:val="single" w:sz="2" w:space="0" w:color="auto"/>
            </w:tcBorders>
            <w:vAlign w:val="center"/>
          </w:tcPr>
          <w:p w14:paraId="58CB43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1,079,159,832.00</w:t>
            </w:r>
          </w:p>
        </w:tc>
        <w:tc>
          <w:tcPr>
            <w:tcW w:w="850" w:type="dxa"/>
            <w:tcBorders>
              <w:top w:val="single" w:sz="2" w:space="0" w:color="auto"/>
              <w:left w:val="single" w:sz="2" w:space="0" w:color="auto"/>
              <w:bottom w:val="single" w:sz="2" w:space="0" w:color="auto"/>
              <w:right w:val="single" w:sz="2" w:space="0" w:color="auto"/>
            </w:tcBorders>
            <w:vAlign w:val="center"/>
          </w:tcPr>
          <w:p w14:paraId="08D866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993" w:type="dxa"/>
            <w:tcBorders>
              <w:top w:val="single" w:sz="2" w:space="0" w:color="auto"/>
              <w:left w:val="single" w:sz="2" w:space="0" w:color="auto"/>
              <w:bottom w:val="single" w:sz="2" w:space="0" w:color="auto"/>
              <w:right w:val="single" w:sz="2" w:space="0" w:color="auto"/>
            </w:tcBorders>
            <w:vAlign w:val="center"/>
          </w:tcPr>
          <w:p w14:paraId="70D1AA2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367917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c>
          <w:tcPr>
            <w:tcW w:w="1276" w:type="dxa"/>
            <w:tcBorders>
              <w:top w:val="single" w:sz="2" w:space="0" w:color="auto"/>
              <w:left w:val="single" w:sz="2" w:space="0" w:color="auto"/>
              <w:bottom w:val="single" w:sz="2" w:space="0" w:color="auto"/>
              <w:right w:val="single" w:sz="2" w:space="0" w:color="auto"/>
            </w:tcBorders>
            <w:vAlign w:val="center"/>
          </w:tcPr>
          <w:p w14:paraId="5E94A1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830,435,511.92</w:t>
            </w:r>
          </w:p>
        </w:tc>
        <w:tc>
          <w:tcPr>
            <w:tcW w:w="1417" w:type="dxa"/>
            <w:tcBorders>
              <w:top w:val="single" w:sz="2" w:space="0" w:color="auto"/>
              <w:left w:val="single" w:sz="2" w:space="0" w:color="auto"/>
              <w:bottom w:val="single" w:sz="2" w:space="0" w:color="auto"/>
              <w:right w:val="single" w:sz="2" w:space="0" w:color="auto"/>
            </w:tcBorders>
            <w:vAlign w:val="center"/>
          </w:tcPr>
          <w:p w14:paraId="070636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276" w:type="dxa"/>
            <w:tcBorders>
              <w:top w:val="single" w:sz="2" w:space="0" w:color="auto"/>
              <w:left w:val="single" w:sz="2" w:space="0" w:color="auto"/>
              <w:bottom w:val="single" w:sz="2" w:space="0" w:color="auto"/>
              <w:right w:val="single" w:sz="2" w:space="0" w:color="auto"/>
            </w:tcBorders>
            <w:vAlign w:val="center"/>
          </w:tcPr>
          <w:p w14:paraId="147120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52EA5A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03A533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1418" w:type="dxa"/>
            <w:tcBorders>
              <w:top w:val="single" w:sz="2" w:space="0" w:color="auto"/>
              <w:left w:val="single" w:sz="2" w:space="0" w:color="auto"/>
              <w:bottom w:val="single" w:sz="2" w:space="0" w:color="auto"/>
              <w:right w:val="single" w:sz="2" w:space="0" w:color="auto"/>
            </w:tcBorders>
            <w:vAlign w:val="center"/>
          </w:tcPr>
          <w:p w14:paraId="73AE01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-810,843,308.94</w:t>
            </w:r>
          </w:p>
        </w:tc>
        <w:tc>
          <w:tcPr>
            <w:tcW w:w="708" w:type="dxa"/>
            <w:tcBorders>
              <w:top w:val="single" w:sz="2" w:space="0" w:color="auto"/>
              <w:left w:val="single" w:sz="2" w:space="0" w:color="auto"/>
              <w:bottom w:val="single" w:sz="2" w:space="0" w:color="auto"/>
              <w:right w:val="single" w:sz="2" w:space="0" w:color="auto"/>
            </w:tcBorders>
            <w:vAlign w:val="center"/>
          </w:tcPr>
          <w:p w14:paraId="757738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B7FB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1,191,915,762.83</w:t>
            </w:r>
          </w:p>
        </w:tc>
      </w:tr>
      <w:tr w:rsidR="00520C70" w:rsidRPr="005B5EC1" w14:paraId="05E6A8A4"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0631366B" w14:textId="77777777" w:rsidR="00E32FE0" w:rsidRPr="005B5EC1" w:rsidRDefault="00000000" w:rsidP="00520C7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加：会计政策变更</w:t>
            </w:r>
          </w:p>
        </w:tc>
        <w:tc>
          <w:tcPr>
            <w:tcW w:w="1706" w:type="dxa"/>
            <w:tcBorders>
              <w:top w:val="single" w:sz="2" w:space="0" w:color="auto"/>
              <w:left w:val="single" w:sz="2" w:space="0" w:color="auto"/>
              <w:bottom w:val="single" w:sz="2" w:space="0" w:color="auto"/>
              <w:right w:val="single" w:sz="2" w:space="0" w:color="auto"/>
            </w:tcBorders>
            <w:vAlign w:val="center"/>
          </w:tcPr>
          <w:p w14:paraId="29015C5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44176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E6C5C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E30FC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85F975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63D03D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DCA6F1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A154AA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DDCEAF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F2DDB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5D3BF7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089148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3684EDEA"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7CE04443" w14:textId="77777777" w:rsidR="00E32FE0" w:rsidRPr="005B5EC1" w:rsidRDefault="00000000" w:rsidP="00520C7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前期差错更正</w:t>
            </w:r>
          </w:p>
        </w:tc>
        <w:tc>
          <w:tcPr>
            <w:tcW w:w="1706" w:type="dxa"/>
            <w:tcBorders>
              <w:top w:val="single" w:sz="2" w:space="0" w:color="auto"/>
              <w:left w:val="single" w:sz="2" w:space="0" w:color="auto"/>
              <w:bottom w:val="single" w:sz="2" w:space="0" w:color="auto"/>
              <w:right w:val="single" w:sz="2" w:space="0" w:color="auto"/>
            </w:tcBorders>
            <w:vAlign w:val="center"/>
          </w:tcPr>
          <w:p w14:paraId="42A7B06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62664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9F4596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E1729C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9AA6A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9D498F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BFDA6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CE2D9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5CC6B4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E3BFF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EBA05C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17D146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03514460"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24A807D2" w14:textId="77777777" w:rsidR="00E32FE0" w:rsidRPr="005B5EC1" w:rsidRDefault="00000000" w:rsidP="00520C7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706" w:type="dxa"/>
            <w:tcBorders>
              <w:top w:val="single" w:sz="2" w:space="0" w:color="auto"/>
              <w:left w:val="single" w:sz="2" w:space="0" w:color="auto"/>
              <w:bottom w:val="single" w:sz="2" w:space="0" w:color="auto"/>
              <w:right w:val="single" w:sz="2" w:space="0" w:color="auto"/>
            </w:tcBorders>
            <w:vAlign w:val="center"/>
          </w:tcPr>
          <w:p w14:paraId="5D40D2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AC97FA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F33BA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E9447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98572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F827D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C0E19C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3FF34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09079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19A2F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031F3E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0B7B96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7DB43243"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5FB8BCB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二、本年期初余额</w:t>
            </w:r>
          </w:p>
        </w:tc>
        <w:tc>
          <w:tcPr>
            <w:tcW w:w="1706" w:type="dxa"/>
            <w:tcBorders>
              <w:top w:val="single" w:sz="2" w:space="0" w:color="auto"/>
              <w:left w:val="single" w:sz="2" w:space="0" w:color="auto"/>
              <w:bottom w:val="single" w:sz="2" w:space="0" w:color="auto"/>
              <w:right w:val="single" w:sz="2" w:space="0" w:color="auto"/>
            </w:tcBorders>
            <w:vAlign w:val="center"/>
          </w:tcPr>
          <w:p w14:paraId="4D2C87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1,079,159,832.00</w:t>
            </w:r>
          </w:p>
        </w:tc>
        <w:tc>
          <w:tcPr>
            <w:tcW w:w="850" w:type="dxa"/>
            <w:tcBorders>
              <w:top w:val="single" w:sz="2" w:space="0" w:color="auto"/>
              <w:left w:val="single" w:sz="2" w:space="0" w:color="auto"/>
              <w:bottom w:val="single" w:sz="2" w:space="0" w:color="auto"/>
              <w:right w:val="single" w:sz="2" w:space="0" w:color="auto"/>
            </w:tcBorders>
            <w:vAlign w:val="center"/>
          </w:tcPr>
          <w:p w14:paraId="4066AE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993" w:type="dxa"/>
            <w:tcBorders>
              <w:top w:val="single" w:sz="2" w:space="0" w:color="auto"/>
              <w:left w:val="single" w:sz="2" w:space="0" w:color="auto"/>
              <w:bottom w:val="single" w:sz="2" w:space="0" w:color="auto"/>
              <w:right w:val="single" w:sz="2" w:space="0" w:color="auto"/>
            </w:tcBorders>
            <w:vAlign w:val="center"/>
          </w:tcPr>
          <w:p w14:paraId="3E3EF2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0FF397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c>
          <w:tcPr>
            <w:tcW w:w="1276" w:type="dxa"/>
            <w:tcBorders>
              <w:top w:val="single" w:sz="2" w:space="0" w:color="auto"/>
              <w:left w:val="single" w:sz="2" w:space="0" w:color="auto"/>
              <w:bottom w:val="single" w:sz="2" w:space="0" w:color="auto"/>
              <w:right w:val="single" w:sz="2" w:space="0" w:color="auto"/>
            </w:tcBorders>
            <w:vAlign w:val="center"/>
          </w:tcPr>
          <w:p w14:paraId="0F05FF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830,435,511.92</w:t>
            </w:r>
          </w:p>
        </w:tc>
        <w:tc>
          <w:tcPr>
            <w:tcW w:w="1417" w:type="dxa"/>
            <w:tcBorders>
              <w:top w:val="single" w:sz="2" w:space="0" w:color="auto"/>
              <w:left w:val="single" w:sz="2" w:space="0" w:color="auto"/>
              <w:bottom w:val="single" w:sz="2" w:space="0" w:color="auto"/>
              <w:right w:val="single" w:sz="2" w:space="0" w:color="auto"/>
            </w:tcBorders>
            <w:vAlign w:val="center"/>
          </w:tcPr>
          <w:p w14:paraId="742B95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276" w:type="dxa"/>
            <w:tcBorders>
              <w:top w:val="single" w:sz="2" w:space="0" w:color="auto"/>
              <w:left w:val="single" w:sz="2" w:space="0" w:color="auto"/>
              <w:bottom w:val="single" w:sz="2" w:space="0" w:color="auto"/>
              <w:right w:val="single" w:sz="2" w:space="0" w:color="auto"/>
            </w:tcBorders>
            <w:vAlign w:val="center"/>
          </w:tcPr>
          <w:p w14:paraId="4707D9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131F075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286873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1418" w:type="dxa"/>
            <w:tcBorders>
              <w:top w:val="single" w:sz="2" w:space="0" w:color="auto"/>
              <w:left w:val="single" w:sz="2" w:space="0" w:color="auto"/>
              <w:bottom w:val="single" w:sz="2" w:space="0" w:color="auto"/>
              <w:right w:val="single" w:sz="2" w:space="0" w:color="auto"/>
            </w:tcBorders>
            <w:vAlign w:val="center"/>
          </w:tcPr>
          <w:p w14:paraId="4A1E6E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-810,843,308.94</w:t>
            </w:r>
          </w:p>
        </w:tc>
        <w:tc>
          <w:tcPr>
            <w:tcW w:w="708" w:type="dxa"/>
            <w:tcBorders>
              <w:top w:val="single" w:sz="2" w:space="0" w:color="auto"/>
              <w:left w:val="single" w:sz="2" w:space="0" w:color="auto"/>
              <w:bottom w:val="single" w:sz="2" w:space="0" w:color="auto"/>
              <w:right w:val="single" w:sz="2" w:space="0" w:color="auto"/>
            </w:tcBorders>
            <w:vAlign w:val="center"/>
          </w:tcPr>
          <w:p w14:paraId="0C8056C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28D9C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1,191,915,762.83</w:t>
            </w:r>
          </w:p>
        </w:tc>
      </w:tr>
      <w:tr w:rsidR="00520C70" w:rsidRPr="005B5EC1" w14:paraId="166A8B63"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04F9211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三、本期增减变动金额（减少以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1706" w:type="dxa"/>
            <w:tcBorders>
              <w:top w:val="single" w:sz="2" w:space="0" w:color="auto"/>
              <w:left w:val="single" w:sz="2" w:space="0" w:color="auto"/>
              <w:bottom w:val="single" w:sz="2" w:space="0" w:color="auto"/>
              <w:right w:val="single" w:sz="2" w:space="0" w:color="auto"/>
            </w:tcBorders>
            <w:vAlign w:val="center"/>
          </w:tcPr>
          <w:p w14:paraId="64762B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429.00</w:t>
            </w:r>
          </w:p>
        </w:tc>
        <w:tc>
          <w:tcPr>
            <w:tcW w:w="850" w:type="dxa"/>
            <w:tcBorders>
              <w:top w:val="single" w:sz="2" w:space="0" w:color="auto"/>
              <w:left w:val="single" w:sz="2" w:space="0" w:color="auto"/>
              <w:bottom w:val="single" w:sz="2" w:space="0" w:color="auto"/>
              <w:right w:val="single" w:sz="2" w:space="0" w:color="auto"/>
            </w:tcBorders>
            <w:vAlign w:val="center"/>
          </w:tcPr>
          <w:p w14:paraId="247DC1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993" w:type="dxa"/>
            <w:tcBorders>
              <w:top w:val="single" w:sz="2" w:space="0" w:color="auto"/>
              <w:left w:val="single" w:sz="2" w:space="0" w:color="auto"/>
              <w:bottom w:val="single" w:sz="2" w:space="0" w:color="auto"/>
              <w:right w:val="single" w:sz="2" w:space="0" w:color="auto"/>
            </w:tcBorders>
            <w:vAlign w:val="center"/>
          </w:tcPr>
          <w:p w14:paraId="076DCF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1ABDB57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-725.41</w:t>
            </w:r>
          </w:p>
        </w:tc>
        <w:tc>
          <w:tcPr>
            <w:tcW w:w="1276" w:type="dxa"/>
            <w:tcBorders>
              <w:top w:val="single" w:sz="2" w:space="0" w:color="auto"/>
              <w:left w:val="single" w:sz="2" w:space="0" w:color="auto"/>
              <w:bottom w:val="single" w:sz="2" w:space="0" w:color="auto"/>
              <w:right w:val="single" w:sz="2" w:space="0" w:color="auto"/>
            </w:tcBorders>
            <w:vAlign w:val="center"/>
          </w:tcPr>
          <w:p w14:paraId="7AE691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4,565.05</w:t>
            </w:r>
          </w:p>
        </w:tc>
        <w:tc>
          <w:tcPr>
            <w:tcW w:w="1417" w:type="dxa"/>
            <w:tcBorders>
              <w:top w:val="single" w:sz="2" w:space="0" w:color="auto"/>
              <w:left w:val="single" w:sz="2" w:space="0" w:color="auto"/>
              <w:bottom w:val="single" w:sz="2" w:space="0" w:color="auto"/>
              <w:right w:val="single" w:sz="2" w:space="0" w:color="auto"/>
            </w:tcBorders>
            <w:vAlign w:val="center"/>
          </w:tcPr>
          <w:p w14:paraId="7A6434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714182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7929212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39E972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4BD919F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-12,602,712.06</w:t>
            </w:r>
          </w:p>
        </w:tc>
        <w:tc>
          <w:tcPr>
            <w:tcW w:w="708" w:type="dxa"/>
            <w:tcBorders>
              <w:top w:val="single" w:sz="2" w:space="0" w:color="auto"/>
              <w:left w:val="single" w:sz="2" w:space="0" w:color="auto"/>
              <w:bottom w:val="single" w:sz="2" w:space="0" w:color="auto"/>
              <w:right w:val="single" w:sz="2" w:space="0" w:color="auto"/>
            </w:tcBorders>
            <w:vAlign w:val="center"/>
          </w:tcPr>
          <w:p w14:paraId="62C617A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4867C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-12,598,443.42</w:t>
            </w:r>
          </w:p>
        </w:tc>
      </w:tr>
      <w:tr w:rsidR="00520C70" w:rsidRPr="005B5EC1" w14:paraId="403CBD05"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10721CD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（一）综合收益总额</w:t>
            </w:r>
          </w:p>
        </w:tc>
        <w:tc>
          <w:tcPr>
            <w:tcW w:w="1706" w:type="dxa"/>
            <w:tcBorders>
              <w:top w:val="single" w:sz="2" w:space="0" w:color="auto"/>
              <w:left w:val="single" w:sz="2" w:space="0" w:color="auto"/>
              <w:bottom w:val="single" w:sz="2" w:space="0" w:color="auto"/>
              <w:right w:val="single" w:sz="2" w:space="0" w:color="auto"/>
            </w:tcBorders>
            <w:vAlign w:val="center"/>
          </w:tcPr>
          <w:p w14:paraId="04C885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BB81C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137E4F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8577E5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F95D82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292E0C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7C544F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5F3DD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78FBC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0334D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-12,602,712.06</w:t>
            </w:r>
          </w:p>
        </w:tc>
        <w:tc>
          <w:tcPr>
            <w:tcW w:w="708" w:type="dxa"/>
            <w:tcBorders>
              <w:top w:val="single" w:sz="2" w:space="0" w:color="auto"/>
              <w:left w:val="single" w:sz="2" w:space="0" w:color="auto"/>
              <w:bottom w:val="single" w:sz="2" w:space="0" w:color="auto"/>
              <w:right w:val="single" w:sz="2" w:space="0" w:color="auto"/>
            </w:tcBorders>
            <w:vAlign w:val="center"/>
          </w:tcPr>
          <w:p w14:paraId="0B29C1A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BF77B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-12,602,712.06</w:t>
            </w:r>
          </w:p>
        </w:tc>
      </w:tr>
      <w:tr w:rsidR="00520C70" w:rsidRPr="005B5EC1" w14:paraId="283AAD67"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752C3C9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（二）所有者投入和减少资本</w:t>
            </w:r>
          </w:p>
        </w:tc>
        <w:tc>
          <w:tcPr>
            <w:tcW w:w="1706" w:type="dxa"/>
            <w:tcBorders>
              <w:top w:val="single" w:sz="2" w:space="0" w:color="auto"/>
              <w:left w:val="single" w:sz="2" w:space="0" w:color="auto"/>
              <w:bottom w:val="single" w:sz="2" w:space="0" w:color="auto"/>
              <w:right w:val="single" w:sz="2" w:space="0" w:color="auto"/>
            </w:tcBorders>
            <w:vAlign w:val="center"/>
          </w:tcPr>
          <w:p w14:paraId="3D1D23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429.00</w:t>
            </w:r>
          </w:p>
        </w:tc>
        <w:tc>
          <w:tcPr>
            <w:tcW w:w="850" w:type="dxa"/>
            <w:tcBorders>
              <w:top w:val="single" w:sz="2" w:space="0" w:color="auto"/>
              <w:left w:val="single" w:sz="2" w:space="0" w:color="auto"/>
              <w:bottom w:val="single" w:sz="2" w:space="0" w:color="auto"/>
              <w:right w:val="single" w:sz="2" w:space="0" w:color="auto"/>
            </w:tcBorders>
            <w:vAlign w:val="center"/>
          </w:tcPr>
          <w:p w14:paraId="21DB69B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993" w:type="dxa"/>
            <w:tcBorders>
              <w:top w:val="single" w:sz="2" w:space="0" w:color="auto"/>
              <w:left w:val="single" w:sz="2" w:space="0" w:color="auto"/>
              <w:bottom w:val="single" w:sz="2" w:space="0" w:color="auto"/>
              <w:right w:val="single" w:sz="2" w:space="0" w:color="auto"/>
            </w:tcBorders>
            <w:vAlign w:val="center"/>
          </w:tcPr>
          <w:p w14:paraId="797348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56AA96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-725.41</w:t>
            </w:r>
          </w:p>
        </w:tc>
        <w:tc>
          <w:tcPr>
            <w:tcW w:w="1276" w:type="dxa"/>
            <w:tcBorders>
              <w:top w:val="single" w:sz="2" w:space="0" w:color="auto"/>
              <w:left w:val="single" w:sz="2" w:space="0" w:color="auto"/>
              <w:bottom w:val="single" w:sz="2" w:space="0" w:color="auto"/>
              <w:right w:val="single" w:sz="2" w:space="0" w:color="auto"/>
            </w:tcBorders>
            <w:vAlign w:val="center"/>
          </w:tcPr>
          <w:p w14:paraId="696A2F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4,565.05</w:t>
            </w:r>
          </w:p>
        </w:tc>
        <w:tc>
          <w:tcPr>
            <w:tcW w:w="1417" w:type="dxa"/>
            <w:tcBorders>
              <w:top w:val="single" w:sz="2" w:space="0" w:color="auto"/>
              <w:left w:val="single" w:sz="2" w:space="0" w:color="auto"/>
              <w:bottom w:val="single" w:sz="2" w:space="0" w:color="auto"/>
              <w:right w:val="single" w:sz="2" w:space="0" w:color="auto"/>
            </w:tcBorders>
            <w:vAlign w:val="center"/>
          </w:tcPr>
          <w:p w14:paraId="29A8F5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51DA73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4482CA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68AB72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145418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794DFF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05216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4,268.64</w:t>
            </w:r>
          </w:p>
        </w:tc>
      </w:tr>
      <w:tr w:rsidR="00520C70" w:rsidRPr="005B5EC1" w14:paraId="0067E004"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6E1B018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．所有者投入的普通股</w:t>
            </w:r>
          </w:p>
        </w:tc>
        <w:tc>
          <w:tcPr>
            <w:tcW w:w="1706" w:type="dxa"/>
            <w:tcBorders>
              <w:top w:val="single" w:sz="2" w:space="0" w:color="auto"/>
              <w:left w:val="single" w:sz="2" w:space="0" w:color="auto"/>
              <w:bottom w:val="single" w:sz="2" w:space="0" w:color="auto"/>
              <w:right w:val="single" w:sz="2" w:space="0" w:color="auto"/>
            </w:tcBorders>
            <w:vAlign w:val="center"/>
          </w:tcPr>
          <w:p w14:paraId="1D15E8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429.00</w:t>
            </w:r>
          </w:p>
        </w:tc>
        <w:tc>
          <w:tcPr>
            <w:tcW w:w="850" w:type="dxa"/>
            <w:tcBorders>
              <w:top w:val="single" w:sz="2" w:space="0" w:color="auto"/>
              <w:left w:val="single" w:sz="2" w:space="0" w:color="auto"/>
              <w:bottom w:val="single" w:sz="2" w:space="0" w:color="auto"/>
              <w:right w:val="single" w:sz="2" w:space="0" w:color="auto"/>
            </w:tcBorders>
            <w:vAlign w:val="center"/>
          </w:tcPr>
          <w:p w14:paraId="6C786A8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993" w:type="dxa"/>
            <w:tcBorders>
              <w:top w:val="single" w:sz="2" w:space="0" w:color="auto"/>
              <w:left w:val="single" w:sz="2" w:space="0" w:color="auto"/>
              <w:bottom w:val="single" w:sz="2" w:space="0" w:color="auto"/>
              <w:right w:val="single" w:sz="2" w:space="0" w:color="auto"/>
            </w:tcBorders>
            <w:vAlign w:val="center"/>
          </w:tcPr>
          <w:p w14:paraId="629C6E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263A9A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313B3E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4,565.05</w:t>
            </w:r>
          </w:p>
        </w:tc>
        <w:tc>
          <w:tcPr>
            <w:tcW w:w="1417" w:type="dxa"/>
            <w:tcBorders>
              <w:top w:val="single" w:sz="2" w:space="0" w:color="auto"/>
              <w:left w:val="single" w:sz="2" w:space="0" w:color="auto"/>
              <w:bottom w:val="single" w:sz="2" w:space="0" w:color="auto"/>
              <w:right w:val="single" w:sz="2" w:space="0" w:color="auto"/>
            </w:tcBorders>
            <w:vAlign w:val="center"/>
          </w:tcPr>
          <w:p w14:paraId="48CDD4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1B606E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425" w:type="dxa"/>
            <w:tcBorders>
              <w:top w:val="single" w:sz="2" w:space="0" w:color="auto"/>
              <w:left w:val="single" w:sz="2" w:space="0" w:color="auto"/>
              <w:bottom w:val="single" w:sz="2" w:space="0" w:color="auto"/>
              <w:right w:val="single" w:sz="2" w:space="0" w:color="auto"/>
            </w:tcBorders>
            <w:vAlign w:val="center"/>
          </w:tcPr>
          <w:p w14:paraId="5D757A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7EE6E0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14:paraId="7A2EF40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708" w:type="dxa"/>
            <w:tcBorders>
              <w:top w:val="single" w:sz="2" w:space="0" w:color="auto"/>
              <w:left w:val="single" w:sz="2" w:space="0" w:color="auto"/>
              <w:bottom w:val="single" w:sz="2" w:space="0" w:color="auto"/>
              <w:right w:val="single" w:sz="2" w:space="0" w:color="auto"/>
            </w:tcBorders>
            <w:vAlign w:val="center"/>
          </w:tcPr>
          <w:p w14:paraId="765449C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A9FD2D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4,994.05</w:t>
            </w:r>
          </w:p>
        </w:tc>
      </w:tr>
      <w:tr w:rsidR="00520C70" w:rsidRPr="005B5EC1" w14:paraId="62AFD484"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2C09BA7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．其他权益工具持有者投入资本</w:t>
            </w:r>
          </w:p>
        </w:tc>
        <w:tc>
          <w:tcPr>
            <w:tcW w:w="1706" w:type="dxa"/>
            <w:tcBorders>
              <w:top w:val="single" w:sz="2" w:space="0" w:color="auto"/>
              <w:left w:val="single" w:sz="2" w:space="0" w:color="auto"/>
              <w:bottom w:val="single" w:sz="2" w:space="0" w:color="auto"/>
              <w:right w:val="single" w:sz="2" w:space="0" w:color="auto"/>
            </w:tcBorders>
            <w:vAlign w:val="center"/>
          </w:tcPr>
          <w:p w14:paraId="0C4440B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173F6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8BE28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215EF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E9D4A5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339AE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6E040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405ED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268582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80B69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8E4B5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91200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r w:rsidR="00520C70" w:rsidRPr="005B5EC1" w14:paraId="357B7D7E"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0E78C19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．股份支付计入所有者权益的金额</w:t>
            </w:r>
          </w:p>
        </w:tc>
        <w:tc>
          <w:tcPr>
            <w:tcW w:w="1706" w:type="dxa"/>
            <w:tcBorders>
              <w:top w:val="single" w:sz="2" w:space="0" w:color="auto"/>
              <w:left w:val="single" w:sz="2" w:space="0" w:color="auto"/>
              <w:bottom w:val="single" w:sz="2" w:space="0" w:color="auto"/>
              <w:right w:val="single" w:sz="2" w:space="0" w:color="auto"/>
            </w:tcBorders>
            <w:vAlign w:val="center"/>
          </w:tcPr>
          <w:p w14:paraId="49A79E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E760DB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1F84BC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D80745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3FB7C3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1D9A25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53706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B0258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3FA25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E76B9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BA8972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DBC8D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r w:rsidR="00520C70" w:rsidRPr="005B5EC1" w14:paraId="19768004"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5D8A21D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．其他</w:t>
            </w:r>
          </w:p>
        </w:tc>
        <w:tc>
          <w:tcPr>
            <w:tcW w:w="1706" w:type="dxa"/>
            <w:tcBorders>
              <w:top w:val="single" w:sz="2" w:space="0" w:color="auto"/>
              <w:left w:val="single" w:sz="2" w:space="0" w:color="auto"/>
              <w:bottom w:val="single" w:sz="2" w:space="0" w:color="auto"/>
              <w:right w:val="single" w:sz="2" w:space="0" w:color="auto"/>
            </w:tcBorders>
            <w:vAlign w:val="center"/>
          </w:tcPr>
          <w:p w14:paraId="1741117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648E73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5DA03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7B83D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-725.41</w:t>
            </w:r>
          </w:p>
        </w:tc>
        <w:tc>
          <w:tcPr>
            <w:tcW w:w="1276" w:type="dxa"/>
            <w:tcBorders>
              <w:top w:val="single" w:sz="2" w:space="0" w:color="auto"/>
              <w:left w:val="single" w:sz="2" w:space="0" w:color="auto"/>
              <w:bottom w:val="single" w:sz="2" w:space="0" w:color="auto"/>
              <w:right w:val="single" w:sz="2" w:space="0" w:color="auto"/>
            </w:tcBorders>
            <w:vAlign w:val="center"/>
          </w:tcPr>
          <w:p w14:paraId="32117A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3A165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1CDA3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8F80C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F09DF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8D9790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A03F4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4C01F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-725.41</w:t>
            </w:r>
          </w:p>
        </w:tc>
      </w:tr>
      <w:tr w:rsidR="00520C70" w:rsidRPr="005B5EC1" w14:paraId="33788BFF"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7219E32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（三）利润分配</w:t>
            </w:r>
          </w:p>
        </w:tc>
        <w:tc>
          <w:tcPr>
            <w:tcW w:w="1706" w:type="dxa"/>
            <w:tcBorders>
              <w:top w:val="single" w:sz="2" w:space="0" w:color="auto"/>
              <w:left w:val="single" w:sz="2" w:space="0" w:color="auto"/>
              <w:bottom w:val="single" w:sz="2" w:space="0" w:color="auto"/>
              <w:right w:val="single" w:sz="2" w:space="0" w:color="auto"/>
            </w:tcBorders>
            <w:vAlign w:val="center"/>
          </w:tcPr>
          <w:p w14:paraId="662D51B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3A503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C7E185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C78A5A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B77248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4C004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579F06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2087EF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AFB20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F26EB6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320F9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308CB9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79191352"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329F8B9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．提取盈余公积</w:t>
            </w:r>
          </w:p>
        </w:tc>
        <w:tc>
          <w:tcPr>
            <w:tcW w:w="1706" w:type="dxa"/>
            <w:tcBorders>
              <w:top w:val="single" w:sz="2" w:space="0" w:color="auto"/>
              <w:left w:val="single" w:sz="2" w:space="0" w:color="auto"/>
              <w:bottom w:val="single" w:sz="2" w:space="0" w:color="auto"/>
              <w:right w:val="single" w:sz="2" w:space="0" w:color="auto"/>
            </w:tcBorders>
            <w:vAlign w:val="center"/>
          </w:tcPr>
          <w:p w14:paraId="2DBA93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9C1C3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9700E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AE6C81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297C9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426234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624382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68B167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0E8EAE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2898C4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1D7FF4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669EF9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662F10DA"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52073C1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．对所有者（或股东）的分配</w:t>
            </w:r>
          </w:p>
        </w:tc>
        <w:tc>
          <w:tcPr>
            <w:tcW w:w="1706" w:type="dxa"/>
            <w:tcBorders>
              <w:top w:val="single" w:sz="2" w:space="0" w:color="auto"/>
              <w:left w:val="single" w:sz="2" w:space="0" w:color="auto"/>
              <w:bottom w:val="single" w:sz="2" w:space="0" w:color="auto"/>
              <w:right w:val="single" w:sz="2" w:space="0" w:color="auto"/>
            </w:tcBorders>
            <w:vAlign w:val="center"/>
          </w:tcPr>
          <w:p w14:paraId="7A98BE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0DFA1F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E56689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3F812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EEF31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9492B3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70BFBC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1C5F0F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BAAD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19218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CB909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1B2DF5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3655B647"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36A66BE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3</w:t>
            </w:r>
            <w:r w:rsidRPr="005B5EC1">
              <w:rPr>
                <w:rFonts w:ascii="Times New Roman" w:eastAsia="宋体" w:hAnsi="Times New Roman" w:cs="Times New Roman"/>
                <w:sz w:val="18"/>
                <w:szCs w:val="18"/>
              </w:rPr>
              <w:t>．其他</w:t>
            </w:r>
          </w:p>
        </w:tc>
        <w:tc>
          <w:tcPr>
            <w:tcW w:w="1706" w:type="dxa"/>
            <w:tcBorders>
              <w:top w:val="single" w:sz="2" w:space="0" w:color="auto"/>
              <w:left w:val="single" w:sz="2" w:space="0" w:color="auto"/>
              <w:bottom w:val="single" w:sz="2" w:space="0" w:color="auto"/>
              <w:right w:val="single" w:sz="2" w:space="0" w:color="auto"/>
            </w:tcBorders>
            <w:vAlign w:val="center"/>
          </w:tcPr>
          <w:p w14:paraId="2985C48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BD01E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A327A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D96F1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2BF00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48E95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CFFF3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23A5F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461A2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0B161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00209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9261DE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013F6B41"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113EA4B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（四）所有者权益内部结转</w:t>
            </w:r>
          </w:p>
        </w:tc>
        <w:tc>
          <w:tcPr>
            <w:tcW w:w="1706" w:type="dxa"/>
            <w:tcBorders>
              <w:top w:val="single" w:sz="2" w:space="0" w:color="auto"/>
              <w:left w:val="single" w:sz="2" w:space="0" w:color="auto"/>
              <w:bottom w:val="single" w:sz="2" w:space="0" w:color="auto"/>
              <w:right w:val="single" w:sz="2" w:space="0" w:color="auto"/>
            </w:tcBorders>
            <w:vAlign w:val="center"/>
          </w:tcPr>
          <w:p w14:paraId="2B4137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00965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394BE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C55579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10EAF5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B688E5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52895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10824F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07F71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433E2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5917F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9DF294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607B95A9"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790243C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．资本公积转增资本（或股本）</w:t>
            </w:r>
          </w:p>
        </w:tc>
        <w:tc>
          <w:tcPr>
            <w:tcW w:w="1706" w:type="dxa"/>
            <w:tcBorders>
              <w:top w:val="single" w:sz="2" w:space="0" w:color="auto"/>
              <w:left w:val="single" w:sz="2" w:space="0" w:color="auto"/>
              <w:bottom w:val="single" w:sz="2" w:space="0" w:color="auto"/>
              <w:right w:val="single" w:sz="2" w:space="0" w:color="auto"/>
            </w:tcBorders>
            <w:vAlign w:val="center"/>
          </w:tcPr>
          <w:p w14:paraId="66EFE9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CD39F6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D970E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722AD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85860F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18BDF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E17BA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F563C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A4CD7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0EDDD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067A5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33CD9C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32375E10"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0029639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．盈余公积转增资本（或股本）</w:t>
            </w:r>
          </w:p>
        </w:tc>
        <w:tc>
          <w:tcPr>
            <w:tcW w:w="1706" w:type="dxa"/>
            <w:tcBorders>
              <w:top w:val="single" w:sz="2" w:space="0" w:color="auto"/>
              <w:left w:val="single" w:sz="2" w:space="0" w:color="auto"/>
              <w:bottom w:val="single" w:sz="2" w:space="0" w:color="auto"/>
              <w:right w:val="single" w:sz="2" w:space="0" w:color="auto"/>
            </w:tcBorders>
            <w:vAlign w:val="center"/>
          </w:tcPr>
          <w:p w14:paraId="4EDE60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42D28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1383FAF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93EFD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07D59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3EE7F0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F8D26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5019A9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993E9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A631D6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76CF6A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A3E470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1F6A35E9"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11205E1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．盈余公积弥补亏损</w:t>
            </w:r>
          </w:p>
        </w:tc>
        <w:tc>
          <w:tcPr>
            <w:tcW w:w="1706" w:type="dxa"/>
            <w:tcBorders>
              <w:top w:val="single" w:sz="2" w:space="0" w:color="auto"/>
              <w:left w:val="single" w:sz="2" w:space="0" w:color="auto"/>
              <w:bottom w:val="single" w:sz="2" w:space="0" w:color="auto"/>
              <w:right w:val="single" w:sz="2" w:space="0" w:color="auto"/>
            </w:tcBorders>
            <w:vAlign w:val="center"/>
          </w:tcPr>
          <w:p w14:paraId="21C636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C21E10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4AC30B6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79884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12A4F0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F27D5F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647D3D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C97F0F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C0353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696CDC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26034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FC97A6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21B4595F"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48A2F9C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．设定受益计划变动额结转留存收益</w:t>
            </w:r>
          </w:p>
        </w:tc>
        <w:tc>
          <w:tcPr>
            <w:tcW w:w="1706" w:type="dxa"/>
            <w:tcBorders>
              <w:top w:val="single" w:sz="2" w:space="0" w:color="auto"/>
              <w:left w:val="single" w:sz="2" w:space="0" w:color="auto"/>
              <w:bottom w:val="single" w:sz="2" w:space="0" w:color="auto"/>
              <w:right w:val="single" w:sz="2" w:space="0" w:color="auto"/>
            </w:tcBorders>
            <w:vAlign w:val="center"/>
          </w:tcPr>
          <w:p w14:paraId="2F55CB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97BE04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705857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81D6F5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C46537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0FD19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8B9EE9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003DE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F8AB3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709E50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1A4F3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024E00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5B6984DE"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1ED554A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．其他综合收益结转留存收益</w:t>
            </w:r>
          </w:p>
        </w:tc>
        <w:tc>
          <w:tcPr>
            <w:tcW w:w="1706" w:type="dxa"/>
            <w:tcBorders>
              <w:top w:val="single" w:sz="2" w:space="0" w:color="auto"/>
              <w:left w:val="single" w:sz="2" w:space="0" w:color="auto"/>
              <w:bottom w:val="single" w:sz="2" w:space="0" w:color="auto"/>
              <w:right w:val="single" w:sz="2" w:space="0" w:color="auto"/>
            </w:tcBorders>
            <w:vAlign w:val="center"/>
          </w:tcPr>
          <w:p w14:paraId="791D42F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29DDA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CE122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3E527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91A792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7A76D9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D2332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A5C49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18447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AC9DD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6D369F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3A210C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68975706"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7A1B20C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．其他</w:t>
            </w:r>
          </w:p>
        </w:tc>
        <w:tc>
          <w:tcPr>
            <w:tcW w:w="1706" w:type="dxa"/>
            <w:tcBorders>
              <w:top w:val="single" w:sz="2" w:space="0" w:color="auto"/>
              <w:left w:val="single" w:sz="2" w:space="0" w:color="auto"/>
              <w:bottom w:val="single" w:sz="2" w:space="0" w:color="auto"/>
              <w:right w:val="single" w:sz="2" w:space="0" w:color="auto"/>
            </w:tcBorders>
            <w:vAlign w:val="center"/>
          </w:tcPr>
          <w:p w14:paraId="7DC61E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4885B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6E1FF6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B48AA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DD483F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CD6EB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C1663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1EA53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5918F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C3E820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50E14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82D300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2A07FC98"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10F2780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（五）专项储备</w:t>
            </w:r>
          </w:p>
        </w:tc>
        <w:tc>
          <w:tcPr>
            <w:tcW w:w="1706" w:type="dxa"/>
            <w:tcBorders>
              <w:top w:val="single" w:sz="2" w:space="0" w:color="auto"/>
              <w:left w:val="single" w:sz="2" w:space="0" w:color="auto"/>
              <w:bottom w:val="single" w:sz="2" w:space="0" w:color="auto"/>
              <w:right w:val="single" w:sz="2" w:space="0" w:color="auto"/>
            </w:tcBorders>
            <w:vAlign w:val="center"/>
          </w:tcPr>
          <w:p w14:paraId="40F30E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77DC8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3F8129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915349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D8F096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36977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01A99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76E9E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9BCDA1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D07EC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3FFB7D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43D2D8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42DFAC97"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0F720C5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．本期提取</w:t>
            </w:r>
          </w:p>
        </w:tc>
        <w:tc>
          <w:tcPr>
            <w:tcW w:w="1706" w:type="dxa"/>
            <w:tcBorders>
              <w:top w:val="single" w:sz="2" w:space="0" w:color="auto"/>
              <w:left w:val="single" w:sz="2" w:space="0" w:color="auto"/>
              <w:bottom w:val="single" w:sz="2" w:space="0" w:color="auto"/>
              <w:right w:val="single" w:sz="2" w:space="0" w:color="auto"/>
            </w:tcBorders>
            <w:vAlign w:val="center"/>
          </w:tcPr>
          <w:p w14:paraId="254F42A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CBC3E6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0CB3EC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D7C7CC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BCB59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33B054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A4561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2AE285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E4F14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AD482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593A6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C6B7E7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08650AB0"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19ED056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．本期使用</w:t>
            </w:r>
          </w:p>
        </w:tc>
        <w:tc>
          <w:tcPr>
            <w:tcW w:w="1706" w:type="dxa"/>
            <w:tcBorders>
              <w:top w:val="single" w:sz="2" w:space="0" w:color="auto"/>
              <w:left w:val="single" w:sz="2" w:space="0" w:color="auto"/>
              <w:bottom w:val="single" w:sz="2" w:space="0" w:color="auto"/>
              <w:right w:val="single" w:sz="2" w:space="0" w:color="auto"/>
            </w:tcBorders>
            <w:vAlign w:val="center"/>
          </w:tcPr>
          <w:p w14:paraId="34F442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9BABB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2BAC84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470385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02E49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AC4DD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D81BCE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53A0A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EBB06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80274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014C3D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64D2DC9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54FFEA85"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2757B69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（六）其他</w:t>
            </w:r>
          </w:p>
        </w:tc>
        <w:tc>
          <w:tcPr>
            <w:tcW w:w="1706" w:type="dxa"/>
            <w:tcBorders>
              <w:top w:val="single" w:sz="2" w:space="0" w:color="auto"/>
              <w:left w:val="single" w:sz="2" w:space="0" w:color="auto"/>
              <w:bottom w:val="single" w:sz="2" w:space="0" w:color="auto"/>
              <w:right w:val="single" w:sz="2" w:space="0" w:color="auto"/>
            </w:tcBorders>
            <w:vAlign w:val="center"/>
          </w:tcPr>
          <w:p w14:paraId="6B05731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B1DDD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3C199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53D66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5F7F588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37432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0BB96B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353EBC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58861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C058E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C32448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2F7C777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391A4D79" w14:textId="77777777" w:rsidTr="00520C70">
        <w:trPr>
          <w:trHeight w:val="240"/>
        </w:trPr>
        <w:tc>
          <w:tcPr>
            <w:tcW w:w="1555" w:type="dxa"/>
            <w:tcBorders>
              <w:top w:val="single" w:sz="2" w:space="0" w:color="auto"/>
              <w:left w:val="single" w:sz="2" w:space="0" w:color="auto"/>
              <w:bottom w:val="single" w:sz="2" w:space="0" w:color="auto"/>
              <w:right w:val="single" w:sz="2" w:space="0" w:color="auto"/>
            </w:tcBorders>
            <w:shd w:val="clear" w:color="auto" w:fill="D3D3D3"/>
            <w:vAlign w:val="center"/>
          </w:tcPr>
          <w:p w14:paraId="78D4C56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四、本期期末余额</w:t>
            </w:r>
          </w:p>
        </w:tc>
        <w:tc>
          <w:tcPr>
            <w:tcW w:w="1706" w:type="dxa"/>
            <w:tcBorders>
              <w:top w:val="single" w:sz="2" w:space="0" w:color="auto"/>
              <w:left w:val="single" w:sz="2" w:space="0" w:color="auto"/>
              <w:bottom w:val="single" w:sz="2" w:space="0" w:color="auto"/>
              <w:right w:val="single" w:sz="2" w:space="0" w:color="auto"/>
            </w:tcBorders>
            <w:vAlign w:val="center"/>
          </w:tcPr>
          <w:p w14:paraId="15A71A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1,079,160,261.00</w:t>
            </w:r>
          </w:p>
        </w:tc>
        <w:tc>
          <w:tcPr>
            <w:tcW w:w="850" w:type="dxa"/>
            <w:tcBorders>
              <w:top w:val="single" w:sz="2" w:space="0" w:color="auto"/>
              <w:left w:val="single" w:sz="2" w:space="0" w:color="auto"/>
              <w:bottom w:val="single" w:sz="2" w:space="0" w:color="auto"/>
              <w:right w:val="single" w:sz="2" w:space="0" w:color="auto"/>
            </w:tcBorders>
            <w:vAlign w:val="center"/>
          </w:tcPr>
          <w:p w14:paraId="46AABF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993" w:type="dxa"/>
            <w:tcBorders>
              <w:top w:val="single" w:sz="2" w:space="0" w:color="auto"/>
              <w:left w:val="single" w:sz="2" w:space="0" w:color="auto"/>
              <w:bottom w:val="single" w:sz="2" w:space="0" w:color="auto"/>
              <w:right w:val="single" w:sz="2" w:space="0" w:color="auto"/>
            </w:tcBorders>
            <w:vAlign w:val="center"/>
          </w:tcPr>
          <w:p w14:paraId="1F77917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4914DA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171,570,156.57</w:t>
            </w:r>
          </w:p>
        </w:tc>
        <w:tc>
          <w:tcPr>
            <w:tcW w:w="1276" w:type="dxa"/>
            <w:tcBorders>
              <w:top w:val="single" w:sz="2" w:space="0" w:color="auto"/>
              <w:left w:val="single" w:sz="2" w:space="0" w:color="auto"/>
              <w:bottom w:val="single" w:sz="2" w:space="0" w:color="auto"/>
              <w:right w:val="single" w:sz="2" w:space="0" w:color="auto"/>
            </w:tcBorders>
            <w:vAlign w:val="center"/>
          </w:tcPr>
          <w:p w14:paraId="4022552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830,440,076.97</w:t>
            </w:r>
          </w:p>
        </w:tc>
        <w:tc>
          <w:tcPr>
            <w:tcW w:w="1417" w:type="dxa"/>
            <w:tcBorders>
              <w:top w:val="single" w:sz="2" w:space="0" w:color="auto"/>
              <w:left w:val="single" w:sz="2" w:space="0" w:color="auto"/>
              <w:bottom w:val="single" w:sz="2" w:space="0" w:color="auto"/>
              <w:right w:val="single" w:sz="2" w:space="0" w:color="auto"/>
            </w:tcBorders>
            <w:vAlign w:val="center"/>
          </w:tcPr>
          <w:p w14:paraId="0028D3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276" w:type="dxa"/>
            <w:tcBorders>
              <w:top w:val="single" w:sz="2" w:space="0" w:color="auto"/>
              <w:left w:val="single" w:sz="2" w:space="0" w:color="auto"/>
              <w:bottom w:val="single" w:sz="2" w:space="0" w:color="auto"/>
              <w:right w:val="single" w:sz="2" w:space="0" w:color="auto"/>
            </w:tcBorders>
            <w:vAlign w:val="center"/>
          </w:tcPr>
          <w:p w14:paraId="3951CF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425" w:type="dxa"/>
            <w:tcBorders>
              <w:top w:val="single" w:sz="2" w:space="0" w:color="auto"/>
              <w:left w:val="single" w:sz="2" w:space="0" w:color="auto"/>
              <w:bottom w:val="single" w:sz="2" w:space="0" w:color="auto"/>
              <w:right w:val="single" w:sz="2" w:space="0" w:color="auto"/>
            </w:tcBorders>
            <w:vAlign w:val="center"/>
          </w:tcPr>
          <w:p w14:paraId="128FDA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vAlign w:val="center"/>
          </w:tcPr>
          <w:p w14:paraId="33BD339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1418" w:type="dxa"/>
            <w:tcBorders>
              <w:top w:val="single" w:sz="2" w:space="0" w:color="auto"/>
              <w:left w:val="single" w:sz="2" w:space="0" w:color="auto"/>
              <w:bottom w:val="single" w:sz="2" w:space="0" w:color="auto"/>
              <w:right w:val="single" w:sz="2" w:space="0" w:color="auto"/>
            </w:tcBorders>
            <w:vAlign w:val="center"/>
          </w:tcPr>
          <w:p w14:paraId="7C7012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-823,446,021.00</w:t>
            </w:r>
          </w:p>
        </w:tc>
        <w:tc>
          <w:tcPr>
            <w:tcW w:w="708" w:type="dxa"/>
            <w:tcBorders>
              <w:top w:val="single" w:sz="2" w:space="0" w:color="auto"/>
              <w:left w:val="single" w:sz="2" w:space="0" w:color="auto"/>
              <w:bottom w:val="single" w:sz="2" w:space="0" w:color="auto"/>
              <w:right w:val="single" w:sz="2" w:space="0" w:color="auto"/>
            </w:tcBorders>
            <w:vAlign w:val="center"/>
          </w:tcPr>
          <w:p w14:paraId="728EF7A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1BEA0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1,179,317,319.41</w:t>
            </w:r>
          </w:p>
        </w:tc>
      </w:tr>
    </w:tbl>
    <w:p w14:paraId="411AFE6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上期金额</w:t>
      </w:r>
    </w:p>
    <w:p w14:paraId="439DF73A"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5593" w:type="dxa"/>
        <w:tblInd w:w="-60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50"/>
        <w:gridCol w:w="1527"/>
        <w:gridCol w:w="709"/>
        <w:gridCol w:w="709"/>
        <w:gridCol w:w="1417"/>
        <w:gridCol w:w="1418"/>
        <w:gridCol w:w="1417"/>
        <w:gridCol w:w="1418"/>
        <w:gridCol w:w="709"/>
        <w:gridCol w:w="1417"/>
        <w:gridCol w:w="1418"/>
        <w:gridCol w:w="425"/>
        <w:gridCol w:w="1559"/>
      </w:tblGrid>
      <w:tr w:rsidR="00E32FE0" w:rsidRPr="005B5EC1" w14:paraId="0FBFEC7B" w14:textId="77777777" w:rsidTr="00520C70">
        <w:trPr>
          <w:trHeight w:val="240"/>
        </w:trPr>
        <w:tc>
          <w:tcPr>
            <w:tcW w:w="14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E224F0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4143"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253F7D8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2023</w:t>
            </w:r>
            <w:r w:rsidRPr="005B5EC1">
              <w:rPr>
                <w:rFonts w:ascii="Times New Roman" w:eastAsia="宋体" w:hAnsi="Times New Roman" w:cs="Times New Roman"/>
                <w:sz w:val="18"/>
                <w:szCs w:val="18"/>
              </w:rPr>
              <w:t>年度</w:t>
            </w:r>
          </w:p>
        </w:tc>
      </w:tr>
      <w:tr w:rsidR="00520C70" w:rsidRPr="005B5EC1" w14:paraId="415BF5AE" w14:textId="77777777" w:rsidTr="00520C70">
        <w:trPr>
          <w:trHeight w:val="240"/>
        </w:trPr>
        <w:tc>
          <w:tcPr>
            <w:tcW w:w="145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0DFD9E3" w14:textId="77777777" w:rsidR="00E32FE0" w:rsidRPr="005B5EC1" w:rsidRDefault="00E32FE0">
            <w:pPr>
              <w:rPr>
                <w:rFonts w:ascii="Times New Roman" w:hAnsi="Times New Roman" w:cs="Times New Roman"/>
              </w:rPr>
            </w:pPr>
          </w:p>
        </w:tc>
        <w:tc>
          <w:tcPr>
            <w:tcW w:w="15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6B6C3F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股本</w:t>
            </w:r>
          </w:p>
        </w:tc>
        <w:tc>
          <w:tcPr>
            <w:tcW w:w="283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C87AC4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BE9BED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资本公积</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14B392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减：库存股</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DBD74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其他综合收益</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DF418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专项储备</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E16D1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盈余公积</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323337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未分配利润</w:t>
            </w:r>
          </w:p>
        </w:tc>
        <w:tc>
          <w:tcPr>
            <w:tcW w:w="42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87B59B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F2CB6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所有者权益合计</w:t>
            </w:r>
          </w:p>
        </w:tc>
      </w:tr>
      <w:tr w:rsidR="00520C70" w:rsidRPr="005B5EC1" w14:paraId="33010167" w14:textId="77777777" w:rsidTr="00520C70">
        <w:trPr>
          <w:trHeight w:val="240"/>
        </w:trPr>
        <w:tc>
          <w:tcPr>
            <w:tcW w:w="145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ECF863" w14:textId="77777777" w:rsidR="00E32FE0" w:rsidRPr="005B5EC1" w:rsidRDefault="00E32FE0">
            <w:pPr>
              <w:rPr>
                <w:rFonts w:ascii="Times New Roman" w:hAnsi="Times New Roman" w:cs="Times New Roman"/>
              </w:rPr>
            </w:pPr>
          </w:p>
        </w:tc>
        <w:tc>
          <w:tcPr>
            <w:tcW w:w="152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01E88C" w14:textId="77777777" w:rsidR="00E32FE0" w:rsidRPr="005B5EC1" w:rsidRDefault="00E32FE0">
            <w:pPr>
              <w:rPr>
                <w:rFonts w:ascii="Times New Roman" w:hAnsi="Times New Roman" w:cs="Times New Roman"/>
              </w:rPr>
            </w:pP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014322F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优先股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07A245D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永续债</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775DFB3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B7BFFA1" w14:textId="77777777" w:rsidR="00E32FE0" w:rsidRPr="005B5EC1" w:rsidRDefault="00E32FE0">
            <w:pPr>
              <w:rPr>
                <w:rFonts w:ascii="Times New Roman" w:hAnsi="Times New Roman" w:cs="Times New Roman"/>
              </w:rPr>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0AA905" w14:textId="77777777" w:rsidR="00E32FE0" w:rsidRPr="005B5EC1" w:rsidRDefault="00E32FE0">
            <w:pPr>
              <w:rPr>
                <w:rFonts w:ascii="Times New Roman"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702DD17" w14:textId="77777777" w:rsidR="00E32FE0" w:rsidRPr="005B5EC1" w:rsidRDefault="00E32FE0">
            <w:pPr>
              <w:rPr>
                <w:rFonts w:ascii="Times New Roman" w:hAnsi="Times New Roman" w:cs="Times New Roman"/>
              </w:rPr>
            </w:pPr>
          </w:p>
        </w:tc>
        <w:tc>
          <w:tcPr>
            <w:tcW w:w="709" w:type="dxa"/>
            <w:vMerge/>
            <w:tcBorders>
              <w:top w:val="single" w:sz="2" w:space="0" w:color="auto"/>
              <w:left w:val="single" w:sz="2" w:space="0" w:color="auto"/>
              <w:bottom w:val="single" w:sz="2" w:space="0" w:color="auto"/>
              <w:right w:val="single" w:sz="2" w:space="0" w:color="auto"/>
            </w:tcBorders>
            <w:vAlign w:val="center"/>
          </w:tcPr>
          <w:p w14:paraId="33E87EA4" w14:textId="77777777" w:rsidR="00E32FE0" w:rsidRPr="005B5EC1" w:rsidRDefault="00E32FE0">
            <w:pPr>
              <w:rPr>
                <w:rFonts w:ascii="Times New Roman" w:hAnsi="Times New Roman" w:cs="Times New Roman"/>
              </w:rPr>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94F37C3" w14:textId="77777777" w:rsidR="00E32FE0" w:rsidRPr="005B5EC1" w:rsidRDefault="00E32FE0">
            <w:pPr>
              <w:rPr>
                <w:rFonts w:ascii="Times New Roman" w:hAnsi="Times New Roman" w:cs="Times New Roman"/>
              </w:rPr>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F1B1A0A" w14:textId="77777777" w:rsidR="00E32FE0" w:rsidRPr="005B5EC1" w:rsidRDefault="00E32FE0">
            <w:pPr>
              <w:rPr>
                <w:rFonts w:ascii="Times New Roman" w:hAnsi="Times New Roman" w:cs="Times New Roman"/>
              </w:rPr>
            </w:pPr>
          </w:p>
        </w:tc>
        <w:tc>
          <w:tcPr>
            <w:tcW w:w="425" w:type="dxa"/>
            <w:vMerge/>
            <w:tcBorders>
              <w:top w:val="single" w:sz="2" w:space="0" w:color="auto"/>
              <w:left w:val="single" w:sz="2" w:space="0" w:color="auto"/>
              <w:bottom w:val="single" w:sz="2" w:space="0" w:color="auto"/>
              <w:right w:val="single" w:sz="2" w:space="0" w:color="auto"/>
            </w:tcBorders>
            <w:vAlign w:val="center"/>
          </w:tcPr>
          <w:p w14:paraId="7DC2E88A" w14:textId="77777777" w:rsidR="00E32FE0" w:rsidRPr="005B5EC1" w:rsidRDefault="00E32FE0">
            <w:pPr>
              <w:rPr>
                <w:rFonts w:ascii="Times New Roman" w:hAnsi="Times New Roman" w:cs="Times New Roman"/>
              </w:rPr>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9600087" w14:textId="77777777" w:rsidR="00E32FE0" w:rsidRPr="005B5EC1" w:rsidRDefault="00E32FE0">
            <w:pPr>
              <w:rPr>
                <w:rFonts w:ascii="Times New Roman" w:hAnsi="Times New Roman" w:cs="Times New Roman"/>
              </w:rPr>
            </w:pPr>
          </w:p>
        </w:tc>
      </w:tr>
      <w:tr w:rsidR="00520C70" w:rsidRPr="005B5EC1" w14:paraId="5997AE82"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489F956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一、上年期末余额</w:t>
            </w:r>
          </w:p>
        </w:tc>
        <w:tc>
          <w:tcPr>
            <w:tcW w:w="1527" w:type="dxa"/>
            <w:tcBorders>
              <w:top w:val="single" w:sz="2" w:space="0" w:color="auto"/>
              <w:left w:val="single" w:sz="2" w:space="0" w:color="auto"/>
              <w:bottom w:val="single" w:sz="2" w:space="0" w:color="auto"/>
              <w:right w:val="single" w:sz="2" w:space="0" w:color="auto"/>
            </w:tcBorders>
            <w:vAlign w:val="center"/>
          </w:tcPr>
          <w:p w14:paraId="2D3340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1,079,128,488.00</w:t>
            </w:r>
          </w:p>
        </w:tc>
        <w:tc>
          <w:tcPr>
            <w:tcW w:w="709" w:type="dxa"/>
            <w:tcBorders>
              <w:top w:val="single" w:sz="2" w:space="0" w:color="auto"/>
              <w:left w:val="single" w:sz="2" w:space="0" w:color="auto"/>
              <w:bottom w:val="single" w:sz="2" w:space="0" w:color="auto"/>
              <w:right w:val="single" w:sz="2" w:space="0" w:color="auto"/>
            </w:tcBorders>
            <w:vAlign w:val="center"/>
          </w:tcPr>
          <w:p w14:paraId="2247BF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35828D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6C724E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171,571,679.93</w:t>
            </w:r>
          </w:p>
        </w:tc>
        <w:tc>
          <w:tcPr>
            <w:tcW w:w="1418" w:type="dxa"/>
            <w:tcBorders>
              <w:top w:val="single" w:sz="2" w:space="0" w:color="auto"/>
              <w:left w:val="single" w:sz="2" w:space="0" w:color="auto"/>
              <w:bottom w:val="single" w:sz="2" w:space="0" w:color="auto"/>
              <w:right w:val="single" w:sz="2" w:space="0" w:color="auto"/>
            </w:tcBorders>
            <w:vAlign w:val="center"/>
          </w:tcPr>
          <w:p w14:paraId="783C8A2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830,246,509.95</w:t>
            </w:r>
          </w:p>
        </w:tc>
        <w:tc>
          <w:tcPr>
            <w:tcW w:w="1417" w:type="dxa"/>
            <w:tcBorders>
              <w:top w:val="single" w:sz="2" w:space="0" w:color="auto"/>
              <w:left w:val="single" w:sz="2" w:space="0" w:color="auto"/>
              <w:bottom w:val="single" w:sz="2" w:space="0" w:color="auto"/>
              <w:right w:val="single" w:sz="2" w:space="0" w:color="auto"/>
            </w:tcBorders>
            <w:vAlign w:val="center"/>
          </w:tcPr>
          <w:p w14:paraId="458D02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37,244,672.24</w:t>
            </w:r>
          </w:p>
        </w:tc>
        <w:tc>
          <w:tcPr>
            <w:tcW w:w="1418" w:type="dxa"/>
            <w:tcBorders>
              <w:top w:val="single" w:sz="2" w:space="0" w:color="auto"/>
              <w:left w:val="single" w:sz="2" w:space="0" w:color="auto"/>
              <w:bottom w:val="single" w:sz="2" w:space="0" w:color="auto"/>
              <w:right w:val="single" w:sz="2" w:space="0" w:color="auto"/>
            </w:tcBorders>
            <w:vAlign w:val="center"/>
          </w:tcPr>
          <w:p w14:paraId="4D9313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-11,777,820.33</w:t>
            </w:r>
          </w:p>
        </w:tc>
        <w:tc>
          <w:tcPr>
            <w:tcW w:w="709" w:type="dxa"/>
            <w:tcBorders>
              <w:top w:val="single" w:sz="2" w:space="0" w:color="auto"/>
              <w:left w:val="single" w:sz="2" w:space="0" w:color="auto"/>
              <w:bottom w:val="single" w:sz="2" w:space="0" w:color="auto"/>
              <w:right w:val="single" w:sz="2" w:space="0" w:color="auto"/>
            </w:tcBorders>
            <w:vAlign w:val="center"/>
          </w:tcPr>
          <w:p w14:paraId="1E4F55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483B6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1418" w:type="dxa"/>
            <w:tcBorders>
              <w:top w:val="single" w:sz="2" w:space="0" w:color="auto"/>
              <w:left w:val="single" w:sz="2" w:space="0" w:color="auto"/>
              <w:bottom w:val="single" w:sz="2" w:space="0" w:color="auto"/>
              <w:right w:val="single" w:sz="2" w:space="0" w:color="auto"/>
            </w:tcBorders>
            <w:vAlign w:val="center"/>
          </w:tcPr>
          <w:p w14:paraId="2BEB0F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15,171,713.72</w:t>
            </w:r>
          </w:p>
        </w:tc>
        <w:tc>
          <w:tcPr>
            <w:tcW w:w="425" w:type="dxa"/>
            <w:tcBorders>
              <w:top w:val="single" w:sz="2" w:space="0" w:color="auto"/>
              <w:left w:val="single" w:sz="2" w:space="0" w:color="auto"/>
              <w:bottom w:val="single" w:sz="2" w:space="0" w:color="auto"/>
              <w:right w:val="single" w:sz="2" w:space="0" w:color="auto"/>
            </w:tcBorders>
            <w:vAlign w:val="center"/>
          </w:tcPr>
          <w:p w14:paraId="73AF02C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C0A7E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2,310,813,828.19</w:t>
            </w:r>
          </w:p>
        </w:tc>
      </w:tr>
      <w:tr w:rsidR="00520C70" w:rsidRPr="005B5EC1" w14:paraId="4482A167"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2B0E9E79" w14:textId="77777777" w:rsidR="00E32FE0" w:rsidRPr="005B5EC1" w:rsidRDefault="00000000" w:rsidP="00520C7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加：会计政策变更</w:t>
            </w:r>
          </w:p>
        </w:tc>
        <w:tc>
          <w:tcPr>
            <w:tcW w:w="1527" w:type="dxa"/>
            <w:tcBorders>
              <w:top w:val="single" w:sz="2" w:space="0" w:color="auto"/>
              <w:left w:val="single" w:sz="2" w:space="0" w:color="auto"/>
              <w:bottom w:val="single" w:sz="2" w:space="0" w:color="auto"/>
              <w:right w:val="single" w:sz="2" w:space="0" w:color="auto"/>
            </w:tcBorders>
            <w:vAlign w:val="center"/>
          </w:tcPr>
          <w:p w14:paraId="6AE25B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8D76BE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B535F7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88193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DF6E08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30FD4E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167C7E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56C0F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DA54A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918FC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58,203.65</w:t>
            </w:r>
          </w:p>
        </w:tc>
        <w:tc>
          <w:tcPr>
            <w:tcW w:w="425" w:type="dxa"/>
            <w:tcBorders>
              <w:top w:val="single" w:sz="2" w:space="0" w:color="auto"/>
              <w:left w:val="single" w:sz="2" w:space="0" w:color="auto"/>
              <w:bottom w:val="single" w:sz="2" w:space="0" w:color="auto"/>
              <w:right w:val="single" w:sz="2" w:space="0" w:color="auto"/>
            </w:tcBorders>
            <w:vAlign w:val="center"/>
          </w:tcPr>
          <w:p w14:paraId="0EA3216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345B6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58,203.65</w:t>
            </w:r>
          </w:p>
        </w:tc>
      </w:tr>
      <w:tr w:rsidR="00520C70" w:rsidRPr="005B5EC1" w14:paraId="59278B6C"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6276B878"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前期</w:t>
            </w:r>
            <w:r w:rsidRPr="005B5EC1">
              <w:rPr>
                <w:rFonts w:ascii="Times New Roman" w:eastAsia="宋体" w:hAnsi="Times New Roman" w:cs="Times New Roman"/>
                <w:sz w:val="18"/>
                <w:szCs w:val="18"/>
              </w:rPr>
              <w:lastRenderedPageBreak/>
              <w:t>差错更正</w:t>
            </w:r>
          </w:p>
        </w:tc>
        <w:tc>
          <w:tcPr>
            <w:tcW w:w="1527" w:type="dxa"/>
            <w:tcBorders>
              <w:top w:val="single" w:sz="2" w:space="0" w:color="auto"/>
              <w:left w:val="single" w:sz="2" w:space="0" w:color="auto"/>
              <w:bottom w:val="single" w:sz="2" w:space="0" w:color="auto"/>
              <w:right w:val="single" w:sz="2" w:space="0" w:color="auto"/>
            </w:tcBorders>
            <w:vAlign w:val="center"/>
          </w:tcPr>
          <w:p w14:paraId="7F8FBB7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816D4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EEF05A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2B8CC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68C4B3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F2E38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B395C5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2983C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546FB7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F295F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14504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FCAFBB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6B027506"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5D1C9675" w14:textId="77777777" w:rsidR="00E32FE0" w:rsidRPr="005B5EC1" w:rsidRDefault="00000000">
            <w:pPr>
              <w:spacing w:before="40" w:after="40" w:line="240" w:lineRule="exact"/>
              <w:ind w:firstLineChars="400" w:firstLine="720"/>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527" w:type="dxa"/>
            <w:tcBorders>
              <w:top w:val="single" w:sz="2" w:space="0" w:color="auto"/>
              <w:left w:val="single" w:sz="2" w:space="0" w:color="auto"/>
              <w:bottom w:val="single" w:sz="2" w:space="0" w:color="auto"/>
              <w:right w:val="single" w:sz="2" w:space="0" w:color="auto"/>
            </w:tcBorders>
            <w:vAlign w:val="center"/>
          </w:tcPr>
          <w:p w14:paraId="2CC4F9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BADD5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6EFE2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BE092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15010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79DBF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9D02EF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2A673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6AF90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852FF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310B7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34C23B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518D8A33"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58504FB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二、本年期初余额</w:t>
            </w:r>
          </w:p>
        </w:tc>
        <w:tc>
          <w:tcPr>
            <w:tcW w:w="1527" w:type="dxa"/>
            <w:tcBorders>
              <w:top w:val="single" w:sz="2" w:space="0" w:color="auto"/>
              <w:left w:val="single" w:sz="2" w:space="0" w:color="auto"/>
              <w:bottom w:val="single" w:sz="2" w:space="0" w:color="auto"/>
              <w:right w:val="single" w:sz="2" w:space="0" w:color="auto"/>
            </w:tcBorders>
            <w:vAlign w:val="center"/>
          </w:tcPr>
          <w:p w14:paraId="1C0E95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1,079,128,488.00</w:t>
            </w:r>
          </w:p>
        </w:tc>
        <w:tc>
          <w:tcPr>
            <w:tcW w:w="709" w:type="dxa"/>
            <w:tcBorders>
              <w:top w:val="single" w:sz="2" w:space="0" w:color="auto"/>
              <w:left w:val="single" w:sz="2" w:space="0" w:color="auto"/>
              <w:bottom w:val="single" w:sz="2" w:space="0" w:color="auto"/>
              <w:right w:val="single" w:sz="2" w:space="0" w:color="auto"/>
            </w:tcBorders>
            <w:vAlign w:val="center"/>
          </w:tcPr>
          <w:p w14:paraId="767F3D3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0A5D3A5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35939B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171,571,679.93</w:t>
            </w:r>
          </w:p>
        </w:tc>
        <w:tc>
          <w:tcPr>
            <w:tcW w:w="1418" w:type="dxa"/>
            <w:tcBorders>
              <w:top w:val="single" w:sz="2" w:space="0" w:color="auto"/>
              <w:left w:val="single" w:sz="2" w:space="0" w:color="auto"/>
              <w:bottom w:val="single" w:sz="2" w:space="0" w:color="auto"/>
              <w:right w:val="single" w:sz="2" w:space="0" w:color="auto"/>
            </w:tcBorders>
            <w:vAlign w:val="center"/>
          </w:tcPr>
          <w:p w14:paraId="7ABCC3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830,246,509.95</w:t>
            </w:r>
          </w:p>
        </w:tc>
        <w:tc>
          <w:tcPr>
            <w:tcW w:w="1417" w:type="dxa"/>
            <w:tcBorders>
              <w:top w:val="single" w:sz="2" w:space="0" w:color="auto"/>
              <w:left w:val="single" w:sz="2" w:space="0" w:color="auto"/>
              <w:bottom w:val="single" w:sz="2" w:space="0" w:color="auto"/>
              <w:right w:val="single" w:sz="2" w:space="0" w:color="auto"/>
            </w:tcBorders>
            <w:vAlign w:val="center"/>
          </w:tcPr>
          <w:p w14:paraId="36A63C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37,244,672.24</w:t>
            </w:r>
          </w:p>
        </w:tc>
        <w:tc>
          <w:tcPr>
            <w:tcW w:w="1418" w:type="dxa"/>
            <w:tcBorders>
              <w:top w:val="single" w:sz="2" w:space="0" w:color="auto"/>
              <w:left w:val="single" w:sz="2" w:space="0" w:color="auto"/>
              <w:bottom w:val="single" w:sz="2" w:space="0" w:color="auto"/>
              <w:right w:val="single" w:sz="2" w:space="0" w:color="auto"/>
            </w:tcBorders>
            <w:vAlign w:val="center"/>
          </w:tcPr>
          <w:p w14:paraId="227783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-11,777,820.33</w:t>
            </w:r>
          </w:p>
        </w:tc>
        <w:tc>
          <w:tcPr>
            <w:tcW w:w="709" w:type="dxa"/>
            <w:tcBorders>
              <w:top w:val="single" w:sz="2" w:space="0" w:color="auto"/>
              <w:left w:val="single" w:sz="2" w:space="0" w:color="auto"/>
              <w:bottom w:val="single" w:sz="2" w:space="0" w:color="auto"/>
              <w:right w:val="single" w:sz="2" w:space="0" w:color="auto"/>
            </w:tcBorders>
            <w:vAlign w:val="center"/>
          </w:tcPr>
          <w:p w14:paraId="5DF0351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3322B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1418" w:type="dxa"/>
            <w:tcBorders>
              <w:top w:val="single" w:sz="2" w:space="0" w:color="auto"/>
              <w:left w:val="single" w:sz="2" w:space="0" w:color="auto"/>
              <w:bottom w:val="single" w:sz="2" w:space="0" w:color="auto"/>
              <w:right w:val="single" w:sz="2" w:space="0" w:color="auto"/>
            </w:tcBorders>
            <w:vAlign w:val="center"/>
          </w:tcPr>
          <w:p w14:paraId="16CAB6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15,229,917.37</w:t>
            </w:r>
          </w:p>
        </w:tc>
        <w:tc>
          <w:tcPr>
            <w:tcW w:w="425" w:type="dxa"/>
            <w:tcBorders>
              <w:top w:val="single" w:sz="2" w:space="0" w:color="auto"/>
              <w:left w:val="single" w:sz="2" w:space="0" w:color="auto"/>
              <w:bottom w:val="single" w:sz="2" w:space="0" w:color="auto"/>
              <w:right w:val="single" w:sz="2" w:space="0" w:color="auto"/>
            </w:tcBorders>
            <w:vAlign w:val="center"/>
          </w:tcPr>
          <w:p w14:paraId="79D867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E099B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2,310,872,031.84</w:t>
            </w:r>
          </w:p>
        </w:tc>
      </w:tr>
      <w:tr w:rsidR="00520C70" w:rsidRPr="005B5EC1" w14:paraId="27931A11"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3DFBAFF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三、本期增减变动金额（减少以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1527" w:type="dxa"/>
            <w:tcBorders>
              <w:top w:val="single" w:sz="2" w:space="0" w:color="auto"/>
              <w:left w:val="single" w:sz="2" w:space="0" w:color="auto"/>
              <w:bottom w:val="single" w:sz="2" w:space="0" w:color="auto"/>
              <w:right w:val="single" w:sz="2" w:space="0" w:color="auto"/>
            </w:tcBorders>
            <w:vAlign w:val="center"/>
          </w:tcPr>
          <w:p w14:paraId="7B99EC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31,344.00</w:t>
            </w:r>
          </w:p>
        </w:tc>
        <w:tc>
          <w:tcPr>
            <w:tcW w:w="709" w:type="dxa"/>
            <w:tcBorders>
              <w:top w:val="single" w:sz="2" w:space="0" w:color="auto"/>
              <w:left w:val="single" w:sz="2" w:space="0" w:color="auto"/>
              <w:bottom w:val="single" w:sz="2" w:space="0" w:color="auto"/>
              <w:right w:val="single" w:sz="2" w:space="0" w:color="auto"/>
            </w:tcBorders>
            <w:vAlign w:val="center"/>
          </w:tcPr>
          <w:p w14:paraId="5B22E5E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4DBF7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5B9EA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-797.95</w:t>
            </w:r>
          </w:p>
        </w:tc>
        <w:tc>
          <w:tcPr>
            <w:tcW w:w="1418" w:type="dxa"/>
            <w:tcBorders>
              <w:top w:val="single" w:sz="2" w:space="0" w:color="auto"/>
              <w:left w:val="single" w:sz="2" w:space="0" w:color="auto"/>
              <w:bottom w:val="single" w:sz="2" w:space="0" w:color="auto"/>
              <w:right w:val="single" w:sz="2" w:space="0" w:color="auto"/>
            </w:tcBorders>
            <w:vAlign w:val="center"/>
          </w:tcPr>
          <w:p w14:paraId="28553A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189,001.97</w:t>
            </w:r>
          </w:p>
        </w:tc>
        <w:tc>
          <w:tcPr>
            <w:tcW w:w="1417" w:type="dxa"/>
            <w:tcBorders>
              <w:top w:val="single" w:sz="2" w:space="0" w:color="auto"/>
              <w:left w:val="single" w:sz="2" w:space="0" w:color="auto"/>
              <w:bottom w:val="single" w:sz="2" w:space="0" w:color="auto"/>
              <w:right w:val="single" w:sz="2" w:space="0" w:color="auto"/>
            </w:tcBorders>
            <w:vAlign w:val="center"/>
          </w:tcPr>
          <w:p w14:paraId="68B081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292,780,411.05</w:t>
            </w:r>
          </w:p>
        </w:tc>
        <w:tc>
          <w:tcPr>
            <w:tcW w:w="1418" w:type="dxa"/>
            <w:tcBorders>
              <w:top w:val="single" w:sz="2" w:space="0" w:color="auto"/>
              <w:left w:val="single" w:sz="2" w:space="0" w:color="auto"/>
              <w:bottom w:val="single" w:sz="2" w:space="0" w:color="auto"/>
              <w:right w:val="single" w:sz="2" w:space="0" w:color="auto"/>
            </w:tcBorders>
            <w:vAlign w:val="center"/>
          </w:tcPr>
          <w:p w14:paraId="566EAE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c>
          <w:tcPr>
            <w:tcW w:w="709" w:type="dxa"/>
            <w:tcBorders>
              <w:top w:val="single" w:sz="2" w:space="0" w:color="auto"/>
              <w:left w:val="single" w:sz="2" w:space="0" w:color="auto"/>
              <w:bottom w:val="single" w:sz="2" w:space="0" w:color="auto"/>
              <w:right w:val="single" w:sz="2" w:space="0" w:color="auto"/>
            </w:tcBorders>
            <w:vAlign w:val="center"/>
          </w:tcPr>
          <w:p w14:paraId="6F28E8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F68559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0A949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-826,073,226.31</w:t>
            </w:r>
          </w:p>
        </w:tc>
        <w:tc>
          <w:tcPr>
            <w:tcW w:w="425" w:type="dxa"/>
            <w:tcBorders>
              <w:top w:val="single" w:sz="2" w:space="0" w:color="auto"/>
              <w:left w:val="single" w:sz="2" w:space="0" w:color="auto"/>
              <w:bottom w:val="single" w:sz="2" w:space="0" w:color="auto"/>
              <w:right w:val="single" w:sz="2" w:space="0" w:color="auto"/>
            </w:tcBorders>
            <w:vAlign w:val="center"/>
          </w:tcPr>
          <w:p w14:paraId="697BF2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316AA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-1,118,956,269.01</w:t>
            </w:r>
          </w:p>
        </w:tc>
      </w:tr>
      <w:tr w:rsidR="00520C70" w:rsidRPr="005B5EC1" w14:paraId="38DE6937"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515BB4F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（一）综合收益总额</w:t>
            </w:r>
          </w:p>
        </w:tc>
        <w:tc>
          <w:tcPr>
            <w:tcW w:w="1527" w:type="dxa"/>
            <w:tcBorders>
              <w:top w:val="single" w:sz="2" w:space="0" w:color="auto"/>
              <w:left w:val="single" w:sz="2" w:space="0" w:color="auto"/>
              <w:bottom w:val="single" w:sz="2" w:space="0" w:color="auto"/>
              <w:right w:val="single" w:sz="2" w:space="0" w:color="auto"/>
            </w:tcBorders>
            <w:vAlign w:val="center"/>
          </w:tcPr>
          <w:p w14:paraId="46399F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BAE87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184F4C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4AF8D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DCB907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57318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B7A01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-322,179.67</w:t>
            </w:r>
          </w:p>
        </w:tc>
        <w:tc>
          <w:tcPr>
            <w:tcW w:w="709" w:type="dxa"/>
            <w:tcBorders>
              <w:top w:val="single" w:sz="2" w:space="0" w:color="auto"/>
              <w:left w:val="single" w:sz="2" w:space="0" w:color="auto"/>
              <w:bottom w:val="single" w:sz="2" w:space="0" w:color="auto"/>
              <w:right w:val="single" w:sz="2" w:space="0" w:color="auto"/>
            </w:tcBorders>
            <w:vAlign w:val="center"/>
          </w:tcPr>
          <w:p w14:paraId="22A0E5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19360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DDBF99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-826,073,226.31</w:t>
            </w:r>
          </w:p>
        </w:tc>
        <w:tc>
          <w:tcPr>
            <w:tcW w:w="425" w:type="dxa"/>
            <w:tcBorders>
              <w:top w:val="single" w:sz="2" w:space="0" w:color="auto"/>
              <w:left w:val="single" w:sz="2" w:space="0" w:color="auto"/>
              <w:bottom w:val="single" w:sz="2" w:space="0" w:color="auto"/>
              <w:right w:val="single" w:sz="2" w:space="0" w:color="auto"/>
            </w:tcBorders>
            <w:vAlign w:val="center"/>
          </w:tcPr>
          <w:p w14:paraId="5B036F7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DD754D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-826,395,405.98</w:t>
            </w:r>
          </w:p>
        </w:tc>
      </w:tr>
      <w:tr w:rsidR="00520C70" w:rsidRPr="005B5EC1" w14:paraId="586DCD3F"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477723C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（二）所有者投入和减少资本</w:t>
            </w:r>
          </w:p>
        </w:tc>
        <w:tc>
          <w:tcPr>
            <w:tcW w:w="1527" w:type="dxa"/>
            <w:tcBorders>
              <w:top w:val="single" w:sz="2" w:space="0" w:color="auto"/>
              <w:left w:val="single" w:sz="2" w:space="0" w:color="auto"/>
              <w:bottom w:val="single" w:sz="2" w:space="0" w:color="auto"/>
              <w:right w:val="single" w:sz="2" w:space="0" w:color="auto"/>
            </w:tcBorders>
            <w:vAlign w:val="center"/>
          </w:tcPr>
          <w:p w14:paraId="40A501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31,344.00</w:t>
            </w:r>
          </w:p>
        </w:tc>
        <w:tc>
          <w:tcPr>
            <w:tcW w:w="709" w:type="dxa"/>
            <w:tcBorders>
              <w:top w:val="single" w:sz="2" w:space="0" w:color="auto"/>
              <w:left w:val="single" w:sz="2" w:space="0" w:color="auto"/>
              <w:bottom w:val="single" w:sz="2" w:space="0" w:color="auto"/>
              <w:right w:val="single" w:sz="2" w:space="0" w:color="auto"/>
            </w:tcBorders>
            <w:vAlign w:val="center"/>
          </w:tcPr>
          <w:p w14:paraId="152A30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E8AD7F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F8C76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-797.95</w:t>
            </w:r>
          </w:p>
        </w:tc>
        <w:tc>
          <w:tcPr>
            <w:tcW w:w="1418" w:type="dxa"/>
            <w:tcBorders>
              <w:top w:val="single" w:sz="2" w:space="0" w:color="auto"/>
              <w:left w:val="single" w:sz="2" w:space="0" w:color="auto"/>
              <w:bottom w:val="single" w:sz="2" w:space="0" w:color="auto"/>
              <w:right w:val="single" w:sz="2" w:space="0" w:color="auto"/>
            </w:tcBorders>
            <w:vAlign w:val="center"/>
          </w:tcPr>
          <w:p w14:paraId="4ABA30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189,001.97</w:t>
            </w:r>
          </w:p>
        </w:tc>
        <w:tc>
          <w:tcPr>
            <w:tcW w:w="1417" w:type="dxa"/>
            <w:tcBorders>
              <w:top w:val="single" w:sz="2" w:space="0" w:color="auto"/>
              <w:left w:val="single" w:sz="2" w:space="0" w:color="auto"/>
              <w:bottom w:val="single" w:sz="2" w:space="0" w:color="auto"/>
              <w:right w:val="single" w:sz="2" w:space="0" w:color="auto"/>
            </w:tcBorders>
            <w:vAlign w:val="center"/>
          </w:tcPr>
          <w:p w14:paraId="63E9E5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292,780,411.05</w:t>
            </w:r>
          </w:p>
        </w:tc>
        <w:tc>
          <w:tcPr>
            <w:tcW w:w="1418" w:type="dxa"/>
            <w:tcBorders>
              <w:top w:val="single" w:sz="2" w:space="0" w:color="auto"/>
              <w:left w:val="single" w:sz="2" w:space="0" w:color="auto"/>
              <w:bottom w:val="single" w:sz="2" w:space="0" w:color="auto"/>
              <w:right w:val="single" w:sz="2" w:space="0" w:color="auto"/>
            </w:tcBorders>
            <w:vAlign w:val="center"/>
          </w:tcPr>
          <w:p w14:paraId="1F095C5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52764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334F06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0F872E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65D7BB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B60B78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-292,560,863.03</w:t>
            </w:r>
          </w:p>
        </w:tc>
      </w:tr>
      <w:tr w:rsidR="00520C70" w:rsidRPr="005B5EC1" w14:paraId="2D781D7C"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0767D8D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．所有者投入的普通股</w:t>
            </w:r>
          </w:p>
        </w:tc>
        <w:tc>
          <w:tcPr>
            <w:tcW w:w="1527" w:type="dxa"/>
            <w:tcBorders>
              <w:top w:val="single" w:sz="2" w:space="0" w:color="auto"/>
              <w:left w:val="single" w:sz="2" w:space="0" w:color="auto"/>
              <w:bottom w:val="single" w:sz="2" w:space="0" w:color="auto"/>
              <w:right w:val="single" w:sz="2" w:space="0" w:color="auto"/>
            </w:tcBorders>
            <w:vAlign w:val="center"/>
          </w:tcPr>
          <w:p w14:paraId="35F723C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31,344.00</w:t>
            </w:r>
          </w:p>
        </w:tc>
        <w:tc>
          <w:tcPr>
            <w:tcW w:w="709" w:type="dxa"/>
            <w:tcBorders>
              <w:top w:val="single" w:sz="2" w:space="0" w:color="auto"/>
              <w:left w:val="single" w:sz="2" w:space="0" w:color="auto"/>
              <w:bottom w:val="single" w:sz="2" w:space="0" w:color="auto"/>
              <w:right w:val="single" w:sz="2" w:space="0" w:color="auto"/>
            </w:tcBorders>
            <w:vAlign w:val="center"/>
          </w:tcPr>
          <w:p w14:paraId="652431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87BB76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D382D9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F3A73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189,001.97</w:t>
            </w:r>
          </w:p>
        </w:tc>
        <w:tc>
          <w:tcPr>
            <w:tcW w:w="1417" w:type="dxa"/>
            <w:tcBorders>
              <w:top w:val="single" w:sz="2" w:space="0" w:color="auto"/>
              <w:left w:val="single" w:sz="2" w:space="0" w:color="auto"/>
              <w:bottom w:val="single" w:sz="2" w:space="0" w:color="auto"/>
              <w:right w:val="single" w:sz="2" w:space="0" w:color="auto"/>
            </w:tcBorders>
            <w:vAlign w:val="center"/>
          </w:tcPr>
          <w:p w14:paraId="3079F0F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11E1E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B73CF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4E2FE7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3487C0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ECC36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B433C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220,345.97</w:t>
            </w:r>
          </w:p>
        </w:tc>
      </w:tr>
      <w:tr w:rsidR="00520C70" w:rsidRPr="005B5EC1" w14:paraId="3AD71899"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740FF37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．其他权益工具持有者投入资本</w:t>
            </w:r>
          </w:p>
        </w:tc>
        <w:tc>
          <w:tcPr>
            <w:tcW w:w="1527" w:type="dxa"/>
            <w:tcBorders>
              <w:top w:val="single" w:sz="2" w:space="0" w:color="auto"/>
              <w:left w:val="single" w:sz="2" w:space="0" w:color="auto"/>
              <w:bottom w:val="single" w:sz="2" w:space="0" w:color="auto"/>
              <w:right w:val="single" w:sz="2" w:space="0" w:color="auto"/>
            </w:tcBorders>
            <w:vAlign w:val="center"/>
          </w:tcPr>
          <w:p w14:paraId="22FBF8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7835DA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5ABCEF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B2ECB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D340A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0923BA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507F8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DD6DC2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6C81D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61822A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6F656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3540F2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27EB9355"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68D78AF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．股份支付计入所有者权益的金额</w:t>
            </w:r>
          </w:p>
        </w:tc>
        <w:tc>
          <w:tcPr>
            <w:tcW w:w="1527" w:type="dxa"/>
            <w:tcBorders>
              <w:top w:val="single" w:sz="2" w:space="0" w:color="auto"/>
              <w:left w:val="single" w:sz="2" w:space="0" w:color="auto"/>
              <w:bottom w:val="single" w:sz="2" w:space="0" w:color="auto"/>
              <w:right w:val="single" w:sz="2" w:space="0" w:color="auto"/>
            </w:tcBorders>
            <w:vAlign w:val="center"/>
          </w:tcPr>
          <w:p w14:paraId="2FFACFF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40A07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FDB57E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CC958B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35C7B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DFDD19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D5DFB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98344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BDCAD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BFD9D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B7FEC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5AFE4D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1E63C322"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137FDB5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．其他</w:t>
            </w:r>
          </w:p>
        </w:tc>
        <w:tc>
          <w:tcPr>
            <w:tcW w:w="1527" w:type="dxa"/>
            <w:tcBorders>
              <w:top w:val="single" w:sz="2" w:space="0" w:color="auto"/>
              <w:left w:val="single" w:sz="2" w:space="0" w:color="auto"/>
              <w:bottom w:val="single" w:sz="2" w:space="0" w:color="auto"/>
              <w:right w:val="single" w:sz="2" w:space="0" w:color="auto"/>
            </w:tcBorders>
            <w:vAlign w:val="center"/>
          </w:tcPr>
          <w:p w14:paraId="2B0DE8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FABBE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AB923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B8553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-797.95</w:t>
            </w:r>
          </w:p>
        </w:tc>
        <w:tc>
          <w:tcPr>
            <w:tcW w:w="1418" w:type="dxa"/>
            <w:tcBorders>
              <w:top w:val="single" w:sz="2" w:space="0" w:color="auto"/>
              <w:left w:val="single" w:sz="2" w:space="0" w:color="auto"/>
              <w:bottom w:val="single" w:sz="2" w:space="0" w:color="auto"/>
              <w:right w:val="single" w:sz="2" w:space="0" w:color="auto"/>
            </w:tcBorders>
            <w:vAlign w:val="center"/>
          </w:tcPr>
          <w:p w14:paraId="44E3024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3DBC8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292,780,411.05</w:t>
            </w:r>
          </w:p>
        </w:tc>
        <w:tc>
          <w:tcPr>
            <w:tcW w:w="1418" w:type="dxa"/>
            <w:tcBorders>
              <w:top w:val="single" w:sz="2" w:space="0" w:color="auto"/>
              <w:left w:val="single" w:sz="2" w:space="0" w:color="auto"/>
              <w:bottom w:val="single" w:sz="2" w:space="0" w:color="auto"/>
              <w:right w:val="single" w:sz="2" w:space="0" w:color="auto"/>
            </w:tcBorders>
            <w:vAlign w:val="center"/>
          </w:tcPr>
          <w:p w14:paraId="31A399A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C4AF9D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35F29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4C844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2065D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93341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-292,781,209.00</w:t>
            </w:r>
          </w:p>
        </w:tc>
      </w:tr>
      <w:tr w:rsidR="00520C70" w:rsidRPr="005B5EC1" w14:paraId="6DB0357D"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7441B2B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（三）利润分配</w:t>
            </w:r>
          </w:p>
        </w:tc>
        <w:tc>
          <w:tcPr>
            <w:tcW w:w="1527" w:type="dxa"/>
            <w:tcBorders>
              <w:top w:val="single" w:sz="2" w:space="0" w:color="auto"/>
              <w:left w:val="single" w:sz="2" w:space="0" w:color="auto"/>
              <w:bottom w:val="single" w:sz="2" w:space="0" w:color="auto"/>
              <w:right w:val="single" w:sz="2" w:space="0" w:color="auto"/>
            </w:tcBorders>
            <w:vAlign w:val="center"/>
          </w:tcPr>
          <w:p w14:paraId="1771D5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50F9A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29F347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0ACB7C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D136B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D1CFE6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C59AE4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780D9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51964D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A3DD0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07BC8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7BC4BA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4EFCECDE"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1C00F01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．提取盈余公积</w:t>
            </w:r>
          </w:p>
        </w:tc>
        <w:tc>
          <w:tcPr>
            <w:tcW w:w="1527" w:type="dxa"/>
            <w:tcBorders>
              <w:top w:val="single" w:sz="2" w:space="0" w:color="auto"/>
              <w:left w:val="single" w:sz="2" w:space="0" w:color="auto"/>
              <w:bottom w:val="single" w:sz="2" w:space="0" w:color="auto"/>
              <w:right w:val="single" w:sz="2" w:space="0" w:color="auto"/>
            </w:tcBorders>
            <w:vAlign w:val="center"/>
          </w:tcPr>
          <w:p w14:paraId="6B07DA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74EB96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22B80F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9FEF6F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5564CC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ACB8A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D8139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195B8B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7DD02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4B1F7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A7C00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2298C6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24224A7A"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5817CE2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．对所有者（或股东）的分配</w:t>
            </w:r>
          </w:p>
        </w:tc>
        <w:tc>
          <w:tcPr>
            <w:tcW w:w="1527" w:type="dxa"/>
            <w:tcBorders>
              <w:top w:val="single" w:sz="2" w:space="0" w:color="auto"/>
              <w:left w:val="single" w:sz="2" w:space="0" w:color="auto"/>
              <w:bottom w:val="single" w:sz="2" w:space="0" w:color="auto"/>
              <w:right w:val="single" w:sz="2" w:space="0" w:color="auto"/>
            </w:tcBorders>
            <w:vAlign w:val="center"/>
          </w:tcPr>
          <w:p w14:paraId="244B74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DBE22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22D76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52B29F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3F4C7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08495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97600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F0B5C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1DCE2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1E737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E4A1E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C7809F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2E9685D5"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529001C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．其他</w:t>
            </w:r>
          </w:p>
        </w:tc>
        <w:tc>
          <w:tcPr>
            <w:tcW w:w="1527" w:type="dxa"/>
            <w:tcBorders>
              <w:top w:val="single" w:sz="2" w:space="0" w:color="auto"/>
              <w:left w:val="single" w:sz="2" w:space="0" w:color="auto"/>
              <w:bottom w:val="single" w:sz="2" w:space="0" w:color="auto"/>
              <w:right w:val="single" w:sz="2" w:space="0" w:color="auto"/>
            </w:tcBorders>
            <w:vAlign w:val="center"/>
          </w:tcPr>
          <w:p w14:paraId="79A06E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AC3D9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67E51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71C27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E19F7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5460B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B3465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42A83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E06E5A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9A4776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584A4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C972C9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0576286C"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5F99023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（四）所有者权益内部结转</w:t>
            </w:r>
          </w:p>
        </w:tc>
        <w:tc>
          <w:tcPr>
            <w:tcW w:w="1527" w:type="dxa"/>
            <w:tcBorders>
              <w:top w:val="single" w:sz="2" w:space="0" w:color="auto"/>
              <w:left w:val="single" w:sz="2" w:space="0" w:color="auto"/>
              <w:bottom w:val="single" w:sz="2" w:space="0" w:color="auto"/>
              <w:right w:val="single" w:sz="2" w:space="0" w:color="auto"/>
            </w:tcBorders>
            <w:vAlign w:val="center"/>
          </w:tcPr>
          <w:p w14:paraId="0BF6B6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2C5E60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D16C4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D7F5A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9CEDE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0474A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A03CD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EEBBB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4857B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FD7928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4C1D64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EAD9D3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4176B616"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20F962F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w:t>
            </w:r>
            <w:r w:rsidRPr="005B5EC1">
              <w:rPr>
                <w:rFonts w:ascii="Times New Roman" w:eastAsia="宋体" w:hAnsi="Times New Roman" w:cs="Times New Roman"/>
                <w:sz w:val="18"/>
                <w:szCs w:val="18"/>
              </w:rPr>
              <w:t>．资本公积转增资本（或股本）</w:t>
            </w:r>
          </w:p>
        </w:tc>
        <w:tc>
          <w:tcPr>
            <w:tcW w:w="1527" w:type="dxa"/>
            <w:tcBorders>
              <w:top w:val="single" w:sz="2" w:space="0" w:color="auto"/>
              <w:left w:val="single" w:sz="2" w:space="0" w:color="auto"/>
              <w:bottom w:val="single" w:sz="2" w:space="0" w:color="auto"/>
              <w:right w:val="single" w:sz="2" w:space="0" w:color="auto"/>
            </w:tcBorders>
            <w:vAlign w:val="center"/>
          </w:tcPr>
          <w:p w14:paraId="1A5787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AE719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EB83C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CED00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B307C2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E17042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40865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11C65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9784A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6CFAD0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582CCD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9CC662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4021F5BB"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0234496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．盈余公积转增资本（或股本）</w:t>
            </w:r>
          </w:p>
        </w:tc>
        <w:tc>
          <w:tcPr>
            <w:tcW w:w="1527" w:type="dxa"/>
            <w:tcBorders>
              <w:top w:val="single" w:sz="2" w:space="0" w:color="auto"/>
              <w:left w:val="single" w:sz="2" w:space="0" w:color="auto"/>
              <w:bottom w:val="single" w:sz="2" w:space="0" w:color="auto"/>
              <w:right w:val="single" w:sz="2" w:space="0" w:color="auto"/>
            </w:tcBorders>
            <w:vAlign w:val="center"/>
          </w:tcPr>
          <w:p w14:paraId="2AEFCA7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C37AC0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ECF3C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F5B1C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55580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C3771B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612BB7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7AECEB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83C76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29266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561B5B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084579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2752704A"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71DCDCA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．盈余公积弥补亏损</w:t>
            </w:r>
          </w:p>
        </w:tc>
        <w:tc>
          <w:tcPr>
            <w:tcW w:w="1527" w:type="dxa"/>
            <w:tcBorders>
              <w:top w:val="single" w:sz="2" w:space="0" w:color="auto"/>
              <w:left w:val="single" w:sz="2" w:space="0" w:color="auto"/>
              <w:bottom w:val="single" w:sz="2" w:space="0" w:color="auto"/>
              <w:right w:val="single" w:sz="2" w:space="0" w:color="auto"/>
            </w:tcBorders>
            <w:vAlign w:val="center"/>
          </w:tcPr>
          <w:p w14:paraId="4109C4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ECC76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4E7F4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18F9E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DD164B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5124A5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9BA493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A978E8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342EE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9CAB6A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60CD84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477324A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5F8859EC"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20AA9B4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．设定受益计划变动额结转留存收益</w:t>
            </w:r>
          </w:p>
        </w:tc>
        <w:tc>
          <w:tcPr>
            <w:tcW w:w="1527" w:type="dxa"/>
            <w:tcBorders>
              <w:top w:val="single" w:sz="2" w:space="0" w:color="auto"/>
              <w:left w:val="single" w:sz="2" w:space="0" w:color="auto"/>
              <w:bottom w:val="single" w:sz="2" w:space="0" w:color="auto"/>
              <w:right w:val="single" w:sz="2" w:space="0" w:color="auto"/>
            </w:tcBorders>
            <w:vAlign w:val="center"/>
          </w:tcPr>
          <w:p w14:paraId="4C12D4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96821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ACB086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A0E8A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AEF88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24AFEC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21CF8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C67C9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4B0DA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FC796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6E4F7F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909FF0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004ADE02"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0CEE920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．其他综合收益结转留存收益</w:t>
            </w:r>
          </w:p>
        </w:tc>
        <w:tc>
          <w:tcPr>
            <w:tcW w:w="1527" w:type="dxa"/>
            <w:tcBorders>
              <w:top w:val="single" w:sz="2" w:space="0" w:color="auto"/>
              <w:left w:val="single" w:sz="2" w:space="0" w:color="auto"/>
              <w:bottom w:val="single" w:sz="2" w:space="0" w:color="auto"/>
              <w:right w:val="single" w:sz="2" w:space="0" w:color="auto"/>
            </w:tcBorders>
            <w:vAlign w:val="center"/>
          </w:tcPr>
          <w:p w14:paraId="37658BA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DAAA54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694B1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161A1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983214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69FFD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42DB61D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545BC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F4E8F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3D6DDA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75022DA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F9D4AC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2A76B568"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5333B63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．其他</w:t>
            </w:r>
          </w:p>
        </w:tc>
        <w:tc>
          <w:tcPr>
            <w:tcW w:w="1527" w:type="dxa"/>
            <w:tcBorders>
              <w:top w:val="single" w:sz="2" w:space="0" w:color="auto"/>
              <w:left w:val="single" w:sz="2" w:space="0" w:color="auto"/>
              <w:bottom w:val="single" w:sz="2" w:space="0" w:color="auto"/>
              <w:right w:val="single" w:sz="2" w:space="0" w:color="auto"/>
            </w:tcBorders>
            <w:vAlign w:val="center"/>
          </w:tcPr>
          <w:p w14:paraId="01E30E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EBF02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0D70D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552176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FC0703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49E1D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0CBE1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8A6C8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16469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42679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031A32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F20054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459388BF"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271A2E0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（五）专项储备</w:t>
            </w:r>
          </w:p>
        </w:tc>
        <w:tc>
          <w:tcPr>
            <w:tcW w:w="1527" w:type="dxa"/>
            <w:tcBorders>
              <w:top w:val="single" w:sz="2" w:space="0" w:color="auto"/>
              <w:left w:val="single" w:sz="2" w:space="0" w:color="auto"/>
              <w:bottom w:val="single" w:sz="2" w:space="0" w:color="auto"/>
              <w:right w:val="single" w:sz="2" w:space="0" w:color="auto"/>
            </w:tcBorders>
            <w:vAlign w:val="center"/>
          </w:tcPr>
          <w:p w14:paraId="326379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D4AA28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34A6F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9A887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166967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7A7B27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77577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0637F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41AD5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48BD5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37F1C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E67221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64828FDE"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47F1F0A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．本期提取</w:t>
            </w:r>
          </w:p>
        </w:tc>
        <w:tc>
          <w:tcPr>
            <w:tcW w:w="1527" w:type="dxa"/>
            <w:tcBorders>
              <w:top w:val="single" w:sz="2" w:space="0" w:color="auto"/>
              <w:left w:val="single" w:sz="2" w:space="0" w:color="auto"/>
              <w:bottom w:val="single" w:sz="2" w:space="0" w:color="auto"/>
              <w:right w:val="single" w:sz="2" w:space="0" w:color="auto"/>
            </w:tcBorders>
            <w:vAlign w:val="center"/>
          </w:tcPr>
          <w:p w14:paraId="27AA651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4EF56A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8127B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818D31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2B65E66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F45C6B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32E5B35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11D446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AD607A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FF12C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324B9E7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A0C4A1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0F9FE509"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7FD6371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．本期使用</w:t>
            </w:r>
          </w:p>
        </w:tc>
        <w:tc>
          <w:tcPr>
            <w:tcW w:w="1527" w:type="dxa"/>
            <w:tcBorders>
              <w:top w:val="single" w:sz="2" w:space="0" w:color="auto"/>
              <w:left w:val="single" w:sz="2" w:space="0" w:color="auto"/>
              <w:bottom w:val="single" w:sz="2" w:space="0" w:color="auto"/>
              <w:right w:val="single" w:sz="2" w:space="0" w:color="auto"/>
            </w:tcBorders>
            <w:vAlign w:val="center"/>
          </w:tcPr>
          <w:p w14:paraId="580CB9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B2836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0B180D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4A834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3E4E48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7F1EEE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0BAE7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D4E894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8F5932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101C27A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2329E0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188DB68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0E7D904C"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0422402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（六）其他</w:t>
            </w:r>
          </w:p>
        </w:tc>
        <w:tc>
          <w:tcPr>
            <w:tcW w:w="1527" w:type="dxa"/>
            <w:tcBorders>
              <w:top w:val="single" w:sz="2" w:space="0" w:color="auto"/>
              <w:left w:val="single" w:sz="2" w:space="0" w:color="auto"/>
              <w:bottom w:val="single" w:sz="2" w:space="0" w:color="auto"/>
              <w:right w:val="single" w:sz="2" w:space="0" w:color="auto"/>
            </w:tcBorders>
            <w:vAlign w:val="center"/>
          </w:tcPr>
          <w:p w14:paraId="310395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19B475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D0CAE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A9B7C7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A01BFE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102C24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0889368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2FCCB4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70F49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0844E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14:paraId="1EBBE7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9A3DDB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520C70" w:rsidRPr="005B5EC1" w14:paraId="64E957A0" w14:textId="77777777" w:rsidTr="00520C70">
        <w:trPr>
          <w:trHeight w:val="240"/>
        </w:trPr>
        <w:tc>
          <w:tcPr>
            <w:tcW w:w="1450" w:type="dxa"/>
            <w:tcBorders>
              <w:top w:val="single" w:sz="2" w:space="0" w:color="auto"/>
              <w:left w:val="single" w:sz="2" w:space="0" w:color="auto"/>
              <w:bottom w:val="single" w:sz="2" w:space="0" w:color="auto"/>
              <w:right w:val="single" w:sz="2" w:space="0" w:color="auto"/>
            </w:tcBorders>
            <w:shd w:val="clear" w:color="auto" w:fill="D3D3D3"/>
            <w:vAlign w:val="center"/>
          </w:tcPr>
          <w:p w14:paraId="02156CC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四、本期期末余额</w:t>
            </w:r>
          </w:p>
        </w:tc>
        <w:tc>
          <w:tcPr>
            <w:tcW w:w="1527" w:type="dxa"/>
            <w:tcBorders>
              <w:top w:val="single" w:sz="2" w:space="0" w:color="auto"/>
              <w:left w:val="single" w:sz="2" w:space="0" w:color="auto"/>
              <w:bottom w:val="single" w:sz="2" w:space="0" w:color="auto"/>
              <w:right w:val="single" w:sz="2" w:space="0" w:color="auto"/>
            </w:tcBorders>
            <w:vAlign w:val="center"/>
          </w:tcPr>
          <w:p w14:paraId="0AFAFE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1,079,159,832.00</w:t>
            </w:r>
          </w:p>
        </w:tc>
        <w:tc>
          <w:tcPr>
            <w:tcW w:w="709" w:type="dxa"/>
            <w:tcBorders>
              <w:top w:val="single" w:sz="2" w:space="0" w:color="auto"/>
              <w:left w:val="single" w:sz="2" w:space="0" w:color="auto"/>
              <w:bottom w:val="single" w:sz="2" w:space="0" w:color="auto"/>
              <w:right w:val="single" w:sz="2" w:space="0" w:color="auto"/>
            </w:tcBorders>
            <w:vAlign w:val="center"/>
          </w:tcPr>
          <w:p w14:paraId="5A0F2A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14:paraId="12EB55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17" w:type="dxa"/>
            <w:tcBorders>
              <w:top w:val="single" w:sz="2" w:space="0" w:color="auto"/>
              <w:left w:val="single" w:sz="2" w:space="0" w:color="auto"/>
              <w:bottom w:val="single" w:sz="2" w:space="0" w:color="auto"/>
              <w:right w:val="single" w:sz="2" w:space="0" w:color="auto"/>
            </w:tcBorders>
            <w:vAlign w:val="center"/>
          </w:tcPr>
          <w:p w14:paraId="69395D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c>
          <w:tcPr>
            <w:tcW w:w="1418" w:type="dxa"/>
            <w:tcBorders>
              <w:top w:val="single" w:sz="2" w:space="0" w:color="auto"/>
              <w:left w:val="single" w:sz="2" w:space="0" w:color="auto"/>
              <w:bottom w:val="single" w:sz="2" w:space="0" w:color="auto"/>
              <w:right w:val="single" w:sz="2" w:space="0" w:color="auto"/>
            </w:tcBorders>
            <w:vAlign w:val="center"/>
          </w:tcPr>
          <w:p w14:paraId="58D784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830,435,511.92</w:t>
            </w:r>
          </w:p>
        </w:tc>
        <w:tc>
          <w:tcPr>
            <w:tcW w:w="1417" w:type="dxa"/>
            <w:tcBorders>
              <w:top w:val="single" w:sz="2" w:space="0" w:color="auto"/>
              <w:left w:val="single" w:sz="2" w:space="0" w:color="auto"/>
              <w:bottom w:val="single" w:sz="2" w:space="0" w:color="auto"/>
              <w:right w:val="single" w:sz="2" w:space="0" w:color="auto"/>
            </w:tcBorders>
            <w:vAlign w:val="center"/>
          </w:tcPr>
          <w:p w14:paraId="5F0341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418" w:type="dxa"/>
            <w:tcBorders>
              <w:top w:val="single" w:sz="2" w:space="0" w:color="auto"/>
              <w:left w:val="single" w:sz="2" w:space="0" w:color="auto"/>
              <w:bottom w:val="single" w:sz="2" w:space="0" w:color="auto"/>
              <w:right w:val="single" w:sz="2" w:space="0" w:color="auto"/>
            </w:tcBorders>
            <w:vAlign w:val="center"/>
          </w:tcPr>
          <w:p w14:paraId="1AFA4F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709" w:type="dxa"/>
            <w:tcBorders>
              <w:top w:val="single" w:sz="2" w:space="0" w:color="auto"/>
              <w:left w:val="single" w:sz="2" w:space="0" w:color="auto"/>
              <w:bottom w:val="single" w:sz="2" w:space="0" w:color="auto"/>
              <w:right w:val="single" w:sz="2" w:space="0" w:color="auto"/>
            </w:tcBorders>
            <w:vAlign w:val="center"/>
          </w:tcPr>
          <w:p w14:paraId="0FCE850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0D2ECD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1418" w:type="dxa"/>
            <w:tcBorders>
              <w:top w:val="single" w:sz="2" w:space="0" w:color="auto"/>
              <w:left w:val="single" w:sz="2" w:space="0" w:color="auto"/>
              <w:bottom w:val="single" w:sz="2" w:space="0" w:color="auto"/>
              <w:right w:val="single" w:sz="2" w:space="0" w:color="auto"/>
            </w:tcBorders>
            <w:vAlign w:val="center"/>
          </w:tcPr>
          <w:p w14:paraId="36D583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-810,843,308.94</w:t>
            </w:r>
          </w:p>
        </w:tc>
        <w:tc>
          <w:tcPr>
            <w:tcW w:w="425" w:type="dxa"/>
            <w:tcBorders>
              <w:top w:val="single" w:sz="2" w:space="0" w:color="auto"/>
              <w:left w:val="single" w:sz="2" w:space="0" w:color="auto"/>
              <w:bottom w:val="single" w:sz="2" w:space="0" w:color="auto"/>
              <w:right w:val="single" w:sz="2" w:space="0" w:color="auto"/>
            </w:tcBorders>
            <w:vAlign w:val="center"/>
          </w:tcPr>
          <w:p w14:paraId="3811360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751B7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1,191,915,762.83</w:t>
            </w:r>
          </w:p>
        </w:tc>
      </w:tr>
    </w:tbl>
    <w:p w14:paraId="38F8423E" w14:textId="77777777" w:rsidR="004C3D2C" w:rsidRPr="005B5EC1" w:rsidRDefault="004C3D2C">
      <w:pPr>
        <w:pStyle w:val="2"/>
        <w:spacing w:before="300" w:after="300" w:line="320" w:lineRule="exact"/>
        <w:rPr>
          <w:rFonts w:ascii="Times New Roman" w:eastAsia="宋体" w:hAnsi="Times New Roman" w:cs="Times New Roman"/>
          <w:b/>
          <w:bCs/>
          <w:sz w:val="24"/>
          <w:szCs w:val="24"/>
        </w:rPr>
        <w:sectPr w:rsidR="004C3D2C" w:rsidRPr="005B5EC1" w:rsidSect="004C3D2C">
          <w:pgSz w:w="16840" w:h="11905" w:orient="landscape"/>
          <w:pgMar w:top="1134" w:right="1440" w:bottom="1134" w:left="1440" w:header="850" w:footer="992" w:gutter="0"/>
          <w:cols w:space="720"/>
          <w:docGrid w:type="linesAndChars" w:linePitch="312"/>
        </w:sectPr>
      </w:pPr>
      <w:bookmarkStart w:id="171" w:name="_Toc989060"/>
    </w:p>
    <w:p w14:paraId="66D37B66"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r w:rsidRPr="005B5EC1">
        <w:rPr>
          <w:rFonts w:ascii="Times New Roman" w:eastAsia="宋体" w:hAnsi="Times New Roman" w:cs="Times New Roman"/>
          <w:b/>
          <w:bCs/>
          <w:sz w:val="24"/>
          <w:szCs w:val="24"/>
        </w:rPr>
        <w:lastRenderedPageBreak/>
        <w:t>三、公司基本情况</w:t>
      </w:r>
      <w:bookmarkEnd w:id="171"/>
    </w:p>
    <w:p w14:paraId="5A31F5EF" w14:textId="62A215A6" w:rsidR="00AF139E" w:rsidRPr="005B5EC1" w:rsidRDefault="00000000" w:rsidP="007D1463">
      <w:pPr>
        <w:pStyle w:val="a3"/>
        <w:spacing w:before="0" w:beforeAutospacing="0" w:after="0" w:afterAutospacing="0" w:line="276" w:lineRule="auto"/>
        <w:ind w:firstLineChars="200" w:firstLine="360"/>
        <w:jc w:val="both"/>
        <w:divId w:val="16350531"/>
        <w:rPr>
          <w:rFonts w:ascii="Times New Roman" w:hAnsi="Times New Roman" w:cs="Times New Roman"/>
          <w:sz w:val="21"/>
          <w:szCs w:val="21"/>
        </w:rPr>
      </w:pPr>
      <w:r w:rsidRPr="005B5EC1">
        <w:rPr>
          <w:rFonts w:ascii="Times New Roman" w:hAnsi="Times New Roman" w:cs="Times New Roman"/>
          <w:sz w:val="18"/>
          <w:szCs w:val="18"/>
        </w:rPr>
        <w:t>山东龙大美食股份有限公司（以下简称</w:t>
      </w:r>
      <w:r w:rsidRPr="005B5EC1">
        <w:rPr>
          <w:rFonts w:ascii="Times New Roman" w:hAnsi="Times New Roman" w:cs="Times New Roman"/>
          <w:sz w:val="18"/>
          <w:szCs w:val="18"/>
        </w:rPr>
        <w:t>“</w:t>
      </w:r>
      <w:r w:rsidRPr="005B5EC1">
        <w:rPr>
          <w:rFonts w:ascii="Times New Roman" w:hAnsi="Times New Roman" w:cs="Times New Roman"/>
          <w:sz w:val="18"/>
          <w:szCs w:val="18"/>
        </w:rPr>
        <w:t>本公司</w:t>
      </w:r>
      <w:r w:rsidRPr="005B5EC1">
        <w:rPr>
          <w:rFonts w:ascii="Times New Roman" w:hAnsi="Times New Roman" w:cs="Times New Roman"/>
          <w:sz w:val="18"/>
          <w:szCs w:val="18"/>
        </w:rPr>
        <w:t>”</w:t>
      </w:r>
      <w:r w:rsidRPr="005B5EC1">
        <w:rPr>
          <w:rFonts w:ascii="Times New Roman" w:hAnsi="Times New Roman" w:cs="Times New Roman"/>
          <w:sz w:val="18"/>
          <w:szCs w:val="18"/>
        </w:rPr>
        <w:t>或</w:t>
      </w:r>
      <w:r w:rsidRPr="005B5EC1">
        <w:rPr>
          <w:rFonts w:ascii="Times New Roman" w:hAnsi="Times New Roman" w:cs="Times New Roman"/>
          <w:sz w:val="18"/>
          <w:szCs w:val="18"/>
        </w:rPr>
        <w:t>“</w:t>
      </w:r>
      <w:r w:rsidRPr="005B5EC1">
        <w:rPr>
          <w:rFonts w:ascii="Times New Roman" w:hAnsi="Times New Roman" w:cs="Times New Roman"/>
          <w:sz w:val="18"/>
          <w:szCs w:val="18"/>
        </w:rPr>
        <w:t>公司</w:t>
      </w:r>
      <w:r w:rsidRPr="005B5EC1">
        <w:rPr>
          <w:rFonts w:ascii="Times New Roman" w:hAnsi="Times New Roman" w:cs="Times New Roman"/>
          <w:sz w:val="18"/>
          <w:szCs w:val="18"/>
        </w:rPr>
        <w:t>”</w:t>
      </w:r>
      <w:r w:rsidRPr="005B5EC1">
        <w:rPr>
          <w:rFonts w:ascii="Times New Roman" w:hAnsi="Times New Roman" w:cs="Times New Roman"/>
          <w:sz w:val="18"/>
          <w:szCs w:val="18"/>
        </w:rPr>
        <w:t>）为境内公开发行</w:t>
      </w:r>
      <w:r w:rsidRPr="005B5EC1">
        <w:rPr>
          <w:rFonts w:ascii="Times New Roman" w:hAnsi="Times New Roman" w:cs="Times New Roman"/>
          <w:sz w:val="18"/>
          <w:szCs w:val="18"/>
        </w:rPr>
        <w:t>A</w:t>
      </w:r>
      <w:r w:rsidRPr="005B5EC1">
        <w:rPr>
          <w:rFonts w:ascii="Times New Roman" w:hAnsi="Times New Roman" w:cs="Times New Roman"/>
          <w:sz w:val="18"/>
          <w:szCs w:val="18"/>
        </w:rPr>
        <w:t>股并在深圳证</w:t>
      </w:r>
      <w:r w:rsidR="00135897">
        <w:rPr>
          <w:rFonts w:ascii="Times New Roman" w:hAnsi="Times New Roman" w:cs="Times New Roman" w:hint="eastAsia"/>
          <w:sz w:val="18"/>
          <w:szCs w:val="18"/>
        </w:rPr>
        <w:t>券</w:t>
      </w:r>
      <w:r w:rsidRPr="005B5EC1">
        <w:rPr>
          <w:rFonts w:ascii="Times New Roman" w:hAnsi="Times New Roman" w:cs="Times New Roman"/>
          <w:sz w:val="18"/>
          <w:szCs w:val="18"/>
        </w:rPr>
        <w:t>交易所上市的股份有限公司。本公司于</w:t>
      </w:r>
      <w:r w:rsidRPr="005B5EC1">
        <w:rPr>
          <w:rFonts w:ascii="Times New Roman" w:hAnsi="Times New Roman" w:cs="Times New Roman"/>
          <w:sz w:val="18"/>
          <w:szCs w:val="18"/>
        </w:rPr>
        <w:t>2003</w:t>
      </w:r>
      <w:r w:rsidRPr="005B5EC1">
        <w:rPr>
          <w:rFonts w:ascii="Times New Roman" w:hAnsi="Times New Roman" w:cs="Times New Roman"/>
          <w:sz w:val="18"/>
          <w:szCs w:val="18"/>
        </w:rPr>
        <w:t>年</w:t>
      </w:r>
      <w:r w:rsidRPr="005B5EC1">
        <w:rPr>
          <w:rFonts w:ascii="Times New Roman" w:hAnsi="Times New Roman" w:cs="Times New Roman"/>
          <w:sz w:val="18"/>
          <w:szCs w:val="18"/>
        </w:rPr>
        <w:t>7</w:t>
      </w:r>
      <w:r w:rsidRPr="005B5EC1">
        <w:rPr>
          <w:rFonts w:ascii="Times New Roman" w:hAnsi="Times New Roman" w:cs="Times New Roman"/>
          <w:sz w:val="18"/>
          <w:szCs w:val="18"/>
        </w:rPr>
        <w:t>月在山东省莱阳市食品工业园注册成立。总部位于山东省莱阳市龙门东路</w:t>
      </w:r>
      <w:r w:rsidRPr="005B5EC1">
        <w:rPr>
          <w:rFonts w:ascii="Times New Roman" w:hAnsi="Times New Roman" w:cs="Times New Roman"/>
          <w:sz w:val="18"/>
          <w:szCs w:val="18"/>
        </w:rPr>
        <w:t>99</w:t>
      </w:r>
      <w:r w:rsidRPr="005B5EC1">
        <w:rPr>
          <w:rFonts w:ascii="Times New Roman" w:hAnsi="Times New Roman" w:cs="Times New Roman"/>
          <w:sz w:val="18"/>
          <w:szCs w:val="18"/>
        </w:rPr>
        <w:t>号。</w:t>
      </w:r>
    </w:p>
    <w:p w14:paraId="49B4B1A8" w14:textId="77777777" w:rsidR="00AF139E" w:rsidRPr="005B5EC1" w:rsidRDefault="00000000" w:rsidP="007D1463">
      <w:pPr>
        <w:pStyle w:val="a3"/>
        <w:spacing w:before="0" w:beforeAutospacing="0" w:after="0" w:afterAutospacing="0" w:line="276" w:lineRule="auto"/>
        <w:ind w:firstLineChars="200" w:firstLine="360"/>
        <w:jc w:val="both"/>
        <w:divId w:val="16350531"/>
        <w:rPr>
          <w:rFonts w:ascii="Times New Roman" w:hAnsi="Times New Roman" w:cs="Times New Roman"/>
          <w:sz w:val="21"/>
          <w:szCs w:val="21"/>
        </w:rPr>
      </w:pPr>
      <w:r w:rsidRPr="005B5EC1">
        <w:rPr>
          <w:rFonts w:ascii="Times New Roman" w:hAnsi="Times New Roman" w:cs="Times New Roman"/>
          <w:sz w:val="18"/>
          <w:szCs w:val="18"/>
        </w:rPr>
        <w:t>本公司及各子公司（统称</w:t>
      </w:r>
      <w:r w:rsidRPr="005B5EC1">
        <w:rPr>
          <w:rFonts w:ascii="Times New Roman" w:hAnsi="Times New Roman" w:cs="Times New Roman"/>
          <w:sz w:val="18"/>
          <w:szCs w:val="18"/>
        </w:rPr>
        <w:t>“</w:t>
      </w:r>
      <w:r w:rsidRPr="005B5EC1">
        <w:rPr>
          <w:rFonts w:ascii="Times New Roman" w:hAnsi="Times New Roman" w:cs="Times New Roman"/>
          <w:sz w:val="18"/>
          <w:szCs w:val="18"/>
        </w:rPr>
        <w:t>本集团</w:t>
      </w:r>
      <w:r w:rsidRPr="005B5EC1">
        <w:rPr>
          <w:rFonts w:ascii="Times New Roman" w:hAnsi="Times New Roman" w:cs="Times New Roman"/>
          <w:sz w:val="18"/>
          <w:szCs w:val="18"/>
        </w:rPr>
        <w:t>”</w:t>
      </w:r>
      <w:r w:rsidRPr="005B5EC1">
        <w:rPr>
          <w:rFonts w:ascii="Times New Roman" w:hAnsi="Times New Roman" w:cs="Times New Roman"/>
          <w:sz w:val="18"/>
          <w:szCs w:val="18"/>
        </w:rPr>
        <w:t>）主要从事屠宰、肉类加工业及进口贸易。</w:t>
      </w:r>
    </w:p>
    <w:p w14:paraId="420D29EA" w14:textId="77777777" w:rsidR="007D1463" w:rsidRPr="005B5EC1" w:rsidRDefault="00000000" w:rsidP="007D1463">
      <w:pPr>
        <w:pStyle w:val="a3"/>
        <w:spacing w:before="0" w:beforeAutospacing="0" w:after="0" w:afterAutospacing="0" w:line="276" w:lineRule="auto"/>
        <w:ind w:firstLineChars="200" w:firstLine="360"/>
        <w:jc w:val="both"/>
        <w:divId w:val="16350531"/>
        <w:rPr>
          <w:rFonts w:ascii="Times New Roman" w:hAnsi="Times New Roman" w:cs="Times New Roman"/>
          <w:sz w:val="21"/>
          <w:szCs w:val="21"/>
        </w:rPr>
      </w:pPr>
      <w:r w:rsidRPr="005B5EC1">
        <w:rPr>
          <w:rFonts w:ascii="Times New Roman" w:hAnsi="Times New Roman" w:cs="Times New Roman"/>
          <w:sz w:val="18"/>
          <w:szCs w:val="18"/>
        </w:rPr>
        <w:t>本财务报表业经本公司董事会于</w:t>
      </w:r>
      <w:r w:rsidRPr="005B5EC1">
        <w:rPr>
          <w:rFonts w:ascii="Times New Roman" w:hAnsi="Times New Roman" w:cs="Times New Roman"/>
          <w:sz w:val="18"/>
          <w:szCs w:val="18"/>
        </w:rPr>
        <w:t>2025</w:t>
      </w:r>
      <w:r w:rsidRPr="005B5EC1">
        <w:rPr>
          <w:rFonts w:ascii="Times New Roman" w:hAnsi="Times New Roman" w:cs="Times New Roman"/>
          <w:sz w:val="18"/>
          <w:szCs w:val="18"/>
        </w:rPr>
        <w:t>年</w:t>
      </w:r>
      <w:r w:rsidRPr="005B5EC1">
        <w:rPr>
          <w:rFonts w:ascii="Times New Roman" w:hAnsi="Times New Roman" w:cs="Times New Roman"/>
          <w:sz w:val="18"/>
          <w:szCs w:val="18"/>
        </w:rPr>
        <w:t>04</w:t>
      </w:r>
      <w:r w:rsidRPr="005B5EC1">
        <w:rPr>
          <w:rFonts w:ascii="Times New Roman" w:hAnsi="Times New Roman" w:cs="Times New Roman"/>
          <w:sz w:val="18"/>
          <w:szCs w:val="18"/>
        </w:rPr>
        <w:t>月</w:t>
      </w:r>
      <w:r w:rsidRPr="005B5EC1">
        <w:rPr>
          <w:rFonts w:ascii="Times New Roman" w:hAnsi="Times New Roman" w:cs="Times New Roman"/>
          <w:sz w:val="18"/>
          <w:szCs w:val="18"/>
        </w:rPr>
        <w:t>25</w:t>
      </w:r>
      <w:r w:rsidRPr="005B5EC1">
        <w:rPr>
          <w:rFonts w:ascii="Times New Roman" w:hAnsi="Times New Roman" w:cs="Times New Roman"/>
          <w:sz w:val="18"/>
          <w:szCs w:val="18"/>
        </w:rPr>
        <w:t>日决议批准报出。</w:t>
      </w:r>
    </w:p>
    <w:p w14:paraId="7342EE9A" w14:textId="292D1862" w:rsidR="00AF139E" w:rsidRPr="005B5EC1" w:rsidRDefault="00000000" w:rsidP="007D1463">
      <w:pPr>
        <w:pStyle w:val="a3"/>
        <w:spacing w:before="0" w:beforeAutospacing="0" w:after="0" w:afterAutospacing="0" w:line="276" w:lineRule="auto"/>
        <w:ind w:firstLineChars="200" w:firstLine="356"/>
        <w:jc w:val="both"/>
        <w:divId w:val="16350531"/>
        <w:rPr>
          <w:rFonts w:ascii="Times New Roman" w:hAnsi="Times New Roman" w:cs="Times New Roman"/>
          <w:sz w:val="21"/>
          <w:szCs w:val="21"/>
        </w:rPr>
      </w:pPr>
      <w:r w:rsidRPr="005B5EC1">
        <w:rPr>
          <w:rFonts w:ascii="Times New Roman" w:hAnsi="Times New Roman" w:cs="Times New Roman"/>
          <w:color w:val="000000"/>
          <w:spacing w:val="-2"/>
          <w:sz w:val="18"/>
          <w:szCs w:val="18"/>
        </w:rPr>
        <w:t>截至</w:t>
      </w:r>
      <w:r w:rsidRPr="005B5EC1">
        <w:rPr>
          <w:rFonts w:ascii="Times New Roman" w:hAnsi="Times New Roman" w:cs="Times New Roman"/>
          <w:color w:val="000000"/>
          <w:spacing w:val="-2"/>
          <w:sz w:val="18"/>
          <w:szCs w:val="18"/>
        </w:rPr>
        <w:t>2024</w:t>
      </w:r>
      <w:r w:rsidRPr="005B5EC1">
        <w:rPr>
          <w:rFonts w:ascii="Times New Roman" w:hAnsi="Times New Roman" w:cs="Times New Roman"/>
          <w:color w:val="000000"/>
          <w:spacing w:val="-2"/>
          <w:sz w:val="18"/>
          <w:szCs w:val="18"/>
        </w:rPr>
        <w:t>年</w:t>
      </w:r>
      <w:r w:rsidRPr="005B5EC1">
        <w:rPr>
          <w:rFonts w:ascii="Times New Roman" w:hAnsi="Times New Roman" w:cs="Times New Roman"/>
          <w:color w:val="000000"/>
          <w:spacing w:val="-2"/>
          <w:sz w:val="18"/>
          <w:szCs w:val="18"/>
        </w:rPr>
        <w:t>12</w:t>
      </w:r>
      <w:r w:rsidRPr="005B5EC1">
        <w:rPr>
          <w:rFonts w:ascii="Times New Roman" w:hAnsi="Times New Roman" w:cs="Times New Roman"/>
          <w:color w:val="000000"/>
          <w:spacing w:val="-2"/>
          <w:sz w:val="18"/>
          <w:szCs w:val="18"/>
        </w:rPr>
        <w:t>月</w:t>
      </w:r>
      <w:r w:rsidRPr="005B5EC1">
        <w:rPr>
          <w:rFonts w:ascii="Times New Roman" w:hAnsi="Times New Roman" w:cs="Times New Roman"/>
          <w:color w:val="000000"/>
          <w:spacing w:val="-2"/>
          <w:sz w:val="18"/>
          <w:szCs w:val="18"/>
        </w:rPr>
        <w:t>31</w:t>
      </w:r>
      <w:r w:rsidRPr="005B5EC1">
        <w:rPr>
          <w:rFonts w:ascii="Times New Roman" w:hAnsi="Times New Roman" w:cs="Times New Roman"/>
          <w:color w:val="000000"/>
          <w:spacing w:val="-2"/>
          <w:sz w:val="18"/>
          <w:szCs w:val="18"/>
        </w:rPr>
        <w:t>日，本集团纳入合并范围的子公司共</w:t>
      </w:r>
      <w:r w:rsidRPr="005B5EC1">
        <w:rPr>
          <w:rFonts w:ascii="Times New Roman" w:hAnsi="Times New Roman" w:cs="Times New Roman"/>
          <w:color w:val="000000"/>
          <w:spacing w:val="-2"/>
          <w:sz w:val="18"/>
          <w:szCs w:val="18"/>
        </w:rPr>
        <w:t>37</w:t>
      </w:r>
      <w:r w:rsidRPr="005B5EC1">
        <w:rPr>
          <w:rFonts w:ascii="Times New Roman" w:hAnsi="Times New Roman" w:cs="Times New Roman"/>
          <w:color w:val="000000"/>
          <w:spacing w:val="-2"/>
          <w:sz w:val="18"/>
          <w:szCs w:val="18"/>
        </w:rPr>
        <w:t>户，详见本附注十</w:t>
      </w:r>
      <w:r w:rsidRPr="005B5EC1">
        <w:rPr>
          <w:rFonts w:ascii="Times New Roman" w:hAnsi="Times New Roman" w:cs="Times New Roman"/>
          <w:color w:val="000000"/>
          <w:spacing w:val="-2"/>
          <w:sz w:val="18"/>
          <w:szCs w:val="18"/>
        </w:rPr>
        <w:t>“</w:t>
      </w:r>
      <w:r w:rsidRPr="005B5EC1">
        <w:rPr>
          <w:rFonts w:ascii="Times New Roman" w:hAnsi="Times New Roman" w:cs="Times New Roman"/>
          <w:color w:val="000000"/>
          <w:spacing w:val="-2"/>
          <w:sz w:val="18"/>
          <w:szCs w:val="18"/>
        </w:rPr>
        <w:t>在其他主体中的权益</w:t>
      </w:r>
      <w:r w:rsidRPr="005B5EC1">
        <w:rPr>
          <w:rFonts w:ascii="Times New Roman" w:hAnsi="Times New Roman" w:cs="Times New Roman"/>
          <w:color w:val="000000"/>
          <w:spacing w:val="-2"/>
          <w:sz w:val="18"/>
          <w:szCs w:val="18"/>
        </w:rPr>
        <w:t>”</w:t>
      </w:r>
      <w:r w:rsidRPr="005B5EC1">
        <w:rPr>
          <w:rFonts w:ascii="Times New Roman" w:hAnsi="Times New Roman" w:cs="Times New Roman"/>
          <w:color w:val="000000"/>
          <w:spacing w:val="-2"/>
          <w:sz w:val="18"/>
          <w:szCs w:val="18"/>
        </w:rPr>
        <w:t>。本集</w:t>
      </w:r>
      <w:r w:rsidRPr="005B5EC1">
        <w:rPr>
          <w:rFonts w:ascii="Times New Roman" w:hAnsi="Times New Roman" w:cs="Times New Roman"/>
          <w:color w:val="000000"/>
          <w:spacing w:val="-3"/>
          <w:sz w:val="18"/>
          <w:szCs w:val="18"/>
        </w:rPr>
        <w:t>团本年</w:t>
      </w:r>
      <w:r w:rsidRPr="005B5EC1">
        <w:rPr>
          <w:rFonts w:ascii="Times New Roman" w:hAnsi="Times New Roman" w:cs="Times New Roman"/>
          <w:color w:val="000000"/>
          <w:spacing w:val="-2"/>
          <w:sz w:val="18"/>
          <w:szCs w:val="18"/>
        </w:rPr>
        <w:t>合并范围比上年增加</w:t>
      </w:r>
      <w:r w:rsidRPr="005B5EC1">
        <w:rPr>
          <w:rFonts w:ascii="Times New Roman" w:hAnsi="Times New Roman" w:cs="Times New Roman"/>
          <w:color w:val="000000"/>
          <w:spacing w:val="-2"/>
          <w:sz w:val="18"/>
          <w:szCs w:val="18"/>
        </w:rPr>
        <w:t>1</w:t>
      </w:r>
      <w:r w:rsidRPr="005B5EC1">
        <w:rPr>
          <w:rFonts w:ascii="Times New Roman" w:hAnsi="Times New Roman" w:cs="Times New Roman"/>
          <w:color w:val="000000"/>
          <w:spacing w:val="-2"/>
          <w:sz w:val="18"/>
          <w:szCs w:val="18"/>
        </w:rPr>
        <w:t>户，减少</w:t>
      </w:r>
      <w:r w:rsidRPr="005B5EC1">
        <w:rPr>
          <w:rFonts w:ascii="Times New Roman" w:hAnsi="Times New Roman" w:cs="Times New Roman"/>
          <w:color w:val="000000"/>
          <w:spacing w:val="-2"/>
          <w:sz w:val="18"/>
          <w:szCs w:val="18"/>
        </w:rPr>
        <w:t>5</w:t>
      </w:r>
      <w:r w:rsidRPr="005B5EC1">
        <w:rPr>
          <w:rFonts w:ascii="Times New Roman" w:hAnsi="Times New Roman" w:cs="Times New Roman"/>
          <w:color w:val="000000"/>
          <w:spacing w:val="-2"/>
          <w:sz w:val="18"/>
          <w:szCs w:val="18"/>
        </w:rPr>
        <w:t>户，详见本附注九</w:t>
      </w:r>
      <w:r w:rsidRPr="005B5EC1">
        <w:rPr>
          <w:rFonts w:ascii="Times New Roman" w:hAnsi="Times New Roman" w:cs="Times New Roman"/>
          <w:color w:val="000000"/>
          <w:spacing w:val="-2"/>
          <w:sz w:val="18"/>
          <w:szCs w:val="18"/>
        </w:rPr>
        <w:t>“</w:t>
      </w:r>
      <w:r w:rsidRPr="005B5EC1">
        <w:rPr>
          <w:rFonts w:ascii="Times New Roman" w:hAnsi="Times New Roman" w:cs="Times New Roman"/>
          <w:color w:val="000000"/>
          <w:spacing w:val="-2"/>
          <w:sz w:val="18"/>
          <w:szCs w:val="18"/>
        </w:rPr>
        <w:t>合并范围的变更</w:t>
      </w:r>
      <w:r w:rsidRPr="005B5EC1">
        <w:rPr>
          <w:rFonts w:ascii="Times New Roman" w:hAnsi="Times New Roman" w:cs="Times New Roman"/>
          <w:color w:val="000000"/>
          <w:spacing w:val="-2"/>
          <w:sz w:val="18"/>
          <w:szCs w:val="18"/>
        </w:rPr>
        <w:t>”</w:t>
      </w:r>
      <w:r w:rsidRPr="005B5EC1">
        <w:rPr>
          <w:rFonts w:ascii="Times New Roman" w:hAnsi="Times New Roman" w:cs="Times New Roman"/>
          <w:color w:val="000000"/>
          <w:spacing w:val="-2"/>
          <w:sz w:val="18"/>
          <w:szCs w:val="18"/>
        </w:rPr>
        <w:t>。</w:t>
      </w:r>
    </w:p>
    <w:p w14:paraId="69C87624"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172" w:name="_Toc989061"/>
      <w:r w:rsidRPr="005B5EC1">
        <w:rPr>
          <w:rFonts w:ascii="Times New Roman" w:eastAsia="宋体" w:hAnsi="Times New Roman" w:cs="Times New Roman"/>
          <w:b/>
          <w:bCs/>
          <w:sz w:val="24"/>
          <w:szCs w:val="24"/>
        </w:rPr>
        <w:t>四、财务报表的编制基础</w:t>
      </w:r>
      <w:bookmarkEnd w:id="172"/>
    </w:p>
    <w:p w14:paraId="4A692802" w14:textId="77777777" w:rsidR="00E32FE0" w:rsidRPr="005B5EC1" w:rsidRDefault="00000000">
      <w:pPr>
        <w:pStyle w:val="3"/>
        <w:spacing w:line="280" w:lineRule="exact"/>
        <w:jc w:val="left"/>
        <w:rPr>
          <w:rFonts w:ascii="Times New Roman" w:hAnsi="Times New Roman" w:cs="Times New Roman"/>
          <w:b/>
          <w:bCs/>
        </w:rPr>
      </w:pPr>
      <w:bookmarkStart w:id="173" w:name="_Toc989062"/>
      <w:r w:rsidRPr="005B5EC1">
        <w:rPr>
          <w:rFonts w:ascii="Times New Roman" w:hAnsi="Times New Roman" w:cs="Times New Roman"/>
          <w:b/>
          <w:bCs/>
        </w:rPr>
        <w:t>1</w:t>
      </w:r>
      <w:r w:rsidRPr="005B5EC1">
        <w:rPr>
          <w:rFonts w:ascii="Times New Roman" w:hAnsi="Times New Roman" w:cs="Times New Roman"/>
          <w:b/>
          <w:bCs/>
        </w:rPr>
        <w:t>、编制基础</w:t>
      </w:r>
      <w:bookmarkEnd w:id="173"/>
    </w:p>
    <w:p w14:paraId="3F30A1E7" w14:textId="77777777" w:rsidR="00AF139E" w:rsidRPr="005B5EC1" w:rsidRDefault="00000000" w:rsidP="007D1463">
      <w:pPr>
        <w:pStyle w:val="a3"/>
        <w:spacing w:before="0" w:beforeAutospacing="0" w:after="0" w:afterAutospacing="0" w:line="276" w:lineRule="auto"/>
        <w:ind w:firstLine="357"/>
        <w:jc w:val="both"/>
        <w:divId w:val="328991615"/>
        <w:rPr>
          <w:rFonts w:ascii="Times New Roman" w:hAnsi="Times New Roman" w:cs="Times New Roman"/>
          <w:sz w:val="21"/>
          <w:szCs w:val="21"/>
        </w:rPr>
      </w:pPr>
      <w:r w:rsidRPr="005B5EC1">
        <w:rPr>
          <w:rFonts w:ascii="Times New Roman" w:hAnsi="Times New Roman" w:cs="Times New Roman"/>
          <w:sz w:val="18"/>
          <w:szCs w:val="18"/>
        </w:rPr>
        <w:t>本集团财务报表以持续经营假设为基础，根据实际发生的交易和事项，按照财政部发布的《企业会计准则</w:t>
      </w:r>
      <w:r w:rsidRPr="005B5EC1">
        <w:rPr>
          <w:rFonts w:ascii="Times New Roman" w:hAnsi="Times New Roman" w:cs="Times New Roman"/>
          <w:sz w:val="18"/>
          <w:szCs w:val="18"/>
        </w:rPr>
        <w:t>——</w:t>
      </w:r>
      <w:r w:rsidRPr="005B5EC1">
        <w:rPr>
          <w:rFonts w:ascii="Times New Roman" w:hAnsi="Times New Roman" w:cs="Times New Roman"/>
          <w:sz w:val="18"/>
          <w:szCs w:val="18"/>
        </w:rPr>
        <w:t>基本准则》（财政部令第</w:t>
      </w:r>
      <w:r w:rsidRPr="005B5EC1">
        <w:rPr>
          <w:rFonts w:ascii="Times New Roman" w:hAnsi="Times New Roman" w:cs="Times New Roman"/>
          <w:sz w:val="18"/>
          <w:szCs w:val="18"/>
        </w:rPr>
        <w:t>33</w:t>
      </w:r>
      <w:r w:rsidRPr="005B5EC1">
        <w:rPr>
          <w:rFonts w:ascii="Times New Roman" w:hAnsi="Times New Roman" w:cs="Times New Roman"/>
          <w:sz w:val="18"/>
          <w:szCs w:val="18"/>
        </w:rPr>
        <w:t>号发布、财政部令第</w:t>
      </w:r>
      <w:r w:rsidRPr="005B5EC1">
        <w:rPr>
          <w:rFonts w:ascii="Times New Roman" w:hAnsi="Times New Roman" w:cs="Times New Roman"/>
          <w:sz w:val="18"/>
          <w:szCs w:val="18"/>
        </w:rPr>
        <w:t>76</w:t>
      </w:r>
      <w:r w:rsidRPr="005B5EC1">
        <w:rPr>
          <w:rFonts w:ascii="Times New Roman" w:hAnsi="Times New Roman" w:cs="Times New Roman"/>
          <w:sz w:val="18"/>
          <w:szCs w:val="18"/>
        </w:rPr>
        <w:t>号修订）、于</w:t>
      </w:r>
      <w:r w:rsidRPr="005B5EC1">
        <w:rPr>
          <w:rFonts w:ascii="Times New Roman" w:hAnsi="Times New Roman" w:cs="Times New Roman"/>
          <w:sz w:val="18"/>
          <w:szCs w:val="18"/>
        </w:rPr>
        <w:t>2006</w:t>
      </w:r>
      <w:r w:rsidRPr="005B5EC1">
        <w:rPr>
          <w:rFonts w:ascii="Times New Roman" w:hAnsi="Times New Roman" w:cs="Times New Roman"/>
          <w:sz w:val="18"/>
          <w:szCs w:val="18"/>
        </w:rPr>
        <w:t>年</w:t>
      </w:r>
      <w:r w:rsidRPr="005B5EC1">
        <w:rPr>
          <w:rFonts w:ascii="Times New Roman" w:hAnsi="Times New Roman" w:cs="Times New Roman"/>
          <w:sz w:val="18"/>
          <w:szCs w:val="18"/>
        </w:rPr>
        <w:t>2</w:t>
      </w:r>
      <w:r w:rsidRPr="005B5EC1">
        <w:rPr>
          <w:rFonts w:ascii="Times New Roman" w:hAnsi="Times New Roman" w:cs="Times New Roman"/>
          <w:sz w:val="18"/>
          <w:szCs w:val="18"/>
        </w:rPr>
        <w:t>月</w:t>
      </w:r>
      <w:r w:rsidRPr="005B5EC1">
        <w:rPr>
          <w:rFonts w:ascii="Times New Roman" w:hAnsi="Times New Roman" w:cs="Times New Roman"/>
          <w:sz w:val="18"/>
          <w:szCs w:val="18"/>
        </w:rPr>
        <w:t>15</w:t>
      </w:r>
      <w:r w:rsidRPr="005B5EC1">
        <w:rPr>
          <w:rFonts w:ascii="Times New Roman" w:hAnsi="Times New Roman" w:cs="Times New Roman"/>
          <w:sz w:val="18"/>
          <w:szCs w:val="18"/>
        </w:rPr>
        <w:t>日及其后颁布和修订的</w:t>
      </w:r>
      <w:r w:rsidRPr="005B5EC1">
        <w:rPr>
          <w:rFonts w:ascii="Times New Roman" w:hAnsi="Times New Roman" w:cs="Times New Roman"/>
          <w:sz w:val="18"/>
          <w:szCs w:val="18"/>
        </w:rPr>
        <w:t>41</w:t>
      </w:r>
      <w:r w:rsidRPr="005B5EC1">
        <w:rPr>
          <w:rFonts w:ascii="Times New Roman" w:hAnsi="Times New Roman" w:cs="Times New Roman"/>
          <w:sz w:val="18"/>
          <w:szCs w:val="18"/>
        </w:rPr>
        <w:t>项具体会计准则、企业会计准则应用指南、企业会计准则解释及其他相关规定（以下合称</w:t>
      </w:r>
      <w:r w:rsidRPr="005B5EC1">
        <w:rPr>
          <w:rFonts w:ascii="Times New Roman" w:hAnsi="Times New Roman" w:cs="Times New Roman"/>
          <w:sz w:val="18"/>
          <w:szCs w:val="18"/>
        </w:rPr>
        <w:t>“</w:t>
      </w:r>
      <w:r w:rsidRPr="005B5EC1">
        <w:rPr>
          <w:rFonts w:ascii="Times New Roman" w:hAnsi="Times New Roman" w:cs="Times New Roman"/>
          <w:sz w:val="18"/>
          <w:szCs w:val="18"/>
        </w:rPr>
        <w:t>企业会计准则</w:t>
      </w:r>
      <w:r w:rsidRPr="005B5EC1">
        <w:rPr>
          <w:rFonts w:ascii="Times New Roman" w:hAnsi="Times New Roman" w:cs="Times New Roman"/>
          <w:sz w:val="18"/>
          <w:szCs w:val="18"/>
        </w:rPr>
        <w:t>”</w:t>
      </w:r>
      <w:r w:rsidRPr="005B5EC1">
        <w:rPr>
          <w:rFonts w:ascii="Times New Roman" w:hAnsi="Times New Roman" w:cs="Times New Roman"/>
          <w:sz w:val="18"/>
          <w:szCs w:val="18"/>
        </w:rPr>
        <w:t>），以及中国证券监督管理委员会《公开发行证券的公司信息披露编报规则第</w:t>
      </w:r>
      <w:r w:rsidRPr="005B5EC1">
        <w:rPr>
          <w:rFonts w:ascii="Times New Roman" w:hAnsi="Times New Roman" w:cs="Times New Roman"/>
          <w:sz w:val="18"/>
          <w:szCs w:val="18"/>
        </w:rPr>
        <w:t>15</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财务报告的一般规定（</w:t>
      </w:r>
      <w:r w:rsidRPr="005B5EC1">
        <w:rPr>
          <w:rFonts w:ascii="Times New Roman" w:hAnsi="Times New Roman" w:cs="Times New Roman"/>
          <w:sz w:val="18"/>
          <w:szCs w:val="18"/>
        </w:rPr>
        <w:t>2023</w:t>
      </w:r>
      <w:r w:rsidRPr="005B5EC1">
        <w:rPr>
          <w:rFonts w:ascii="Times New Roman" w:hAnsi="Times New Roman" w:cs="Times New Roman"/>
          <w:sz w:val="18"/>
          <w:szCs w:val="18"/>
        </w:rPr>
        <w:t>年修订）》的披露规定编制。</w:t>
      </w:r>
    </w:p>
    <w:p w14:paraId="47BFF834" w14:textId="77777777" w:rsidR="00AF139E" w:rsidRPr="005B5EC1" w:rsidRDefault="00000000" w:rsidP="007D1463">
      <w:pPr>
        <w:pStyle w:val="a3"/>
        <w:spacing w:before="0" w:beforeAutospacing="0" w:after="0" w:afterAutospacing="0" w:line="276" w:lineRule="auto"/>
        <w:ind w:firstLine="357"/>
        <w:jc w:val="both"/>
        <w:divId w:val="328991615"/>
        <w:rPr>
          <w:rFonts w:ascii="Times New Roman" w:hAnsi="Times New Roman" w:cs="Times New Roman"/>
          <w:sz w:val="21"/>
          <w:szCs w:val="21"/>
        </w:rPr>
      </w:pPr>
      <w:r w:rsidRPr="005B5EC1">
        <w:rPr>
          <w:rFonts w:ascii="Times New Roman" w:hAnsi="Times New Roman" w:cs="Times New Roman"/>
          <w:sz w:val="18"/>
          <w:szCs w:val="18"/>
        </w:rPr>
        <w:t>根据企业会计准则的相关规定，本集团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14:paraId="2AA1C233" w14:textId="77777777" w:rsidR="00E32FE0" w:rsidRPr="005B5EC1" w:rsidRDefault="00000000">
      <w:pPr>
        <w:pStyle w:val="3"/>
        <w:spacing w:line="280" w:lineRule="exact"/>
        <w:jc w:val="left"/>
        <w:rPr>
          <w:rFonts w:ascii="Times New Roman" w:hAnsi="Times New Roman" w:cs="Times New Roman"/>
          <w:b/>
          <w:bCs/>
        </w:rPr>
      </w:pPr>
      <w:bookmarkStart w:id="174" w:name="_Toc989063"/>
      <w:r w:rsidRPr="005B5EC1">
        <w:rPr>
          <w:rFonts w:ascii="Times New Roman" w:hAnsi="Times New Roman" w:cs="Times New Roman"/>
          <w:b/>
          <w:bCs/>
        </w:rPr>
        <w:t>2</w:t>
      </w:r>
      <w:r w:rsidRPr="005B5EC1">
        <w:rPr>
          <w:rFonts w:ascii="Times New Roman" w:hAnsi="Times New Roman" w:cs="Times New Roman"/>
          <w:b/>
          <w:bCs/>
        </w:rPr>
        <w:t>、持续经营</w:t>
      </w:r>
      <w:bookmarkEnd w:id="174"/>
    </w:p>
    <w:p w14:paraId="1AA3FA2B" w14:textId="77777777" w:rsidR="00AF139E" w:rsidRPr="005B5EC1" w:rsidRDefault="00000000" w:rsidP="007D1463">
      <w:pPr>
        <w:pStyle w:val="a3"/>
        <w:spacing w:before="0" w:beforeAutospacing="0" w:after="0" w:afterAutospacing="0" w:line="276" w:lineRule="auto"/>
        <w:ind w:firstLine="357"/>
        <w:jc w:val="both"/>
        <w:divId w:val="657001536"/>
        <w:rPr>
          <w:rFonts w:ascii="Times New Roman" w:hAnsi="Times New Roman" w:cs="Times New Roman"/>
          <w:sz w:val="18"/>
          <w:szCs w:val="18"/>
        </w:rPr>
      </w:pPr>
      <w:r w:rsidRPr="005B5EC1">
        <w:rPr>
          <w:rFonts w:ascii="Times New Roman" w:hAnsi="Times New Roman" w:cs="Times New Roman"/>
          <w:sz w:val="18"/>
          <w:szCs w:val="18"/>
        </w:rPr>
        <w:t>经本公司评估，自本报告期末起的</w:t>
      </w:r>
      <w:r w:rsidRPr="005B5EC1">
        <w:rPr>
          <w:rFonts w:ascii="Times New Roman" w:hAnsi="Times New Roman" w:cs="Times New Roman"/>
          <w:sz w:val="18"/>
          <w:szCs w:val="18"/>
        </w:rPr>
        <w:t>12</w:t>
      </w:r>
      <w:r w:rsidRPr="005B5EC1">
        <w:rPr>
          <w:rFonts w:ascii="Times New Roman" w:hAnsi="Times New Roman" w:cs="Times New Roman"/>
          <w:sz w:val="18"/>
          <w:szCs w:val="18"/>
        </w:rPr>
        <w:t>个月内，本公司持续经营能力良好，不存在导致对本公司持续经营能力产生重大怀疑的因素。</w:t>
      </w:r>
    </w:p>
    <w:p w14:paraId="1FC0FCB8" w14:textId="77777777" w:rsidR="00E32FE0" w:rsidRPr="005B5EC1" w:rsidRDefault="00000000">
      <w:pPr>
        <w:pStyle w:val="2"/>
        <w:spacing w:before="300" w:after="300" w:line="560" w:lineRule="exact"/>
        <w:rPr>
          <w:rFonts w:ascii="Times New Roman" w:eastAsia="宋体" w:hAnsi="Times New Roman" w:cs="Times New Roman"/>
          <w:b/>
          <w:bCs/>
          <w:sz w:val="24"/>
          <w:szCs w:val="24"/>
        </w:rPr>
      </w:pPr>
      <w:bookmarkStart w:id="175" w:name="_Toc989064"/>
      <w:r w:rsidRPr="005B5EC1">
        <w:rPr>
          <w:rFonts w:ascii="Times New Roman" w:eastAsia="宋体" w:hAnsi="Times New Roman" w:cs="Times New Roman"/>
          <w:b/>
          <w:bCs/>
          <w:sz w:val="24"/>
          <w:szCs w:val="24"/>
        </w:rPr>
        <w:t>五、重要会计政策及会计估计</w:t>
      </w:r>
      <w:bookmarkEnd w:id="175"/>
    </w:p>
    <w:p w14:paraId="49ABE20E" w14:textId="77777777" w:rsidR="00E32FE0" w:rsidRPr="005B5EC1" w:rsidRDefault="00000000" w:rsidP="007D1463">
      <w:pPr>
        <w:pStyle w:val="a3"/>
        <w:spacing w:before="0" w:beforeAutospacing="0" w:after="0" w:afterAutospacing="0" w:line="276" w:lineRule="auto"/>
        <w:ind w:firstLine="357"/>
        <w:jc w:val="both"/>
        <w:rPr>
          <w:rFonts w:ascii="Times New Roman" w:hAnsi="Times New Roman" w:cs="Times New Roman"/>
          <w:sz w:val="18"/>
          <w:szCs w:val="18"/>
        </w:rPr>
      </w:pPr>
      <w:r w:rsidRPr="005B5EC1">
        <w:rPr>
          <w:rFonts w:ascii="Times New Roman" w:hAnsi="Times New Roman" w:cs="Times New Roman"/>
          <w:sz w:val="18"/>
          <w:szCs w:val="18"/>
        </w:rPr>
        <w:t>公司需遵守《深圳证券交易所上市公司自律监管指引第</w:t>
      </w:r>
      <w:r w:rsidRPr="005B5EC1">
        <w:rPr>
          <w:rFonts w:ascii="Times New Roman" w:hAnsi="Times New Roman" w:cs="Times New Roman"/>
          <w:sz w:val="18"/>
          <w:szCs w:val="18"/>
        </w:rPr>
        <w:t>3</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行业信息披露》中食品及酒制造相关业的披露要求</w:t>
      </w:r>
    </w:p>
    <w:p w14:paraId="620C0A4D" w14:textId="77777777" w:rsidR="00AF139E" w:rsidRPr="005B5EC1" w:rsidRDefault="00000000" w:rsidP="007D1463">
      <w:pPr>
        <w:pStyle w:val="a3"/>
        <w:spacing w:before="0" w:beforeAutospacing="0" w:after="0" w:afterAutospacing="0" w:line="276" w:lineRule="auto"/>
        <w:ind w:firstLine="357"/>
        <w:jc w:val="both"/>
        <w:divId w:val="2105882294"/>
        <w:rPr>
          <w:rFonts w:ascii="Times New Roman" w:hAnsi="Times New Roman" w:cs="Times New Roman"/>
          <w:sz w:val="18"/>
          <w:szCs w:val="18"/>
        </w:rPr>
      </w:pPr>
      <w:r w:rsidRPr="005B5EC1">
        <w:rPr>
          <w:rFonts w:ascii="Times New Roman" w:hAnsi="Times New Roman" w:cs="Times New Roman"/>
          <w:sz w:val="18"/>
          <w:szCs w:val="18"/>
        </w:rPr>
        <w:t>本集团根据实际生产经营特点，依据相关企业会计准则的规定，对收入确认等交易和事项制定了若干项具体会计政策和会计估计，详见本附注五、</w:t>
      </w:r>
      <w:r w:rsidRPr="005B5EC1">
        <w:rPr>
          <w:rFonts w:ascii="Times New Roman" w:hAnsi="Times New Roman" w:cs="Times New Roman"/>
          <w:sz w:val="18"/>
          <w:szCs w:val="18"/>
        </w:rPr>
        <w:t>37“</w:t>
      </w:r>
      <w:r w:rsidRPr="005B5EC1">
        <w:rPr>
          <w:rFonts w:ascii="Times New Roman" w:hAnsi="Times New Roman" w:cs="Times New Roman"/>
          <w:sz w:val="18"/>
          <w:szCs w:val="18"/>
        </w:rPr>
        <w:t>收入</w:t>
      </w:r>
      <w:r w:rsidRPr="005B5EC1">
        <w:rPr>
          <w:rFonts w:ascii="Times New Roman" w:hAnsi="Times New Roman" w:cs="Times New Roman"/>
          <w:sz w:val="18"/>
          <w:szCs w:val="18"/>
        </w:rPr>
        <w:t>”</w:t>
      </w:r>
      <w:r w:rsidRPr="005B5EC1">
        <w:rPr>
          <w:rFonts w:ascii="Times New Roman" w:hAnsi="Times New Roman" w:cs="Times New Roman"/>
          <w:sz w:val="18"/>
          <w:szCs w:val="18"/>
        </w:rPr>
        <w:t>各项描述。关于管理层所作出的重大会计判断和估计的说明，请参阅附注五、</w:t>
      </w:r>
      <w:r w:rsidRPr="005B5EC1">
        <w:rPr>
          <w:rFonts w:ascii="Times New Roman" w:hAnsi="Times New Roman" w:cs="Times New Roman"/>
          <w:sz w:val="18"/>
          <w:szCs w:val="18"/>
        </w:rPr>
        <w:t>44 “</w:t>
      </w:r>
      <w:r w:rsidRPr="005B5EC1">
        <w:rPr>
          <w:rFonts w:ascii="Times New Roman" w:hAnsi="Times New Roman" w:cs="Times New Roman"/>
          <w:sz w:val="18"/>
          <w:szCs w:val="18"/>
        </w:rPr>
        <w:t>其他</w:t>
      </w:r>
      <w:r w:rsidRPr="005B5EC1">
        <w:rPr>
          <w:rFonts w:ascii="Times New Roman" w:hAnsi="Times New Roman" w:cs="Times New Roman"/>
          <w:sz w:val="18"/>
          <w:szCs w:val="18"/>
        </w:rPr>
        <w:t>”</w:t>
      </w:r>
      <w:r w:rsidRPr="005B5EC1">
        <w:rPr>
          <w:rFonts w:ascii="Times New Roman" w:hAnsi="Times New Roman" w:cs="Times New Roman"/>
          <w:sz w:val="18"/>
          <w:szCs w:val="18"/>
        </w:rPr>
        <w:t>。</w:t>
      </w:r>
    </w:p>
    <w:p w14:paraId="02F4164D" w14:textId="77777777" w:rsidR="00E32FE0" w:rsidRPr="005B5EC1" w:rsidRDefault="00000000">
      <w:pPr>
        <w:pStyle w:val="3"/>
        <w:spacing w:line="280" w:lineRule="exact"/>
        <w:jc w:val="left"/>
        <w:rPr>
          <w:rFonts w:ascii="Times New Roman" w:hAnsi="Times New Roman" w:cs="Times New Roman"/>
          <w:b/>
          <w:bCs/>
        </w:rPr>
      </w:pPr>
      <w:bookmarkStart w:id="176" w:name="_Toc989065"/>
      <w:r w:rsidRPr="005B5EC1">
        <w:rPr>
          <w:rFonts w:ascii="Times New Roman" w:hAnsi="Times New Roman" w:cs="Times New Roman"/>
          <w:b/>
          <w:bCs/>
        </w:rPr>
        <w:t>1</w:t>
      </w:r>
      <w:r w:rsidRPr="005B5EC1">
        <w:rPr>
          <w:rFonts w:ascii="Times New Roman" w:hAnsi="Times New Roman" w:cs="Times New Roman"/>
          <w:b/>
          <w:bCs/>
        </w:rPr>
        <w:t>、遵循企业会计准则的声明</w:t>
      </w:r>
      <w:bookmarkEnd w:id="176"/>
    </w:p>
    <w:p w14:paraId="690831C8" w14:textId="77777777" w:rsidR="00AF139E" w:rsidRPr="005B5EC1" w:rsidRDefault="00000000" w:rsidP="007D1463">
      <w:pPr>
        <w:pStyle w:val="a3"/>
        <w:spacing w:before="0" w:beforeAutospacing="0" w:after="0" w:afterAutospacing="0" w:line="276" w:lineRule="auto"/>
        <w:ind w:firstLine="357"/>
        <w:jc w:val="both"/>
        <w:divId w:val="171989032"/>
        <w:rPr>
          <w:rFonts w:ascii="Times New Roman" w:hAnsi="Times New Roman" w:cs="Times New Roman"/>
          <w:sz w:val="18"/>
          <w:szCs w:val="18"/>
        </w:rPr>
      </w:pPr>
      <w:r w:rsidRPr="005B5EC1">
        <w:rPr>
          <w:rFonts w:ascii="Times New Roman" w:hAnsi="Times New Roman" w:cs="Times New Roman"/>
          <w:sz w:val="18"/>
          <w:szCs w:val="18"/>
        </w:rPr>
        <w:t>本公司编制的财务报表符合企业会计准则的要求，真实、完整地反映了本公司及本集团</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31</w:t>
      </w:r>
      <w:r w:rsidRPr="005B5EC1">
        <w:rPr>
          <w:rFonts w:ascii="Times New Roman" w:hAnsi="Times New Roman" w:cs="Times New Roman"/>
          <w:sz w:val="18"/>
          <w:szCs w:val="18"/>
        </w:rPr>
        <w:t>日的财务状况及</w:t>
      </w:r>
      <w:r w:rsidRPr="005B5EC1">
        <w:rPr>
          <w:rFonts w:ascii="Times New Roman" w:hAnsi="Times New Roman" w:cs="Times New Roman"/>
          <w:sz w:val="18"/>
          <w:szCs w:val="18"/>
        </w:rPr>
        <w:t>2024</w:t>
      </w:r>
      <w:r w:rsidRPr="005B5EC1">
        <w:rPr>
          <w:rFonts w:ascii="Times New Roman" w:hAnsi="Times New Roman" w:cs="Times New Roman"/>
          <w:sz w:val="18"/>
          <w:szCs w:val="18"/>
        </w:rPr>
        <w:t>年度的经营成果和现金流量等有关信息。此外，本公司及本集团的财务报表在所有重大方面符合中国证券监督管理委员会</w:t>
      </w:r>
      <w:r w:rsidRPr="005B5EC1">
        <w:rPr>
          <w:rFonts w:ascii="Times New Roman" w:hAnsi="Times New Roman" w:cs="Times New Roman"/>
          <w:sz w:val="18"/>
          <w:szCs w:val="18"/>
        </w:rPr>
        <w:t>2023</w:t>
      </w:r>
      <w:r w:rsidRPr="005B5EC1">
        <w:rPr>
          <w:rFonts w:ascii="Times New Roman" w:hAnsi="Times New Roman" w:cs="Times New Roman"/>
          <w:sz w:val="18"/>
          <w:szCs w:val="18"/>
        </w:rPr>
        <w:t>年修订的《公开发行证券的公司信息披露编报规则第</w:t>
      </w:r>
      <w:r w:rsidRPr="005B5EC1">
        <w:rPr>
          <w:rFonts w:ascii="Times New Roman" w:hAnsi="Times New Roman" w:cs="Times New Roman"/>
          <w:sz w:val="18"/>
          <w:szCs w:val="18"/>
        </w:rPr>
        <w:t>15</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财务报告的一般规定》有关财务报表及其附注的披露要求。</w:t>
      </w:r>
    </w:p>
    <w:p w14:paraId="7A6AAD22" w14:textId="77777777" w:rsidR="00E32FE0" w:rsidRPr="005B5EC1" w:rsidRDefault="00000000">
      <w:pPr>
        <w:pStyle w:val="3"/>
        <w:spacing w:line="280" w:lineRule="exact"/>
        <w:jc w:val="left"/>
        <w:rPr>
          <w:rFonts w:ascii="Times New Roman" w:hAnsi="Times New Roman" w:cs="Times New Roman"/>
          <w:b/>
          <w:bCs/>
        </w:rPr>
      </w:pPr>
      <w:bookmarkStart w:id="177" w:name="_Toc989066"/>
      <w:r w:rsidRPr="005B5EC1">
        <w:rPr>
          <w:rFonts w:ascii="Times New Roman" w:hAnsi="Times New Roman" w:cs="Times New Roman"/>
          <w:b/>
          <w:bCs/>
        </w:rPr>
        <w:lastRenderedPageBreak/>
        <w:t>2</w:t>
      </w:r>
      <w:r w:rsidRPr="005B5EC1">
        <w:rPr>
          <w:rFonts w:ascii="Times New Roman" w:hAnsi="Times New Roman" w:cs="Times New Roman"/>
          <w:b/>
          <w:bCs/>
        </w:rPr>
        <w:t>、会计期间</w:t>
      </w:r>
      <w:bookmarkEnd w:id="177"/>
    </w:p>
    <w:p w14:paraId="6980DC46" w14:textId="77777777" w:rsidR="00AF139E" w:rsidRPr="005B5EC1" w:rsidRDefault="00000000" w:rsidP="007D1463">
      <w:pPr>
        <w:pStyle w:val="a3"/>
        <w:spacing w:before="0" w:beforeAutospacing="0" w:after="0" w:afterAutospacing="0" w:line="276" w:lineRule="auto"/>
        <w:ind w:firstLine="357"/>
        <w:jc w:val="both"/>
        <w:divId w:val="482043654"/>
        <w:rPr>
          <w:rFonts w:ascii="Times New Roman" w:hAnsi="Times New Roman" w:cs="Times New Roman"/>
          <w:sz w:val="18"/>
          <w:szCs w:val="18"/>
        </w:rPr>
      </w:pPr>
      <w:r w:rsidRPr="005B5EC1">
        <w:rPr>
          <w:rFonts w:ascii="Times New Roman" w:hAnsi="Times New Roman" w:cs="Times New Roman"/>
          <w:sz w:val="18"/>
          <w:szCs w:val="18"/>
        </w:rPr>
        <w:t>本集团的会计期间分为年度和中期，会计中期指短于一个完整的会计年度的报告期间。本集团会计年度采用公历年度，即每年自</w:t>
      </w:r>
      <w:r w:rsidRPr="005B5EC1">
        <w:rPr>
          <w:rFonts w:ascii="Times New Roman" w:hAnsi="Times New Roman" w:cs="Times New Roman"/>
          <w:sz w:val="18"/>
          <w:szCs w:val="18"/>
        </w:rPr>
        <w:t>1</w:t>
      </w:r>
      <w:r w:rsidRPr="005B5EC1">
        <w:rPr>
          <w:rFonts w:ascii="Times New Roman" w:hAnsi="Times New Roman" w:cs="Times New Roman"/>
          <w:sz w:val="18"/>
          <w:szCs w:val="18"/>
        </w:rPr>
        <w:t>月</w:t>
      </w:r>
      <w:r w:rsidRPr="005B5EC1">
        <w:rPr>
          <w:rFonts w:ascii="Times New Roman" w:hAnsi="Times New Roman" w:cs="Times New Roman"/>
          <w:sz w:val="18"/>
          <w:szCs w:val="18"/>
        </w:rPr>
        <w:t>1</w:t>
      </w:r>
      <w:r w:rsidRPr="005B5EC1">
        <w:rPr>
          <w:rFonts w:ascii="Times New Roman" w:hAnsi="Times New Roman" w:cs="Times New Roman"/>
          <w:sz w:val="18"/>
          <w:szCs w:val="18"/>
        </w:rPr>
        <w:t>日起至</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31</w:t>
      </w:r>
      <w:r w:rsidRPr="005B5EC1">
        <w:rPr>
          <w:rFonts w:ascii="Times New Roman" w:hAnsi="Times New Roman" w:cs="Times New Roman"/>
          <w:sz w:val="18"/>
          <w:szCs w:val="18"/>
        </w:rPr>
        <w:t>日止。</w:t>
      </w:r>
    </w:p>
    <w:p w14:paraId="0F8F4B11" w14:textId="77777777" w:rsidR="00E32FE0" w:rsidRPr="005B5EC1" w:rsidRDefault="00000000">
      <w:pPr>
        <w:pStyle w:val="3"/>
        <w:spacing w:line="280" w:lineRule="exact"/>
        <w:jc w:val="left"/>
        <w:rPr>
          <w:rFonts w:ascii="Times New Roman" w:hAnsi="Times New Roman" w:cs="Times New Roman"/>
          <w:b/>
          <w:bCs/>
        </w:rPr>
      </w:pPr>
      <w:bookmarkStart w:id="178" w:name="_Toc989067"/>
      <w:r w:rsidRPr="005B5EC1">
        <w:rPr>
          <w:rFonts w:ascii="Times New Roman" w:hAnsi="Times New Roman" w:cs="Times New Roman"/>
          <w:b/>
          <w:bCs/>
        </w:rPr>
        <w:t>3</w:t>
      </w:r>
      <w:r w:rsidRPr="005B5EC1">
        <w:rPr>
          <w:rFonts w:ascii="Times New Roman" w:hAnsi="Times New Roman" w:cs="Times New Roman"/>
          <w:b/>
          <w:bCs/>
        </w:rPr>
        <w:t>、营业周期</w:t>
      </w:r>
      <w:bookmarkEnd w:id="178"/>
    </w:p>
    <w:p w14:paraId="073F724B" w14:textId="77777777" w:rsidR="00AF139E" w:rsidRPr="005B5EC1" w:rsidRDefault="00000000" w:rsidP="007D1463">
      <w:pPr>
        <w:pStyle w:val="a3"/>
        <w:spacing w:before="0" w:beforeAutospacing="0" w:after="0" w:afterAutospacing="0" w:line="276" w:lineRule="auto"/>
        <w:ind w:firstLine="357"/>
        <w:jc w:val="both"/>
        <w:divId w:val="119230544"/>
        <w:rPr>
          <w:rFonts w:ascii="Times New Roman" w:hAnsi="Times New Roman" w:cs="Times New Roman"/>
          <w:sz w:val="18"/>
          <w:szCs w:val="18"/>
        </w:rPr>
      </w:pPr>
      <w:r w:rsidRPr="005B5EC1">
        <w:rPr>
          <w:rFonts w:ascii="Times New Roman" w:hAnsi="Times New Roman" w:cs="Times New Roman"/>
          <w:sz w:val="18"/>
          <w:szCs w:val="18"/>
        </w:rPr>
        <w:t>正常营业周期是指本集团从购买用于加工的资产起至实现现金或现金等价物的期间。本集团以</w:t>
      </w:r>
      <w:r w:rsidRPr="005B5EC1">
        <w:rPr>
          <w:rFonts w:ascii="Times New Roman" w:hAnsi="Times New Roman" w:cs="Times New Roman"/>
          <w:sz w:val="18"/>
          <w:szCs w:val="18"/>
        </w:rPr>
        <w:t>12</w:t>
      </w:r>
      <w:r w:rsidRPr="005B5EC1">
        <w:rPr>
          <w:rFonts w:ascii="Times New Roman" w:hAnsi="Times New Roman" w:cs="Times New Roman"/>
          <w:sz w:val="18"/>
          <w:szCs w:val="18"/>
        </w:rPr>
        <w:t>个月作为一个营业周期，并以其作为资产和负债的流动性划分标准。</w:t>
      </w:r>
    </w:p>
    <w:p w14:paraId="281053AE" w14:textId="77777777" w:rsidR="00E32FE0" w:rsidRPr="005B5EC1" w:rsidRDefault="00000000">
      <w:pPr>
        <w:pStyle w:val="3"/>
        <w:spacing w:line="280" w:lineRule="exact"/>
        <w:jc w:val="left"/>
        <w:rPr>
          <w:rFonts w:ascii="Times New Roman" w:hAnsi="Times New Roman" w:cs="Times New Roman"/>
          <w:b/>
          <w:bCs/>
        </w:rPr>
      </w:pPr>
      <w:bookmarkStart w:id="179" w:name="_Toc989068"/>
      <w:r w:rsidRPr="005B5EC1">
        <w:rPr>
          <w:rFonts w:ascii="Times New Roman" w:hAnsi="Times New Roman" w:cs="Times New Roman"/>
          <w:b/>
          <w:bCs/>
        </w:rPr>
        <w:t>4</w:t>
      </w:r>
      <w:r w:rsidRPr="005B5EC1">
        <w:rPr>
          <w:rFonts w:ascii="Times New Roman" w:hAnsi="Times New Roman" w:cs="Times New Roman"/>
          <w:b/>
          <w:bCs/>
        </w:rPr>
        <w:t>、记账本位币</w:t>
      </w:r>
      <w:bookmarkEnd w:id="179"/>
    </w:p>
    <w:p w14:paraId="1567090A" w14:textId="77777777" w:rsidR="00AF139E" w:rsidRPr="005B5EC1" w:rsidRDefault="00000000" w:rsidP="007D1463">
      <w:pPr>
        <w:pStyle w:val="a3"/>
        <w:spacing w:before="0" w:beforeAutospacing="0" w:after="0" w:afterAutospacing="0" w:line="276" w:lineRule="auto"/>
        <w:ind w:firstLine="357"/>
        <w:jc w:val="both"/>
        <w:divId w:val="927152927"/>
        <w:rPr>
          <w:rFonts w:ascii="Times New Roman" w:hAnsi="Times New Roman" w:cs="Times New Roman"/>
          <w:sz w:val="18"/>
          <w:szCs w:val="18"/>
        </w:rPr>
      </w:pPr>
      <w:r w:rsidRPr="005B5EC1">
        <w:rPr>
          <w:rFonts w:ascii="Times New Roman" w:hAnsi="Times New Roman" w:cs="Times New Roman"/>
          <w:sz w:val="18"/>
          <w:szCs w:val="18"/>
        </w:rPr>
        <w:t>人民币为本公司及境内子公司经营所处的主要经济环境中的货币，本公司及境内子公司以人民币为记账本位币。本集团编制本财务报表时所采用的货币为人民币。</w:t>
      </w:r>
    </w:p>
    <w:p w14:paraId="2CD27B68" w14:textId="77777777" w:rsidR="00E32FE0" w:rsidRPr="005B5EC1" w:rsidRDefault="00000000">
      <w:pPr>
        <w:pStyle w:val="3"/>
        <w:spacing w:line="280" w:lineRule="exact"/>
        <w:jc w:val="left"/>
        <w:rPr>
          <w:rFonts w:ascii="Times New Roman" w:hAnsi="Times New Roman" w:cs="Times New Roman"/>
          <w:b/>
          <w:bCs/>
        </w:rPr>
      </w:pPr>
      <w:bookmarkStart w:id="180" w:name="_Toc989069"/>
      <w:r w:rsidRPr="005B5EC1">
        <w:rPr>
          <w:rFonts w:ascii="Times New Roman" w:hAnsi="Times New Roman" w:cs="Times New Roman"/>
          <w:b/>
          <w:bCs/>
        </w:rPr>
        <w:t>5</w:t>
      </w:r>
      <w:r w:rsidRPr="005B5EC1">
        <w:rPr>
          <w:rFonts w:ascii="Times New Roman" w:hAnsi="Times New Roman" w:cs="Times New Roman"/>
          <w:b/>
          <w:bCs/>
        </w:rPr>
        <w:t>、重要性标准确定方法和选择依据</w:t>
      </w:r>
      <w:bookmarkEnd w:id="180"/>
    </w:p>
    <w:p w14:paraId="21D5162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3BA0A5C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6BFBA0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4513D1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重要性标准</w:t>
            </w:r>
          </w:p>
        </w:tc>
      </w:tr>
      <w:tr w:rsidR="00E32FE0" w:rsidRPr="005B5EC1" w14:paraId="6AF66451"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D0536D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重要的单项计提坏账准备的应收款项</w:t>
            </w:r>
          </w:p>
        </w:tc>
        <w:tc>
          <w:tcPr>
            <w:tcW w:w="4820" w:type="dxa"/>
            <w:tcBorders>
              <w:top w:val="single" w:sz="2" w:space="0" w:color="auto"/>
              <w:left w:val="single" w:sz="2" w:space="0" w:color="auto"/>
              <w:bottom w:val="single" w:sz="2" w:space="0" w:color="auto"/>
              <w:right w:val="single" w:sz="2" w:space="0" w:color="auto"/>
            </w:tcBorders>
            <w:vAlign w:val="center"/>
          </w:tcPr>
          <w:p w14:paraId="6C1489C6" w14:textId="5B2E5DAF"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等于或超过</w:t>
            </w:r>
            <w:r w:rsidRPr="005B5EC1">
              <w:rPr>
                <w:rFonts w:ascii="Times New Roman" w:eastAsia="宋体" w:hAnsi="Times New Roman" w:cs="Times New Roman"/>
                <w:sz w:val="18"/>
                <w:szCs w:val="18"/>
              </w:rPr>
              <w:t>300</w:t>
            </w:r>
            <w:r w:rsidRPr="005B5EC1">
              <w:rPr>
                <w:rFonts w:ascii="Times New Roman" w:eastAsia="宋体" w:hAnsi="Times New Roman" w:cs="Times New Roman"/>
                <w:sz w:val="18"/>
                <w:szCs w:val="18"/>
              </w:rPr>
              <w:t>万</w:t>
            </w:r>
          </w:p>
        </w:tc>
      </w:tr>
      <w:tr w:rsidR="00E32FE0" w:rsidRPr="005B5EC1" w14:paraId="186F4E7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9736D2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重要的非全资子公司</w:t>
            </w:r>
          </w:p>
        </w:tc>
        <w:tc>
          <w:tcPr>
            <w:tcW w:w="4820" w:type="dxa"/>
            <w:tcBorders>
              <w:top w:val="single" w:sz="2" w:space="0" w:color="auto"/>
              <w:left w:val="single" w:sz="2" w:space="0" w:color="auto"/>
              <w:bottom w:val="single" w:sz="2" w:space="0" w:color="auto"/>
              <w:right w:val="single" w:sz="2" w:space="0" w:color="auto"/>
            </w:tcBorders>
            <w:vAlign w:val="center"/>
          </w:tcPr>
          <w:p w14:paraId="2C2EBF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非全资子公司收入金额占集团总收入</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以上或利润总额绝对值占集团利润总额</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以上</w:t>
            </w:r>
          </w:p>
        </w:tc>
      </w:tr>
      <w:tr w:rsidR="00E32FE0" w:rsidRPr="005B5EC1" w14:paraId="083E318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121E74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重要在建工程</w:t>
            </w:r>
          </w:p>
        </w:tc>
        <w:tc>
          <w:tcPr>
            <w:tcW w:w="4820" w:type="dxa"/>
            <w:tcBorders>
              <w:top w:val="single" w:sz="2" w:space="0" w:color="auto"/>
              <w:left w:val="single" w:sz="2" w:space="0" w:color="auto"/>
              <w:bottom w:val="single" w:sz="2" w:space="0" w:color="auto"/>
              <w:right w:val="single" w:sz="2" w:space="0" w:color="auto"/>
            </w:tcBorders>
            <w:vAlign w:val="center"/>
          </w:tcPr>
          <w:p w14:paraId="0CB148B0" w14:textId="7CA343FC"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等于或超过</w:t>
            </w:r>
            <w:r w:rsidRPr="005B5EC1">
              <w:rPr>
                <w:rFonts w:ascii="Times New Roman" w:eastAsia="宋体" w:hAnsi="Times New Roman" w:cs="Times New Roman"/>
                <w:sz w:val="18"/>
                <w:szCs w:val="18"/>
              </w:rPr>
              <w:t>100</w:t>
            </w:r>
            <w:r w:rsidRPr="005B5EC1">
              <w:rPr>
                <w:rFonts w:ascii="Times New Roman" w:eastAsia="宋体" w:hAnsi="Times New Roman" w:cs="Times New Roman"/>
                <w:sz w:val="18"/>
                <w:szCs w:val="18"/>
              </w:rPr>
              <w:t>万</w:t>
            </w:r>
          </w:p>
        </w:tc>
      </w:tr>
    </w:tbl>
    <w:p w14:paraId="54FEBFC0" w14:textId="5AC9509A" w:rsidR="00E32FE0" w:rsidRPr="005B5EC1" w:rsidRDefault="00000000">
      <w:pPr>
        <w:pStyle w:val="3"/>
        <w:numPr>
          <w:ilvl w:val="0"/>
          <w:numId w:val="1"/>
        </w:numPr>
        <w:spacing w:line="280" w:lineRule="exact"/>
        <w:jc w:val="left"/>
        <w:rPr>
          <w:rFonts w:ascii="Times New Roman" w:hAnsi="Times New Roman" w:cs="Times New Roman"/>
          <w:b/>
          <w:bCs/>
        </w:rPr>
      </w:pPr>
      <w:bookmarkStart w:id="181" w:name="_Toc989070"/>
      <w:r w:rsidRPr="005B5EC1">
        <w:rPr>
          <w:rFonts w:ascii="Times New Roman" w:hAnsi="Times New Roman" w:cs="Times New Roman"/>
          <w:b/>
          <w:bCs/>
        </w:rPr>
        <w:t>同一控制下和非同一控制下企业合并的会计处理方法</w:t>
      </w:r>
      <w:bookmarkEnd w:id="181"/>
    </w:p>
    <w:p w14:paraId="5DAED0D6" w14:textId="77777777" w:rsidR="007D1463"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18"/>
          <w:szCs w:val="18"/>
        </w:rPr>
      </w:pPr>
      <w:r w:rsidRPr="005B5EC1">
        <w:rPr>
          <w:rFonts w:ascii="Times New Roman" w:hAnsi="Times New Roman" w:cs="Times New Roman"/>
          <w:sz w:val="18"/>
          <w:szCs w:val="18"/>
        </w:rPr>
        <w:t>企业合并，是指将两个或两个以上单独的企业合并形成一个报告主体的交易或事项。企业合并分为同一控制下企业合并和非同一控制下企业合并。</w:t>
      </w:r>
    </w:p>
    <w:p w14:paraId="469EF097" w14:textId="63C02741"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18"/>
          <w:szCs w:val="18"/>
        </w:rPr>
      </w:pPr>
      <w:r w:rsidRPr="005B5EC1">
        <w:rPr>
          <w:rFonts w:ascii="Times New Roman" w:hAnsi="Times New Roman" w:cs="Times New Roman"/>
          <w:sz w:val="18"/>
          <w:szCs w:val="18"/>
        </w:rPr>
        <w:t>同一控制下企业合并</w:t>
      </w:r>
    </w:p>
    <w:p w14:paraId="5A80A6A6" w14:textId="77777777"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21"/>
          <w:szCs w:val="21"/>
        </w:rPr>
      </w:pPr>
      <w:r w:rsidRPr="005B5EC1">
        <w:rPr>
          <w:rFonts w:ascii="Times New Roman" w:hAnsi="Times New Roman" w:cs="Times New Roman"/>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14:paraId="14860753" w14:textId="77777777"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21"/>
          <w:szCs w:val="21"/>
        </w:rPr>
      </w:pPr>
      <w:r w:rsidRPr="005B5EC1">
        <w:rPr>
          <w:rFonts w:ascii="Times New Roman" w:hAnsi="Times New Roman" w:cs="Times New Roman"/>
          <w:sz w:val="18"/>
          <w:szCs w:val="18"/>
        </w:rPr>
        <w:t>合并方取得的资产和负债均按合并日在被合并方的账面价值计量。合并方取得的净资产账面价值与支付的合并对价账面价值（或发行股份面值总额）的差额，调整资本公积（股本溢价）；资本公积（股本溢价）不足以冲减的，调整留存收益。</w:t>
      </w:r>
    </w:p>
    <w:p w14:paraId="4F0DE5C5" w14:textId="77777777" w:rsidR="007D1463"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18"/>
          <w:szCs w:val="18"/>
        </w:rPr>
      </w:pPr>
      <w:r w:rsidRPr="005B5EC1">
        <w:rPr>
          <w:rFonts w:ascii="Times New Roman" w:hAnsi="Times New Roman" w:cs="Times New Roman"/>
          <w:sz w:val="18"/>
          <w:szCs w:val="18"/>
        </w:rPr>
        <w:t>合并方为企业合并发生的审计、法律服务、评估咨询等中介费用以及其他相关管理费用，于发生时计入当期损益。</w:t>
      </w:r>
    </w:p>
    <w:p w14:paraId="415FDA3E" w14:textId="1A126734"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21"/>
          <w:szCs w:val="21"/>
        </w:rPr>
      </w:pPr>
      <w:r w:rsidRPr="005B5EC1">
        <w:rPr>
          <w:rFonts w:ascii="Times New Roman" w:hAnsi="Times New Roman" w:cs="Times New Roman"/>
          <w:sz w:val="18"/>
          <w:szCs w:val="18"/>
        </w:rPr>
        <w:t>非同一控制下企业合并</w:t>
      </w:r>
    </w:p>
    <w:p w14:paraId="154456AA" w14:textId="77777777"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21"/>
          <w:szCs w:val="21"/>
        </w:rPr>
      </w:pPr>
      <w:r w:rsidRPr="005B5EC1">
        <w:rPr>
          <w:rFonts w:ascii="Times New Roman" w:hAnsi="Times New Roman" w:cs="Times New Roman"/>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14:paraId="79BD7EF0" w14:textId="77777777"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21"/>
          <w:szCs w:val="21"/>
        </w:rPr>
      </w:pPr>
      <w:r w:rsidRPr="005B5EC1">
        <w:rPr>
          <w:rFonts w:ascii="Times New Roman" w:hAnsi="Times New Roman" w:cs="Times New Roman"/>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w:t>
      </w:r>
      <w:r w:rsidRPr="005B5EC1">
        <w:rPr>
          <w:rFonts w:ascii="Times New Roman" w:hAnsi="Times New Roman" w:cs="Times New Roman"/>
          <w:sz w:val="18"/>
          <w:szCs w:val="18"/>
        </w:rPr>
        <w:lastRenderedPageBreak/>
        <w:t>券的初始确认金额。所涉及的或有对价按其在购买日的公允价值计入合并成本，购买日后</w:t>
      </w:r>
      <w:r w:rsidRPr="005B5EC1">
        <w:rPr>
          <w:rFonts w:ascii="Times New Roman" w:hAnsi="Times New Roman" w:cs="Times New Roman"/>
          <w:sz w:val="18"/>
          <w:szCs w:val="18"/>
        </w:rPr>
        <w:t>12</w:t>
      </w:r>
      <w:r w:rsidRPr="005B5EC1">
        <w:rPr>
          <w:rFonts w:ascii="Times New Roman" w:hAnsi="Times New Roman" w:cs="Times New Roman"/>
          <w:sz w:val="18"/>
          <w:szCs w:val="18"/>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14:paraId="75BBAC74" w14:textId="77777777"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21"/>
          <w:szCs w:val="21"/>
        </w:rPr>
      </w:pPr>
      <w:r w:rsidRPr="005B5EC1">
        <w:rPr>
          <w:rFonts w:ascii="Times New Roman" w:hAnsi="Times New Roman" w:cs="Times New Roman"/>
          <w:sz w:val="18"/>
          <w:szCs w:val="18"/>
        </w:rPr>
        <w:t>购买方取得被购买方的可抵扣暂时性差异，在购买日因不符合递延所得税资产确认条件而未予确认的，在购买日后</w:t>
      </w:r>
      <w:r w:rsidRPr="005B5EC1">
        <w:rPr>
          <w:rFonts w:ascii="Times New Roman" w:hAnsi="Times New Roman" w:cs="Times New Roman"/>
          <w:sz w:val="18"/>
          <w:szCs w:val="18"/>
        </w:rPr>
        <w:t>12</w:t>
      </w:r>
      <w:r w:rsidRPr="005B5EC1">
        <w:rPr>
          <w:rFonts w:ascii="Times New Roman" w:hAnsi="Times New Roman" w:cs="Times New Roman"/>
          <w:sz w:val="18"/>
          <w:szCs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14:paraId="3BD3D44E" w14:textId="77777777"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21"/>
          <w:szCs w:val="21"/>
        </w:rPr>
      </w:pPr>
      <w:r w:rsidRPr="005B5EC1">
        <w:rPr>
          <w:rFonts w:ascii="Times New Roman" w:hAnsi="Times New Roman" w:cs="Times New Roman"/>
          <w:sz w:val="18"/>
          <w:szCs w:val="18"/>
        </w:rPr>
        <w:t>通过多次交易分步实现的非同一控制下企业合并，根据《财政部关于印发企业会计准则解释第</w:t>
      </w:r>
      <w:r w:rsidRPr="005B5EC1">
        <w:rPr>
          <w:rFonts w:ascii="Times New Roman" w:hAnsi="Times New Roman" w:cs="Times New Roman"/>
          <w:sz w:val="18"/>
          <w:szCs w:val="18"/>
        </w:rPr>
        <w:t>5</w:t>
      </w:r>
      <w:r w:rsidRPr="005B5EC1">
        <w:rPr>
          <w:rFonts w:ascii="Times New Roman" w:hAnsi="Times New Roman" w:cs="Times New Roman"/>
          <w:sz w:val="18"/>
          <w:szCs w:val="18"/>
        </w:rPr>
        <w:t>号的通知》（财会</w:t>
      </w:r>
      <w:r w:rsidRPr="005B5EC1">
        <w:rPr>
          <w:rFonts w:ascii="Times New Roman" w:hAnsi="Times New Roman" w:cs="Times New Roman"/>
          <w:sz w:val="18"/>
          <w:szCs w:val="18"/>
        </w:rPr>
        <w:t>[2012]19</w:t>
      </w:r>
      <w:r w:rsidRPr="005B5EC1">
        <w:rPr>
          <w:rFonts w:ascii="Times New Roman" w:hAnsi="Times New Roman" w:cs="Times New Roman"/>
          <w:sz w:val="18"/>
          <w:szCs w:val="18"/>
        </w:rPr>
        <w:t>号）和《企业会计准则第</w:t>
      </w:r>
      <w:r w:rsidRPr="005B5EC1">
        <w:rPr>
          <w:rFonts w:ascii="Times New Roman" w:hAnsi="Times New Roman" w:cs="Times New Roman"/>
          <w:sz w:val="18"/>
          <w:szCs w:val="18"/>
        </w:rPr>
        <w:t>33</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合并财务报表》第五十一条关于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的判断标准（参见本附注五、</w:t>
      </w:r>
      <w:r w:rsidRPr="005B5EC1">
        <w:rPr>
          <w:rFonts w:ascii="Times New Roman" w:hAnsi="Times New Roman" w:cs="Times New Roman"/>
          <w:sz w:val="18"/>
          <w:szCs w:val="18"/>
        </w:rPr>
        <w:t>7“</w:t>
      </w:r>
      <w:r w:rsidRPr="005B5EC1">
        <w:rPr>
          <w:rFonts w:ascii="Times New Roman" w:hAnsi="Times New Roman" w:cs="Times New Roman"/>
          <w:sz w:val="18"/>
          <w:szCs w:val="18"/>
        </w:rPr>
        <w:t>控制的判断标准和合并财务报表的编制方法</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）），判断该多次交易是否属于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。属于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的，参考本部分前面各段描述及本附注五、</w:t>
      </w:r>
      <w:r w:rsidRPr="005B5EC1">
        <w:rPr>
          <w:rFonts w:ascii="Times New Roman" w:hAnsi="Times New Roman" w:cs="Times New Roman"/>
          <w:sz w:val="18"/>
          <w:szCs w:val="18"/>
        </w:rPr>
        <w:t>22“</w:t>
      </w:r>
      <w:r w:rsidRPr="005B5EC1">
        <w:rPr>
          <w:rFonts w:ascii="Times New Roman" w:hAnsi="Times New Roman" w:cs="Times New Roman"/>
          <w:sz w:val="18"/>
          <w:szCs w:val="18"/>
        </w:rPr>
        <w:t>长期股权投资</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进行会计处理；不属于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的，区分个别财务报表和合并财务报表进行相关会计处理：</w:t>
      </w:r>
    </w:p>
    <w:p w14:paraId="4884790C" w14:textId="77777777"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21"/>
          <w:szCs w:val="21"/>
        </w:rPr>
      </w:pPr>
      <w:r w:rsidRPr="005B5EC1">
        <w:rPr>
          <w:rFonts w:ascii="Times New Roman" w:hAnsi="Times New Roman" w:cs="Times New Roman"/>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w:t>
      </w:r>
    </w:p>
    <w:p w14:paraId="1D248A7E" w14:textId="77777777" w:rsidR="00AF139E" w:rsidRPr="005B5EC1" w:rsidRDefault="00000000" w:rsidP="007D1463">
      <w:pPr>
        <w:pStyle w:val="a3"/>
        <w:spacing w:before="0" w:beforeAutospacing="0" w:after="0" w:afterAutospacing="0" w:line="276" w:lineRule="auto"/>
        <w:ind w:firstLineChars="200" w:firstLine="360"/>
        <w:jc w:val="both"/>
        <w:divId w:val="910502207"/>
        <w:rPr>
          <w:rFonts w:ascii="Times New Roman" w:hAnsi="Times New Roman" w:cs="Times New Roman"/>
          <w:sz w:val="21"/>
          <w:szCs w:val="21"/>
        </w:rPr>
      </w:pP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w:t>
      </w:r>
    </w:p>
    <w:p w14:paraId="1DE1C20B" w14:textId="77777777" w:rsidR="00E32FE0" w:rsidRPr="005B5EC1" w:rsidRDefault="00000000">
      <w:pPr>
        <w:pStyle w:val="3"/>
        <w:spacing w:line="280" w:lineRule="exact"/>
        <w:jc w:val="left"/>
        <w:rPr>
          <w:rFonts w:ascii="Times New Roman" w:hAnsi="Times New Roman" w:cs="Times New Roman"/>
          <w:b/>
          <w:bCs/>
        </w:rPr>
      </w:pPr>
      <w:bookmarkStart w:id="182" w:name="_Toc989071"/>
      <w:r w:rsidRPr="005B5EC1">
        <w:rPr>
          <w:rFonts w:ascii="Times New Roman" w:hAnsi="Times New Roman" w:cs="Times New Roman"/>
          <w:b/>
          <w:bCs/>
        </w:rPr>
        <w:t>7</w:t>
      </w:r>
      <w:r w:rsidRPr="005B5EC1">
        <w:rPr>
          <w:rFonts w:ascii="Times New Roman" w:hAnsi="Times New Roman" w:cs="Times New Roman"/>
          <w:b/>
          <w:bCs/>
        </w:rPr>
        <w:t>、控制的判断标准和合并财务报表的编制方法</w:t>
      </w:r>
      <w:bookmarkEnd w:id="182"/>
    </w:p>
    <w:p w14:paraId="78DDD14C"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t>合并财务报表范围的确定原则</w:t>
      </w:r>
    </w:p>
    <w:p w14:paraId="70B33E60"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t>合并财务报表的合并范围以控制为基础予以确定。控制是指本集团拥有对被投资方的权力，通过参与被投资方的相关活动而享有可变回报，并且有能力运用对被投资方的权力影响该回报金额。合并范围包括本公司及全部子公司。子公司，是指被本集团控制的主体。</w:t>
      </w:r>
    </w:p>
    <w:p w14:paraId="276CED20"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t>一旦相关事实和情况的变化导致上述控制定义涉及的相关要素发生了变化，本集团将进行重新评估。</w:t>
      </w:r>
    </w:p>
    <w:p w14:paraId="18D1AF08"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t>合并财务报表编制的方法</w:t>
      </w:r>
    </w:p>
    <w:p w14:paraId="3F34878B"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t>从取得子公司的净资产和生产经营决策的实际控制权之日起，本集团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14:paraId="5D40BDD4"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14:paraId="17BF6228"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lastRenderedPageBreak/>
        <w:t>集团内所有重大往来余额、交易及未实现利润在合并财务报表编制时予以抵销。</w:t>
      </w:r>
    </w:p>
    <w:p w14:paraId="242560D7"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w:t>
      </w:r>
      <w:r w:rsidRPr="005B5EC1">
        <w:rPr>
          <w:rFonts w:ascii="Times New Roman" w:hAnsi="Times New Roman" w:cs="Times New Roman"/>
          <w:sz w:val="18"/>
          <w:szCs w:val="18"/>
        </w:rPr>
        <w:t>“</w:t>
      </w:r>
      <w:r w:rsidRPr="005B5EC1">
        <w:rPr>
          <w:rFonts w:ascii="Times New Roman" w:hAnsi="Times New Roman" w:cs="Times New Roman"/>
          <w:sz w:val="18"/>
          <w:szCs w:val="18"/>
        </w:rPr>
        <w:t>少数股东损益</w:t>
      </w:r>
      <w:r w:rsidRPr="005B5EC1">
        <w:rPr>
          <w:rFonts w:ascii="Times New Roman" w:hAnsi="Times New Roman" w:cs="Times New Roman"/>
          <w:sz w:val="18"/>
          <w:szCs w:val="18"/>
        </w:rPr>
        <w:t>”</w:t>
      </w:r>
      <w:r w:rsidRPr="005B5EC1">
        <w:rPr>
          <w:rFonts w:ascii="Times New Roman" w:hAnsi="Times New Roman" w:cs="Times New Roman"/>
          <w:sz w:val="18"/>
          <w:szCs w:val="18"/>
        </w:rPr>
        <w:t>项目列示。少数股东分担的子公司的亏损超过了少数股东在该子公司期初股东权益中所享有的份额，仍冲减少数股东权益。</w:t>
      </w:r>
    </w:p>
    <w:p w14:paraId="4900D672"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该子公司直接处置相关资产或负债相同的基础进行会计处理。其后，对该部分剩余股权按照《企业会计准则第</w:t>
      </w:r>
      <w:r w:rsidRPr="005B5EC1">
        <w:rPr>
          <w:rFonts w:ascii="Times New Roman" w:hAnsi="Times New Roman" w:cs="Times New Roman"/>
          <w:sz w:val="18"/>
          <w:szCs w:val="18"/>
        </w:rPr>
        <w:t>2</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长期股权投资》或《企业会计准则第</w:t>
      </w:r>
      <w:r w:rsidRPr="005B5EC1">
        <w:rPr>
          <w:rFonts w:ascii="Times New Roman" w:hAnsi="Times New Roman" w:cs="Times New Roman"/>
          <w:sz w:val="18"/>
          <w:szCs w:val="18"/>
        </w:rPr>
        <w:t>22</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金融工具确认和计量》等相关规定进行后续计量，详见本附注五、</w:t>
      </w:r>
      <w:r w:rsidRPr="005B5EC1">
        <w:rPr>
          <w:rFonts w:ascii="Times New Roman" w:hAnsi="Times New Roman" w:cs="Times New Roman"/>
          <w:sz w:val="18"/>
          <w:szCs w:val="18"/>
        </w:rPr>
        <w:t>22“</w:t>
      </w:r>
      <w:r w:rsidRPr="005B5EC1">
        <w:rPr>
          <w:rFonts w:ascii="Times New Roman" w:hAnsi="Times New Roman" w:cs="Times New Roman"/>
          <w:sz w:val="18"/>
          <w:szCs w:val="18"/>
        </w:rPr>
        <w:t>长期股权投资</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或本附注五、</w:t>
      </w:r>
      <w:r w:rsidRPr="005B5EC1">
        <w:rPr>
          <w:rFonts w:ascii="Times New Roman" w:hAnsi="Times New Roman" w:cs="Times New Roman"/>
          <w:sz w:val="18"/>
          <w:szCs w:val="18"/>
        </w:rPr>
        <w:t>11“</w:t>
      </w:r>
      <w:r w:rsidRPr="005B5EC1">
        <w:rPr>
          <w:rFonts w:ascii="Times New Roman" w:hAnsi="Times New Roman" w:cs="Times New Roman"/>
          <w:sz w:val="18"/>
          <w:szCs w:val="18"/>
        </w:rPr>
        <w:t>金融工具</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w:t>
      </w:r>
    </w:p>
    <w:p w14:paraId="402FB20C" w14:textId="77777777" w:rsidR="00AF139E" w:rsidRPr="005B5EC1" w:rsidRDefault="00000000" w:rsidP="007D1463">
      <w:pPr>
        <w:pStyle w:val="a3"/>
        <w:spacing w:before="0" w:beforeAutospacing="0" w:after="0" w:afterAutospacing="0" w:line="276" w:lineRule="auto"/>
        <w:ind w:firstLineChars="200" w:firstLine="360"/>
        <w:jc w:val="both"/>
        <w:divId w:val="928849447"/>
        <w:rPr>
          <w:rFonts w:ascii="Times New Roman" w:hAnsi="Times New Roman" w:cs="Times New Roman"/>
          <w:sz w:val="18"/>
          <w:szCs w:val="18"/>
        </w:rPr>
      </w:pPr>
      <w:r w:rsidRPr="005B5EC1">
        <w:rPr>
          <w:rFonts w:ascii="Times New Roman" w:hAnsi="Times New Roman" w:cs="Times New Roman"/>
          <w:sz w:val="18"/>
          <w:szCs w:val="18"/>
        </w:rPr>
        <w:t>   </w:t>
      </w:r>
      <w:r w:rsidRPr="005B5EC1">
        <w:rPr>
          <w:rFonts w:ascii="Times New Roman" w:hAnsi="Times New Roman" w:cs="Times New Roman"/>
          <w:sz w:val="18"/>
          <w:szCs w:val="18"/>
        </w:rPr>
        <w:t>本集团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w:t>
      </w:r>
      <w:r w:rsidRPr="005B5EC1">
        <w:rPr>
          <w:rFonts w:ascii="Cambria Math" w:hAnsi="Cambria Math" w:cs="Cambria Math"/>
          <w:sz w:val="18"/>
          <w:szCs w:val="18"/>
        </w:rPr>
        <w:t>①</w:t>
      </w:r>
      <w:r w:rsidRPr="005B5EC1">
        <w:rPr>
          <w:rFonts w:ascii="Times New Roman" w:hAnsi="Times New Roman" w:cs="Times New Roman"/>
          <w:sz w:val="18"/>
          <w:szCs w:val="18"/>
        </w:rPr>
        <w:t>这些交易是同时或者在考虑了彼此影响的情况下订立的；</w:t>
      </w:r>
      <w:r w:rsidRPr="005B5EC1">
        <w:rPr>
          <w:rFonts w:ascii="Cambria Math" w:hAnsi="Cambria Math" w:cs="Cambria Math"/>
          <w:sz w:val="18"/>
          <w:szCs w:val="18"/>
        </w:rPr>
        <w:t>②</w:t>
      </w:r>
      <w:r w:rsidRPr="005B5EC1">
        <w:rPr>
          <w:rFonts w:ascii="Times New Roman" w:hAnsi="Times New Roman" w:cs="Times New Roman"/>
          <w:sz w:val="18"/>
          <w:szCs w:val="18"/>
        </w:rPr>
        <w:t>这些交易整体才能达成一项完整的商业结果；</w:t>
      </w:r>
      <w:r w:rsidRPr="005B5EC1">
        <w:rPr>
          <w:rFonts w:ascii="Cambria Math" w:hAnsi="Cambria Math" w:cs="Cambria Math"/>
          <w:sz w:val="18"/>
          <w:szCs w:val="18"/>
        </w:rPr>
        <w:t>③</w:t>
      </w:r>
      <w:r w:rsidRPr="005B5EC1">
        <w:rPr>
          <w:rFonts w:ascii="Times New Roman" w:hAnsi="Times New Roman" w:cs="Times New Roman"/>
          <w:sz w:val="18"/>
          <w:szCs w:val="18"/>
        </w:rPr>
        <w:t>一项交易的发生取决于其他至少一项交易的发生；</w:t>
      </w:r>
      <w:r w:rsidRPr="005B5EC1">
        <w:rPr>
          <w:rFonts w:ascii="Cambria Math" w:hAnsi="Cambria Math" w:cs="Cambria Math"/>
          <w:sz w:val="18"/>
          <w:szCs w:val="18"/>
        </w:rPr>
        <w:t>④</w:t>
      </w:r>
      <w:r w:rsidRPr="005B5EC1">
        <w:rPr>
          <w:rFonts w:ascii="Times New Roman" w:hAnsi="Times New Roman" w:cs="Times New Roman"/>
          <w:sz w:val="18"/>
          <w:szCs w:val="18"/>
        </w:rPr>
        <w:t>一项交易单独看是不经济的，但是和其他交易一并考虑时是经济的。不属于一揽子交易的，对其中的每一项交易视情况分别按照</w:t>
      </w:r>
      <w:r w:rsidRPr="005B5EC1">
        <w:rPr>
          <w:rFonts w:ascii="Times New Roman" w:hAnsi="Times New Roman" w:cs="Times New Roman"/>
          <w:sz w:val="18"/>
          <w:szCs w:val="18"/>
        </w:rPr>
        <w:t>“</w:t>
      </w:r>
      <w:r w:rsidRPr="005B5EC1">
        <w:rPr>
          <w:rFonts w:ascii="Times New Roman" w:hAnsi="Times New Roman" w:cs="Times New Roman"/>
          <w:sz w:val="18"/>
          <w:szCs w:val="18"/>
        </w:rPr>
        <w:t>不丧失控制权的情况下部分处置对子公司的长期股权投资</w:t>
      </w:r>
      <w:r w:rsidRPr="005B5EC1">
        <w:rPr>
          <w:rFonts w:ascii="Times New Roman" w:hAnsi="Times New Roman" w:cs="Times New Roman"/>
          <w:sz w:val="18"/>
          <w:szCs w:val="18"/>
        </w:rPr>
        <w:t>”</w:t>
      </w:r>
      <w:r w:rsidRPr="005B5EC1">
        <w:rPr>
          <w:rFonts w:ascii="Times New Roman" w:hAnsi="Times New Roman" w:cs="Times New Roman"/>
          <w:sz w:val="18"/>
          <w:szCs w:val="18"/>
        </w:rPr>
        <w:t>（详见本附注五、</w:t>
      </w:r>
      <w:r w:rsidRPr="005B5EC1">
        <w:rPr>
          <w:rFonts w:ascii="Times New Roman" w:hAnsi="Times New Roman" w:cs="Times New Roman"/>
          <w:sz w:val="18"/>
          <w:szCs w:val="18"/>
        </w:rPr>
        <w:t>22“</w:t>
      </w:r>
      <w:r w:rsidRPr="005B5EC1">
        <w:rPr>
          <w:rFonts w:ascii="Times New Roman" w:hAnsi="Times New Roman" w:cs="Times New Roman"/>
          <w:sz w:val="18"/>
          <w:szCs w:val="18"/>
        </w:rPr>
        <w:t>长期股权投资</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w:t>
      </w:r>
      <w:r w:rsidRPr="005B5EC1">
        <w:rPr>
          <w:rFonts w:ascii="Cambria Math" w:hAnsi="Cambria Math" w:cs="Cambria Math"/>
          <w:sz w:val="18"/>
          <w:szCs w:val="18"/>
        </w:rPr>
        <w:t>④</w:t>
      </w:r>
      <w:r w:rsidRPr="005B5EC1">
        <w:rPr>
          <w:rFonts w:ascii="Times New Roman" w:hAnsi="Times New Roman" w:cs="Times New Roman"/>
          <w:sz w:val="18"/>
          <w:szCs w:val="18"/>
        </w:rPr>
        <w:t>）和</w:t>
      </w:r>
      <w:r w:rsidRPr="005B5EC1">
        <w:rPr>
          <w:rFonts w:ascii="Times New Roman" w:hAnsi="Times New Roman" w:cs="Times New Roman"/>
          <w:sz w:val="18"/>
          <w:szCs w:val="18"/>
        </w:rPr>
        <w:t>“</w:t>
      </w:r>
      <w:r w:rsidRPr="005B5EC1">
        <w:rPr>
          <w:rFonts w:ascii="Times New Roman" w:hAnsi="Times New Roman" w:cs="Times New Roman"/>
          <w:sz w:val="18"/>
          <w:szCs w:val="18"/>
        </w:rPr>
        <w:t>因处置部分股权投资或其他原因丧失了对原有子公司的控制权</w:t>
      </w:r>
      <w:r w:rsidRPr="005B5EC1">
        <w:rPr>
          <w:rFonts w:ascii="Times New Roman" w:hAnsi="Times New Roman" w:cs="Times New Roman"/>
          <w:sz w:val="18"/>
          <w:szCs w:val="18"/>
        </w:rPr>
        <w:t>”</w:t>
      </w:r>
      <w:r w:rsidRPr="005B5EC1">
        <w:rPr>
          <w:rFonts w:ascii="Times New Roman" w:hAnsi="Times New Roman" w:cs="Times New Roman"/>
          <w:sz w:val="18"/>
          <w:szCs w:val="18"/>
        </w:rPr>
        <w:t>（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14:paraId="00CE6003" w14:textId="77777777" w:rsidR="00E32FE0" w:rsidRPr="005B5EC1" w:rsidRDefault="00000000">
      <w:pPr>
        <w:pStyle w:val="3"/>
        <w:spacing w:line="280" w:lineRule="exact"/>
        <w:jc w:val="left"/>
        <w:rPr>
          <w:rFonts w:ascii="Times New Roman" w:hAnsi="Times New Roman" w:cs="Times New Roman"/>
          <w:b/>
          <w:bCs/>
        </w:rPr>
      </w:pPr>
      <w:bookmarkStart w:id="183" w:name="_Toc989072"/>
      <w:r w:rsidRPr="005B5EC1">
        <w:rPr>
          <w:rFonts w:ascii="Times New Roman" w:hAnsi="Times New Roman" w:cs="Times New Roman"/>
          <w:b/>
          <w:bCs/>
        </w:rPr>
        <w:t>8</w:t>
      </w:r>
      <w:r w:rsidRPr="005B5EC1">
        <w:rPr>
          <w:rFonts w:ascii="Times New Roman" w:hAnsi="Times New Roman" w:cs="Times New Roman"/>
          <w:b/>
          <w:bCs/>
        </w:rPr>
        <w:t>、合营安排分类及共同经营会计处理方法</w:t>
      </w:r>
      <w:bookmarkEnd w:id="183"/>
    </w:p>
    <w:p w14:paraId="08460AEA" w14:textId="77777777" w:rsidR="00AF139E" w:rsidRPr="005B5EC1" w:rsidRDefault="00000000" w:rsidP="007D1463">
      <w:pPr>
        <w:pStyle w:val="a3"/>
        <w:spacing w:before="0" w:beforeAutospacing="0" w:after="0" w:afterAutospacing="0" w:line="276" w:lineRule="auto"/>
        <w:ind w:firstLineChars="200" w:firstLine="360"/>
        <w:jc w:val="both"/>
        <w:divId w:val="652026951"/>
        <w:rPr>
          <w:rFonts w:ascii="Times New Roman" w:hAnsi="Times New Roman" w:cs="Times New Roman"/>
          <w:sz w:val="18"/>
          <w:szCs w:val="18"/>
        </w:rPr>
      </w:pPr>
      <w:r w:rsidRPr="005B5EC1">
        <w:rPr>
          <w:rFonts w:ascii="Times New Roman" w:hAnsi="Times New Roman" w:cs="Times New Roman"/>
          <w:sz w:val="18"/>
          <w:szCs w:val="18"/>
        </w:rPr>
        <w:t>合营安排，是指一项由两个或两个以上的参与方共同控制的安排。本集团根据在合营安排中享有的权利和承担的义务，将合营安排分为共同经营和合营企业。共同经营，是指本集团享有该安排相关资产且承担该安排相关负债的合营安排。合营企业，是指本集团仅对该安排的净资产享有权利的合营安排。</w:t>
      </w:r>
    </w:p>
    <w:p w14:paraId="021D72DA" w14:textId="77777777" w:rsidR="00AF139E" w:rsidRPr="005B5EC1" w:rsidRDefault="00000000" w:rsidP="007D1463">
      <w:pPr>
        <w:pStyle w:val="a3"/>
        <w:spacing w:before="0" w:beforeAutospacing="0" w:after="0" w:afterAutospacing="0" w:line="276" w:lineRule="auto"/>
        <w:ind w:firstLineChars="200" w:firstLine="360"/>
        <w:jc w:val="both"/>
        <w:divId w:val="652026951"/>
        <w:rPr>
          <w:rFonts w:ascii="Times New Roman" w:hAnsi="Times New Roman" w:cs="Times New Roman"/>
          <w:sz w:val="18"/>
          <w:szCs w:val="18"/>
        </w:rPr>
      </w:pPr>
      <w:r w:rsidRPr="005B5EC1">
        <w:rPr>
          <w:rFonts w:ascii="Times New Roman" w:hAnsi="Times New Roman" w:cs="Times New Roman"/>
          <w:sz w:val="18"/>
          <w:szCs w:val="18"/>
        </w:rPr>
        <w:t>本集团对合营企业的投资采用权益法核算，按照本附注五、</w:t>
      </w:r>
      <w:r w:rsidRPr="005B5EC1">
        <w:rPr>
          <w:rFonts w:ascii="Times New Roman" w:hAnsi="Times New Roman" w:cs="Times New Roman"/>
          <w:sz w:val="18"/>
          <w:szCs w:val="18"/>
        </w:rPr>
        <w:t>22“</w:t>
      </w:r>
      <w:r w:rsidRPr="005B5EC1">
        <w:rPr>
          <w:rFonts w:ascii="Times New Roman" w:hAnsi="Times New Roman" w:cs="Times New Roman"/>
          <w:sz w:val="18"/>
          <w:szCs w:val="18"/>
        </w:rPr>
        <w:t>长期股权投资</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w:t>
      </w:r>
      <w:r w:rsidRPr="005B5EC1">
        <w:rPr>
          <w:rFonts w:ascii="Cambria Math" w:hAnsi="Cambria Math" w:cs="Cambria Math"/>
          <w:sz w:val="18"/>
          <w:szCs w:val="18"/>
        </w:rPr>
        <w:t>②</w:t>
      </w:r>
      <w:r w:rsidRPr="005B5EC1">
        <w:rPr>
          <w:rFonts w:ascii="Times New Roman" w:hAnsi="Times New Roman" w:cs="Times New Roman"/>
          <w:sz w:val="18"/>
          <w:szCs w:val="18"/>
        </w:rPr>
        <w:t>“</w:t>
      </w:r>
      <w:r w:rsidRPr="005B5EC1">
        <w:rPr>
          <w:rFonts w:ascii="Times New Roman" w:hAnsi="Times New Roman" w:cs="Times New Roman"/>
          <w:sz w:val="18"/>
          <w:szCs w:val="18"/>
        </w:rPr>
        <w:t>权益法核算的长期股权投资</w:t>
      </w:r>
      <w:r w:rsidRPr="005B5EC1">
        <w:rPr>
          <w:rFonts w:ascii="Times New Roman" w:hAnsi="Times New Roman" w:cs="Times New Roman"/>
          <w:sz w:val="18"/>
          <w:szCs w:val="18"/>
        </w:rPr>
        <w:t>”</w:t>
      </w:r>
      <w:r w:rsidRPr="005B5EC1">
        <w:rPr>
          <w:rFonts w:ascii="Times New Roman" w:hAnsi="Times New Roman" w:cs="Times New Roman"/>
          <w:sz w:val="18"/>
          <w:szCs w:val="18"/>
        </w:rPr>
        <w:t>中所述的会计政策处理。</w:t>
      </w:r>
    </w:p>
    <w:p w14:paraId="3ECBCAE2" w14:textId="77777777" w:rsidR="00AF139E" w:rsidRPr="005B5EC1" w:rsidRDefault="00000000" w:rsidP="007D1463">
      <w:pPr>
        <w:pStyle w:val="a3"/>
        <w:spacing w:before="0" w:beforeAutospacing="0" w:after="0" w:afterAutospacing="0" w:line="276" w:lineRule="auto"/>
        <w:ind w:firstLineChars="200" w:firstLine="360"/>
        <w:jc w:val="both"/>
        <w:divId w:val="652026951"/>
        <w:rPr>
          <w:rFonts w:ascii="Times New Roman" w:hAnsi="Times New Roman" w:cs="Times New Roman"/>
          <w:sz w:val="18"/>
          <w:szCs w:val="18"/>
        </w:rPr>
      </w:pPr>
      <w:r w:rsidRPr="005B5EC1">
        <w:rPr>
          <w:rFonts w:ascii="Times New Roman" w:hAnsi="Times New Roman" w:cs="Times New Roman"/>
          <w:sz w:val="18"/>
          <w:szCs w:val="18"/>
        </w:rPr>
        <w:t>本集团作为合营方对共同经营，确认本集团单独持有的资产、单独所承担的负债，以及按本集团份额确认共同持有的资产和共同承担的负债；确认出售本集团享有的共同经营产出份额所产生的收入；按本集团份额确认共同经营因出售产出所产生的收入；确认本集团单独所发生的费用，以及按本集团份额确认共同经营发生的费用。</w:t>
      </w:r>
    </w:p>
    <w:p w14:paraId="2B330C58" w14:textId="77777777" w:rsidR="00AF139E" w:rsidRPr="005B5EC1" w:rsidRDefault="00000000" w:rsidP="007D1463">
      <w:pPr>
        <w:pStyle w:val="a3"/>
        <w:spacing w:before="0" w:beforeAutospacing="0" w:after="0" w:afterAutospacing="0" w:line="276" w:lineRule="auto"/>
        <w:ind w:firstLineChars="200" w:firstLine="360"/>
        <w:jc w:val="both"/>
        <w:divId w:val="652026951"/>
        <w:rPr>
          <w:rFonts w:ascii="Times New Roman" w:hAnsi="Times New Roman" w:cs="Times New Roman"/>
          <w:sz w:val="18"/>
          <w:szCs w:val="18"/>
        </w:rPr>
      </w:pPr>
      <w:r w:rsidRPr="005B5EC1">
        <w:rPr>
          <w:rFonts w:ascii="Times New Roman" w:hAnsi="Times New Roman" w:cs="Times New Roman"/>
          <w:sz w:val="18"/>
          <w:szCs w:val="18"/>
        </w:rPr>
        <w:t>   </w:t>
      </w:r>
      <w:r w:rsidRPr="005B5EC1">
        <w:rPr>
          <w:rFonts w:ascii="Times New Roman" w:hAnsi="Times New Roman" w:cs="Times New Roman"/>
          <w:sz w:val="18"/>
          <w:szCs w:val="18"/>
        </w:rPr>
        <w:t>当本集团作为合营方向共同经营投出或出售资产（该资产不构成业务，下同）、或者自共同经营购买资产时，在该等资产出售给第三方之前，本集团仅确认因该交易产生的损益中归属于共同经营其他参与方的部分。该等资产发生符合《企业会计准则第</w:t>
      </w:r>
      <w:r w:rsidRPr="005B5EC1">
        <w:rPr>
          <w:rFonts w:ascii="Times New Roman" w:hAnsi="Times New Roman" w:cs="Times New Roman"/>
          <w:sz w:val="18"/>
          <w:szCs w:val="18"/>
        </w:rPr>
        <w:t>8</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资产减值》等规定的资产减值损失的，对于由本集团向共同经营投出或出售资产的情况，本集团全额确认该损失；对于本集团自共同经营购买资产的情况，本集团按承担的份额确认该损失。</w:t>
      </w:r>
    </w:p>
    <w:p w14:paraId="606D62A9" w14:textId="77777777" w:rsidR="00E32FE0" w:rsidRPr="005B5EC1" w:rsidRDefault="00000000">
      <w:pPr>
        <w:pStyle w:val="3"/>
        <w:spacing w:line="280" w:lineRule="exact"/>
        <w:jc w:val="left"/>
        <w:rPr>
          <w:rFonts w:ascii="Times New Roman" w:hAnsi="Times New Roman" w:cs="Times New Roman"/>
          <w:b/>
          <w:bCs/>
        </w:rPr>
      </w:pPr>
      <w:bookmarkStart w:id="184" w:name="_Toc989073"/>
      <w:r w:rsidRPr="005B5EC1">
        <w:rPr>
          <w:rFonts w:ascii="Times New Roman" w:hAnsi="Times New Roman" w:cs="Times New Roman"/>
          <w:b/>
          <w:bCs/>
        </w:rPr>
        <w:lastRenderedPageBreak/>
        <w:t>9</w:t>
      </w:r>
      <w:r w:rsidRPr="005B5EC1">
        <w:rPr>
          <w:rFonts w:ascii="Times New Roman" w:hAnsi="Times New Roman" w:cs="Times New Roman"/>
          <w:b/>
          <w:bCs/>
        </w:rPr>
        <w:t>、现金及现金等价物的确定标准</w:t>
      </w:r>
      <w:bookmarkEnd w:id="184"/>
    </w:p>
    <w:p w14:paraId="5F6ECD4D" w14:textId="77777777" w:rsidR="00AF139E" w:rsidRPr="005B5EC1" w:rsidRDefault="00000000" w:rsidP="007D1463">
      <w:pPr>
        <w:pStyle w:val="a3"/>
        <w:spacing w:before="0" w:beforeAutospacing="0" w:after="0" w:afterAutospacing="0" w:line="276" w:lineRule="auto"/>
        <w:ind w:firstLineChars="200" w:firstLine="360"/>
        <w:jc w:val="both"/>
        <w:divId w:val="903026680"/>
        <w:rPr>
          <w:rFonts w:ascii="Times New Roman" w:hAnsi="Times New Roman" w:cs="Times New Roman"/>
          <w:sz w:val="18"/>
          <w:szCs w:val="18"/>
        </w:rPr>
      </w:pPr>
      <w:r w:rsidRPr="005B5EC1">
        <w:rPr>
          <w:rFonts w:ascii="Times New Roman" w:hAnsi="Times New Roman" w:cs="Times New Roman"/>
          <w:sz w:val="18"/>
          <w:szCs w:val="18"/>
        </w:rPr>
        <w:t>本集团现金及现金等价物包括库存现金、可以随时用于支付的存款以及本集团持有的期限短（一般为从购买日起三个月内到期）、流动性强、易于转换为已知金额现金、价值变动风险很小的投资。</w:t>
      </w:r>
    </w:p>
    <w:p w14:paraId="38C6EFFE" w14:textId="77777777" w:rsidR="00E32FE0" w:rsidRPr="005B5EC1" w:rsidRDefault="00000000">
      <w:pPr>
        <w:pStyle w:val="3"/>
        <w:spacing w:line="280" w:lineRule="exact"/>
        <w:jc w:val="left"/>
        <w:rPr>
          <w:rFonts w:ascii="Times New Roman" w:hAnsi="Times New Roman" w:cs="Times New Roman"/>
          <w:b/>
          <w:bCs/>
        </w:rPr>
      </w:pPr>
      <w:bookmarkStart w:id="185" w:name="_Toc989074"/>
      <w:r w:rsidRPr="005B5EC1">
        <w:rPr>
          <w:rFonts w:ascii="Times New Roman" w:hAnsi="Times New Roman" w:cs="Times New Roman"/>
          <w:b/>
          <w:bCs/>
        </w:rPr>
        <w:t>10</w:t>
      </w:r>
      <w:r w:rsidRPr="005B5EC1">
        <w:rPr>
          <w:rFonts w:ascii="Times New Roman" w:hAnsi="Times New Roman" w:cs="Times New Roman"/>
          <w:b/>
          <w:bCs/>
        </w:rPr>
        <w:t>、外币业务和外币报表折算</w:t>
      </w:r>
      <w:bookmarkEnd w:id="185"/>
    </w:p>
    <w:p w14:paraId="42F1C821"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外币交易的折算方法</w:t>
      </w:r>
    </w:p>
    <w:p w14:paraId="50976032"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本集团发生的外币交易在初始确认时，按交易日的即期汇率（通常指中国人民银行公布的当日外汇牌价的中间价，下同）折算为记账本位币金额，但本集团发生的外币兑换业务或涉及外币兑换的交易事项，按照实际采用的汇率折算为记账本位币金额。</w:t>
      </w:r>
    </w:p>
    <w:p w14:paraId="5A523F92"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对于外币货币性项目和外币非货币性项目的折算方法</w:t>
      </w:r>
    </w:p>
    <w:p w14:paraId="205DA2FA"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资产负债表日，对于外币货币性项目采用资产负债表日即期汇率折算，由此产生的汇兑差额，除：</w:t>
      </w:r>
      <w:r w:rsidRPr="005B5EC1">
        <w:rPr>
          <w:rFonts w:ascii="Cambria Math" w:hAnsi="Cambria Math" w:cs="Cambria Math"/>
          <w:sz w:val="18"/>
          <w:szCs w:val="18"/>
        </w:rPr>
        <w:t>①</w:t>
      </w:r>
      <w:r w:rsidRPr="005B5EC1">
        <w:rPr>
          <w:rFonts w:ascii="Times New Roman" w:hAnsi="Times New Roman" w:cs="Times New Roman"/>
          <w:sz w:val="18"/>
          <w:szCs w:val="18"/>
        </w:rPr>
        <w:t>属于与购建符合资本化条件的资产相关的外币专门借款产生的汇兑差额按照借款费用资本化的原则处理；</w:t>
      </w:r>
      <w:r w:rsidRPr="005B5EC1">
        <w:rPr>
          <w:rFonts w:ascii="Cambria Math" w:hAnsi="Cambria Math" w:cs="Cambria Math"/>
          <w:sz w:val="18"/>
          <w:szCs w:val="18"/>
        </w:rPr>
        <w:t>②</w:t>
      </w:r>
      <w:r w:rsidRPr="005B5EC1">
        <w:rPr>
          <w:rFonts w:ascii="Times New Roman" w:hAnsi="Times New Roman" w:cs="Times New Roman"/>
          <w:sz w:val="18"/>
          <w:szCs w:val="18"/>
        </w:rPr>
        <w:t>分类为以公允价值计量且其变动计入其他综合收益的外币货币性项目，除摊余成本（含减值）之外的其他账面余额变动产生的汇兑差额计入其他综合收益之外，均计入当期损益。</w:t>
      </w:r>
    </w:p>
    <w:p w14:paraId="4342099E"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14:paraId="5777C019"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外币财务报表的折算方法</w:t>
      </w:r>
    </w:p>
    <w:p w14:paraId="281166C9"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境外经营的外币财务报表按以下方法折算为人民币报表：资产负债表中的资产和负债项目，采用资产负债表日的即期汇率折算；股东权益类项目除</w:t>
      </w:r>
      <w:r w:rsidRPr="005B5EC1">
        <w:rPr>
          <w:rFonts w:ascii="Times New Roman" w:hAnsi="Times New Roman" w:cs="Times New Roman"/>
          <w:sz w:val="18"/>
          <w:szCs w:val="18"/>
        </w:rPr>
        <w:t>“</w:t>
      </w:r>
      <w:r w:rsidRPr="005B5EC1">
        <w:rPr>
          <w:rFonts w:ascii="Times New Roman" w:hAnsi="Times New Roman" w:cs="Times New Roman"/>
          <w:sz w:val="18"/>
          <w:szCs w:val="18"/>
        </w:rPr>
        <w:t>未分配利润</w:t>
      </w:r>
      <w:r w:rsidRPr="005B5EC1">
        <w:rPr>
          <w:rFonts w:ascii="Times New Roman" w:hAnsi="Times New Roman" w:cs="Times New Roman"/>
          <w:sz w:val="18"/>
          <w:szCs w:val="18"/>
        </w:rPr>
        <w:t>”</w:t>
      </w:r>
      <w:r w:rsidRPr="005B5EC1">
        <w:rPr>
          <w:rFonts w:ascii="Times New Roman" w:hAnsi="Times New Roman" w:cs="Times New Roman"/>
          <w:sz w:val="18"/>
          <w:szCs w:val="18"/>
        </w:rPr>
        <w:t>项目外，其他项目采用发生时的即期汇率折算。利润表中的收入和费用项目，采用交易发生日的即期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14:paraId="3EA0EF7B"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外币现金流量，采用现金流量发生日的即期汇率折算。汇率变动对现金的影响额作为调节项目，在现金流量表中单独列报。</w:t>
      </w:r>
    </w:p>
    <w:p w14:paraId="3F101FF2"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年初数和上年实际数按照上年财务报表折算后的数额列示。</w:t>
      </w:r>
    </w:p>
    <w:p w14:paraId="68A64DB8"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在处置本集团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14:paraId="4F007EA2"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14:paraId="6106F12E" w14:textId="77777777" w:rsidR="00AF139E" w:rsidRPr="005B5EC1" w:rsidRDefault="00000000" w:rsidP="007D1463">
      <w:pPr>
        <w:pStyle w:val="a3"/>
        <w:spacing w:before="0" w:beforeAutospacing="0" w:after="0" w:afterAutospacing="0" w:line="276" w:lineRule="auto"/>
        <w:ind w:firstLineChars="200" w:firstLine="360"/>
        <w:jc w:val="both"/>
        <w:divId w:val="932906704"/>
        <w:rPr>
          <w:rFonts w:ascii="Times New Roman" w:hAnsi="Times New Roman" w:cs="Times New Roman"/>
          <w:sz w:val="18"/>
          <w:szCs w:val="18"/>
        </w:rPr>
      </w:pPr>
      <w:r w:rsidRPr="005B5EC1">
        <w:rPr>
          <w:rFonts w:ascii="Times New Roman" w:hAnsi="Times New Roman" w:cs="Times New Roman"/>
          <w:sz w:val="18"/>
          <w:szCs w:val="18"/>
        </w:rPr>
        <w:t>如有实质上构成对境外经营净投资的外币货币性项目，在合并财务报表中，其因汇率变动而产生的汇兑差额，作为</w:t>
      </w:r>
      <w:r w:rsidRPr="005B5EC1">
        <w:rPr>
          <w:rFonts w:ascii="Times New Roman" w:hAnsi="Times New Roman" w:cs="Times New Roman"/>
          <w:sz w:val="18"/>
          <w:szCs w:val="18"/>
        </w:rPr>
        <w:t>“</w:t>
      </w:r>
      <w:r w:rsidRPr="005B5EC1">
        <w:rPr>
          <w:rFonts w:ascii="Times New Roman" w:hAnsi="Times New Roman" w:cs="Times New Roman"/>
          <w:sz w:val="18"/>
          <w:szCs w:val="18"/>
        </w:rPr>
        <w:t>外币报表折算差额</w:t>
      </w:r>
      <w:r w:rsidRPr="005B5EC1">
        <w:rPr>
          <w:rFonts w:ascii="Times New Roman" w:hAnsi="Times New Roman" w:cs="Times New Roman"/>
          <w:sz w:val="18"/>
          <w:szCs w:val="18"/>
        </w:rPr>
        <w:t>”</w:t>
      </w:r>
      <w:r w:rsidRPr="005B5EC1">
        <w:rPr>
          <w:rFonts w:ascii="Times New Roman" w:hAnsi="Times New Roman" w:cs="Times New Roman"/>
          <w:sz w:val="18"/>
          <w:szCs w:val="18"/>
        </w:rPr>
        <w:t>确认为其他综合收益；处置境外经营时，计入处置当期损益。</w:t>
      </w:r>
    </w:p>
    <w:p w14:paraId="7E214389" w14:textId="77777777" w:rsidR="00E32FE0" w:rsidRPr="005B5EC1" w:rsidRDefault="00000000">
      <w:pPr>
        <w:pStyle w:val="3"/>
        <w:spacing w:line="280" w:lineRule="exact"/>
        <w:jc w:val="left"/>
        <w:rPr>
          <w:rFonts w:ascii="Times New Roman" w:hAnsi="Times New Roman" w:cs="Times New Roman"/>
          <w:b/>
          <w:bCs/>
        </w:rPr>
      </w:pPr>
      <w:bookmarkStart w:id="186" w:name="_Toc989075"/>
      <w:r w:rsidRPr="005B5EC1">
        <w:rPr>
          <w:rFonts w:ascii="Times New Roman" w:hAnsi="Times New Roman" w:cs="Times New Roman"/>
          <w:b/>
          <w:bCs/>
        </w:rPr>
        <w:lastRenderedPageBreak/>
        <w:t>11</w:t>
      </w:r>
      <w:r w:rsidRPr="005B5EC1">
        <w:rPr>
          <w:rFonts w:ascii="Times New Roman" w:hAnsi="Times New Roman" w:cs="Times New Roman"/>
          <w:b/>
          <w:bCs/>
        </w:rPr>
        <w:t>、金融工具</w:t>
      </w:r>
      <w:bookmarkEnd w:id="186"/>
    </w:p>
    <w:p w14:paraId="5D28E171"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在本集团成为金融工具合同的一方时确认一项金融资产或金融负债。</w:t>
      </w:r>
    </w:p>
    <w:p w14:paraId="045DA3DD"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金融资产的分类、确认和计量</w:t>
      </w:r>
    </w:p>
    <w:p w14:paraId="176419C6"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14:paraId="763D7527"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集团按照预期有权收取的对价金额作为初始确认金额。</w:t>
      </w:r>
    </w:p>
    <w:p w14:paraId="2EC44A29"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Cambria Math" w:hAnsi="Cambria Math" w:cs="Cambria Math"/>
          <w:sz w:val="18"/>
          <w:szCs w:val="18"/>
        </w:rPr>
        <w:t>①</w:t>
      </w:r>
      <w:r w:rsidRPr="005B5EC1">
        <w:rPr>
          <w:rFonts w:ascii="Times New Roman" w:hAnsi="Times New Roman" w:cs="Times New Roman"/>
          <w:sz w:val="18"/>
          <w:szCs w:val="18"/>
        </w:rPr>
        <w:t>以摊余成本计量的金融资产</w:t>
      </w:r>
    </w:p>
    <w:p w14:paraId="3B5DDD70"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集团对于此类金融资产，采用实际利率法，按照摊余成本进行后续计量，其摊销或减值产生的利得或损失，计入当期损益。</w:t>
      </w:r>
    </w:p>
    <w:p w14:paraId="1B04E3A9"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以公允价值计量且其变动计入其他综合收益的金融资产</w:t>
      </w:r>
    </w:p>
    <w:p w14:paraId="259E994C"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管理此类金融资产的业务模式为既以收取合同现金流量为目标又以出售为目标，且此类金融资产的合同现金流量特征与基本借贷安排相一致。本集团对此类金融资产按照公允价值计量且其变动计入其他综合收益，但减值损失或利得、汇兑损益和按照实际利率法计算的利息收入计入当期损益。</w:t>
      </w:r>
    </w:p>
    <w:p w14:paraId="506BB65A"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当应收票据和应收账款同时满足以上条件时，本公司将其划分为以公允价值计量且其变动计入其他综合收益的金融资产，在报表中列示为应收款项融资。</w:t>
      </w:r>
    </w:p>
    <w:p w14:paraId="4F3F67F2"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此外，本集团将部分非交易性权益工具投资指定为以公允价值计量且其变动计入其他综合收益的金融资产。本集团将该类金融资产的相关股利收入计入当期损益，公允价值变动计入其他综合收益。当该金融资产终止确认时，之前计入其他综合收益的累计利得或损失将从其他综合收益转入留存收益，不计入当期损益。</w:t>
      </w:r>
    </w:p>
    <w:p w14:paraId="4E83932B"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Cambria Math" w:hAnsi="Cambria Math" w:cs="Cambria Math"/>
          <w:sz w:val="18"/>
          <w:szCs w:val="18"/>
        </w:rPr>
        <w:t>③</w:t>
      </w:r>
      <w:r w:rsidRPr="005B5EC1">
        <w:rPr>
          <w:rFonts w:ascii="Times New Roman" w:hAnsi="Times New Roman" w:cs="Times New Roman"/>
          <w:sz w:val="18"/>
          <w:szCs w:val="18"/>
        </w:rPr>
        <w:t>以公允价值计量且其变动计入当期损益的金融资产</w:t>
      </w:r>
    </w:p>
    <w:p w14:paraId="28B1B3D0"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将上述以摊余成本计量的金融资产和以公允价值计量且其变动计入其他综合收益的金融资产之外的金融资产，分类为以公允价值计量且其变动计入当期损益的金融资产。此外，在初始确认时，本集团为了消除或显著减少会计错配，将部分金融资产指定为以公允价值计量且其变动计入当期损益的金融资产。对于此类金融资产，本集团采用公允价值进行后续计量，公允价值变动计入当期损益。</w:t>
      </w:r>
    </w:p>
    <w:p w14:paraId="444BE836"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金融负债的分类、确认和计量</w:t>
      </w:r>
    </w:p>
    <w:p w14:paraId="2F183B8E"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14:paraId="4FB18B8E"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Cambria Math" w:hAnsi="Cambria Math" w:cs="Cambria Math"/>
          <w:sz w:val="18"/>
          <w:szCs w:val="18"/>
        </w:rPr>
        <w:t>①</w:t>
      </w:r>
      <w:r w:rsidRPr="005B5EC1">
        <w:rPr>
          <w:rFonts w:ascii="Times New Roman" w:hAnsi="Times New Roman" w:cs="Times New Roman"/>
          <w:sz w:val="18"/>
          <w:szCs w:val="18"/>
        </w:rPr>
        <w:t>以公允价值计量且其变动计入当期损益的金融负债</w:t>
      </w:r>
    </w:p>
    <w:p w14:paraId="69439FAC"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以公允价值计量且其变动计入当期损益的金融负债，包括交易性金融负债（含属于金融负债的衍生工具）和初始确认时指定为以公允价值计量且其变动计入当期损益的金融负债。</w:t>
      </w:r>
    </w:p>
    <w:p w14:paraId="62518890"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交易性金融负债（含属于金融负债的衍生工具），按照公允价值进行后续计量，除与套期会计有关外，公允价值变动计入当期损益。</w:t>
      </w:r>
    </w:p>
    <w:p w14:paraId="6CF0D88C"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被指定为以公允价值计量且其变动计入当期损益的金融负债，该负债由本集团自身信用风险变动引起的公允价值变动计入其他综合收益，且终止确认该负债时，计入其他综合收益的自身信用风险变动引起的其公允价值累计变动额转入</w:t>
      </w:r>
      <w:r w:rsidRPr="005B5EC1">
        <w:rPr>
          <w:rFonts w:ascii="Times New Roman" w:hAnsi="Times New Roman" w:cs="Times New Roman"/>
          <w:sz w:val="18"/>
          <w:szCs w:val="18"/>
        </w:rPr>
        <w:lastRenderedPageBreak/>
        <w:t>留存收益。其余公允价值变动计入当期损益。若按上述方式对该等金融负债的自身信用风险变动的影响进行处理会造成或扩大损益中的会计错配的，本集团将该金融负债的全部利得或损失（包括企业自身信用风险变动的影响金额）计入当期损益。</w:t>
      </w:r>
    </w:p>
    <w:p w14:paraId="6EB063B3"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其他金融负债</w:t>
      </w:r>
    </w:p>
    <w:p w14:paraId="7FEDB924"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14:paraId="5DE4A8AA"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金融资产转移的确认依据和计量方法</w:t>
      </w:r>
    </w:p>
    <w:p w14:paraId="28277513"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满足下列条件之一的金融资产，予以终止确认：</w:t>
      </w:r>
      <w:r w:rsidRPr="005B5EC1">
        <w:rPr>
          <w:rFonts w:ascii="Cambria Math" w:hAnsi="Cambria Math" w:cs="Cambria Math"/>
          <w:sz w:val="18"/>
          <w:szCs w:val="18"/>
        </w:rPr>
        <w:t>①</w:t>
      </w:r>
      <w:r w:rsidRPr="005B5EC1">
        <w:rPr>
          <w:rFonts w:ascii="Times New Roman" w:hAnsi="Times New Roman" w:cs="Times New Roman"/>
          <w:sz w:val="18"/>
          <w:szCs w:val="18"/>
        </w:rPr>
        <w:t>收取该金融资产现金流量的合同权利终止；</w:t>
      </w:r>
      <w:r w:rsidRPr="005B5EC1">
        <w:rPr>
          <w:rFonts w:ascii="Cambria Math" w:hAnsi="Cambria Math" w:cs="Cambria Math"/>
          <w:sz w:val="18"/>
          <w:szCs w:val="18"/>
        </w:rPr>
        <w:t>②</w:t>
      </w:r>
      <w:r w:rsidRPr="005B5EC1">
        <w:rPr>
          <w:rFonts w:ascii="Times New Roman" w:hAnsi="Times New Roman" w:cs="Times New Roman"/>
          <w:sz w:val="18"/>
          <w:szCs w:val="18"/>
        </w:rPr>
        <w:t>该金融资产已转移，且将金融资产所有权上几乎所有的风险和报酬转移给转入方；</w:t>
      </w:r>
      <w:r w:rsidRPr="005B5EC1">
        <w:rPr>
          <w:rFonts w:ascii="Cambria Math" w:hAnsi="Cambria Math" w:cs="Cambria Math"/>
          <w:sz w:val="18"/>
          <w:szCs w:val="18"/>
        </w:rPr>
        <w:t>③</w:t>
      </w:r>
      <w:r w:rsidRPr="005B5EC1">
        <w:rPr>
          <w:rFonts w:ascii="Times New Roman" w:hAnsi="Times New Roman" w:cs="Times New Roman"/>
          <w:sz w:val="18"/>
          <w:szCs w:val="18"/>
        </w:rPr>
        <w:t>该金融资产已转移，虽然企业既没有转移也没有保留金融资产所有权上几乎所有的风险和报酬，但是放弃了对该金融资产的控制。</w:t>
      </w:r>
    </w:p>
    <w:p w14:paraId="0CC32249"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14:paraId="35070FD4"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金融资产整体转移满足终止确认条件的，将所转移金融资产的账面价值及因转移而收到的对价与原计入其他综合收益的公允价值变动累计额之和的差额计入当期损益。</w:t>
      </w:r>
    </w:p>
    <w:p w14:paraId="6AF71287"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14:paraId="238EAF12"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33DEF9EA"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金融负债的终止确认</w:t>
      </w:r>
    </w:p>
    <w:p w14:paraId="0C265E94"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负债（或其一部分）的现时义务已经解除的，本集团终止确认该金融负债（或该部分金融负债）。本集团（借入方）与借出方签订协议，以承担新金融负债的方式替换原金融负债，且新金融负债与原金融负债的合同条款实质上不同的，终止确认原金融负债，同时确认一项新金融负债。本集团对原金融负债（或其一部分）的合同条款作出实质性修改的，终止确认原金融负债，同时按照修改后的条款确认一项新金融负债。</w:t>
      </w:r>
    </w:p>
    <w:p w14:paraId="3706FBB4"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金融负债（或其一部分）终止确认的，本集团将其账面价值与支付的对价（包括转出的非现金资产或承担的负债）之间的差额，计入当期损益。</w:t>
      </w:r>
    </w:p>
    <w:p w14:paraId="21F2FB1D"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金融资产和金融负债的抵销</w:t>
      </w:r>
    </w:p>
    <w:p w14:paraId="01984F65"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当本集团具有抵销已确认金额的金融资产和金融负债的法定权利，且该种法定权利是当前可执行的，同时本集团计划以净额结算或同时变现该金融资产和清偿该金融负债时，金融资产和金融负债以相互抵销后的净额在资产负债表内列示。除此以外，金融资产和金融负债在资产负债表内分别列示，不予相互抵销。</w:t>
      </w:r>
    </w:p>
    <w:p w14:paraId="4B2A9096"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金融资产和金融负债的公允价值确定方法</w:t>
      </w:r>
    </w:p>
    <w:p w14:paraId="3AF99B7E"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公允价值，是指市场参与者在计量日发生的有序交易中，出售一项资产所能收到或者转移一项负债所需支付的价格。金融工具存在活跃市场的，本集团采用活跃市场中的报价确定其公允价值。活跃市场中的报价是指易于定期从交易所、经纪商、行业协会、定价服务机构等获得的价格，且代表了在公平交易中实际发生的市场交易的价格。金融工具不存在活跃市场的，本集团采用估值技术确定其公允价值。估值技术包括参考熟悉情况并自愿交易的各方最近进行的市场交易中使用的价格、参照实质上相同的其他金融工具当前的公允价值、现金流量折现法和期权定价模型等。在估值时，本集</w:t>
      </w:r>
      <w:r w:rsidRPr="005B5EC1">
        <w:rPr>
          <w:rFonts w:ascii="Times New Roman" w:hAnsi="Times New Roman" w:cs="Times New Roman"/>
          <w:sz w:val="18"/>
          <w:szCs w:val="18"/>
        </w:rPr>
        <w:lastRenderedPageBreak/>
        <w:t>团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14CEFD47"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权益工具</w:t>
      </w:r>
    </w:p>
    <w:p w14:paraId="63D751BA"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权益工具是指能证明拥有本集团在扣除所有负债后的资产中的剩余权益的合同。本集团发行（含再融资）、回购、出售或注销权益工具作为权益的变动处理，与权益性交易相关的交易费用从权益中扣减。本集团不确认权益工具的公允价值变动。</w:t>
      </w:r>
    </w:p>
    <w:p w14:paraId="56672A9B"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本集团权益工具在存续期间分派股利（含分类为权益工具的工具所产生的</w:t>
      </w:r>
      <w:r w:rsidRPr="005B5EC1">
        <w:rPr>
          <w:rFonts w:ascii="Times New Roman" w:hAnsi="Times New Roman" w:cs="Times New Roman"/>
          <w:sz w:val="18"/>
          <w:szCs w:val="18"/>
        </w:rPr>
        <w:t>“</w:t>
      </w:r>
      <w:r w:rsidRPr="005B5EC1">
        <w:rPr>
          <w:rFonts w:ascii="Times New Roman" w:hAnsi="Times New Roman" w:cs="Times New Roman"/>
          <w:sz w:val="18"/>
          <w:szCs w:val="18"/>
        </w:rPr>
        <w:t>利息</w:t>
      </w:r>
      <w:r w:rsidRPr="005B5EC1">
        <w:rPr>
          <w:rFonts w:ascii="Times New Roman" w:hAnsi="Times New Roman" w:cs="Times New Roman"/>
          <w:sz w:val="18"/>
          <w:szCs w:val="18"/>
        </w:rPr>
        <w:t>”</w:t>
      </w:r>
      <w:r w:rsidRPr="005B5EC1">
        <w:rPr>
          <w:rFonts w:ascii="Times New Roman" w:hAnsi="Times New Roman" w:cs="Times New Roman"/>
          <w:sz w:val="18"/>
          <w:szCs w:val="18"/>
        </w:rPr>
        <w:t>）的，作为利润分配处理。</w:t>
      </w:r>
    </w:p>
    <w:p w14:paraId="4EDA5493"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减值项目</w:t>
      </w:r>
    </w:p>
    <w:p w14:paraId="28EB6432"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本公司以预期信用损失为基础，对下列项目进行减值会计处理并确认损失准备：</w:t>
      </w:r>
    </w:p>
    <w:p w14:paraId="696F8F01"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）分类为以摊余成本计量的金融资产和分类为以公允价值计量且其变动计入其他综合收益的金融资产；</w:t>
      </w:r>
    </w:p>
    <w:p w14:paraId="77CE0615"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）租赁应收款；</w:t>
      </w:r>
    </w:p>
    <w:p w14:paraId="35CC42F9"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）贷款承诺和财务担保合同。</w:t>
      </w:r>
    </w:p>
    <w:p w14:paraId="7832214C"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持有的其他以公允价值计量的金融资产不适用预期信用损失模型，包括以公允价值计量且其变动计入当期损益的金融资产，指定为以公允价值计量且其变动计入其他综合收益的金融资产（非交易性权益工具投资），以及衍生金融资产。</w:t>
      </w:r>
    </w:p>
    <w:p w14:paraId="36344E75"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减值准备的确认和计量</w:t>
      </w:r>
    </w:p>
    <w:p w14:paraId="0FB29D13"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除了对于购买或源生的已发生信用减值的金融资产以及始终按照相当于整个存续期内预期信用损失的金额计量损失准备的金融资产之外，本公司在每个资产负债表日评估相关金融工具的信用风险自初始确认后是否已显著增加，并按照下列情形分别计量其损失准备、确认预期信用损失及其变动：</w:t>
      </w:r>
    </w:p>
    <w:p w14:paraId="524088B7"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如果该金融工具的信用风险自初始确认后并未显著增加，处于第一阶段，本公司按照相当于该金融工具未来</w:t>
      </w:r>
      <w:r w:rsidRPr="005B5EC1">
        <w:rPr>
          <w:rFonts w:ascii="Times New Roman" w:hAnsi="Times New Roman" w:cs="Times New Roman"/>
          <w:sz w:val="18"/>
          <w:szCs w:val="18"/>
        </w:rPr>
        <w:t>12</w:t>
      </w:r>
      <w:r w:rsidRPr="005B5EC1">
        <w:rPr>
          <w:rFonts w:ascii="Times New Roman" w:hAnsi="Times New Roman" w:cs="Times New Roman"/>
          <w:sz w:val="18"/>
          <w:szCs w:val="18"/>
        </w:rPr>
        <w:t>个月内预期信用损失的金额计量其损失准备，无论本公司评估信用损失的基础是单项金融工具还是金融工具组合，由此形成的损失准备的增加或转回金额，作为减值损失或利得计入当期损益。</w:t>
      </w:r>
    </w:p>
    <w:p w14:paraId="10C9B1C5"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如果该金融工具的信用风险自初始确认后已显著增加，处于第二阶段，本公司按照相当于该金融工具整个存续期内预期信用损失的金额计量其损失准备。无论本公司评估信用损失的基础是单项金融工具还是金融工具组合，由此形成的损失准备的增加或转回金额，作为减值损失或利得计入当期损益。</w:t>
      </w:r>
    </w:p>
    <w:p w14:paraId="24B58B84"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对于已发生信用减值的金融资产，处于第三阶段，本公司在资产负债表日仅将自初始确认后整个存续期内预期信用损失的累计变动确认为损失准备。在每个资产负债表日，本公司将整个存续期内预期信用损失的变动金额作为减值损失或利得计入当期损益。即使该资产负债表日确定的整个存续期内预期信用损失小于初始确认时估计现金流量所反映的预期信用损失的金额，本公司也将预期信用损失的有利变动确认为减值利得。</w:t>
      </w:r>
    </w:p>
    <w:p w14:paraId="63B5FC3A"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对于分类为以公允价值计量且其变动计入其他综合收益的金融资产（债务工具投资），本公司在其他综合收益中确认其损失准备，并将减值损失或利得计入当期损益，且不应减少该金融资产在资产负债表中列示的账面价值。</w:t>
      </w:r>
    </w:p>
    <w:p w14:paraId="579A1C87"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在前一会计期间已经按照相当于金融工具整个存续期内预期信用损失的金额计量了损失准备，但在当期资产负债表日，该金融工具已不再属于自初始确认后信用风险显著增加的情形的，本公司在当期资产负债表日按照相当于未来</w:t>
      </w:r>
      <w:r w:rsidRPr="005B5EC1">
        <w:rPr>
          <w:rFonts w:ascii="Times New Roman" w:hAnsi="Times New Roman" w:cs="Times New Roman"/>
          <w:sz w:val="18"/>
          <w:szCs w:val="18"/>
        </w:rPr>
        <w:t>12</w:t>
      </w:r>
      <w:r w:rsidRPr="005B5EC1">
        <w:rPr>
          <w:rFonts w:ascii="Times New Roman" w:hAnsi="Times New Roman" w:cs="Times New Roman"/>
          <w:sz w:val="18"/>
          <w:szCs w:val="18"/>
        </w:rPr>
        <w:t>个月内预期信用损失的金额计量该金融工具的损失准备，由此形成的损失准备的转回金额应当作为减值利得计入当期损益。</w:t>
      </w:r>
    </w:p>
    <w:p w14:paraId="4E45509E"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本集团在单项工具层面无法以合理成本获得关于信用风险显著增加的充分证据时，本公司在组合基础上评估信用风险是否显著增加。</w:t>
      </w:r>
    </w:p>
    <w:p w14:paraId="5432949D"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对于适用本项政策有关金融工具减值规定的各类金融工具，本集团按照下列方法确定其信用损失：</w:t>
      </w:r>
    </w:p>
    <w:p w14:paraId="337C355C"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lastRenderedPageBreak/>
        <w:t>1</w:t>
      </w:r>
      <w:r w:rsidRPr="005B5EC1">
        <w:rPr>
          <w:rFonts w:ascii="Times New Roman" w:hAnsi="Times New Roman" w:cs="Times New Roman"/>
          <w:sz w:val="18"/>
          <w:szCs w:val="18"/>
        </w:rPr>
        <w:t>）对于金融资产，信用损失为本公司收取的合同现金流量与预期收取的现金流量之间差额的现值。</w:t>
      </w:r>
    </w:p>
    <w:p w14:paraId="3F17DA98"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）对于租赁应收款项，信用损失为本公司应收取的合同现金流量与预期收取的现金流量之间差额的现值。</w:t>
      </w:r>
    </w:p>
    <w:p w14:paraId="1129E0B3" w14:textId="356E13F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）对于未提</w:t>
      </w:r>
      <w:r w:rsidR="002A11EF">
        <w:rPr>
          <w:rFonts w:ascii="Times New Roman" w:hAnsi="Times New Roman" w:cs="Times New Roman" w:hint="eastAsia"/>
          <w:sz w:val="18"/>
          <w:szCs w:val="18"/>
        </w:rPr>
        <w:t>供</w:t>
      </w:r>
      <w:r w:rsidRPr="005B5EC1">
        <w:rPr>
          <w:rFonts w:ascii="Times New Roman" w:hAnsi="Times New Roman" w:cs="Times New Roman"/>
          <w:sz w:val="18"/>
          <w:szCs w:val="18"/>
        </w:rPr>
        <w:t>的贷款承诺，信用损失应为在贷款承诺持有人提</w:t>
      </w:r>
      <w:r w:rsidR="002A11EF">
        <w:rPr>
          <w:rFonts w:ascii="Times New Roman" w:hAnsi="Times New Roman" w:cs="Times New Roman" w:hint="eastAsia"/>
          <w:sz w:val="18"/>
          <w:szCs w:val="18"/>
        </w:rPr>
        <w:t>供</w:t>
      </w:r>
      <w:r w:rsidRPr="005B5EC1">
        <w:rPr>
          <w:rFonts w:ascii="Times New Roman" w:hAnsi="Times New Roman" w:cs="Times New Roman"/>
          <w:sz w:val="18"/>
          <w:szCs w:val="18"/>
        </w:rPr>
        <w:t>相应贷款的情况下，本公司应收取的合同现金流量与预期收取的现金流量之间差额的现值。</w:t>
      </w:r>
    </w:p>
    <w:p w14:paraId="0E9DE096"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4</w:t>
      </w:r>
      <w:r w:rsidRPr="005B5EC1">
        <w:rPr>
          <w:rFonts w:ascii="Times New Roman" w:hAnsi="Times New Roman" w:cs="Times New Roman"/>
          <w:sz w:val="18"/>
          <w:szCs w:val="18"/>
        </w:rPr>
        <w:t>）对于财务担保合同，信用损失应为本公司就该合同持有人发生的信用损失向其做出赔付的预计付款额，减去本公司预期向该合同持有人、债务人或任何其他方收取的金额之间差额的现值。</w:t>
      </w:r>
    </w:p>
    <w:p w14:paraId="59BD9EC0"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5</w:t>
      </w:r>
      <w:r w:rsidRPr="005B5EC1">
        <w:rPr>
          <w:rFonts w:ascii="Times New Roman" w:hAnsi="Times New Roman" w:cs="Times New Roman"/>
          <w:sz w:val="18"/>
          <w:szCs w:val="18"/>
        </w:rPr>
        <w:t>）对于资产负债表日已发生信用减值但并非购买或源生已发生信用减值的金融资产，信用损失为该金融资产账面余额与按原实际利率折现的估计未来现金流量的现值之间的差额。</w:t>
      </w:r>
    </w:p>
    <w:p w14:paraId="5A8017CC"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信用风险显著增加</w:t>
      </w:r>
    </w:p>
    <w:p w14:paraId="7F1DC419"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本集团通过比较金融工具在初始确认时所确定的预计存续期内的违约概率和该工具在资产负债表日所确定的预计存续期内的违约概率，来判定金融工具信用风险是否显著增加。除特殊情形外，本集团采用未来</w:t>
      </w:r>
      <w:r w:rsidRPr="005B5EC1">
        <w:rPr>
          <w:rFonts w:ascii="Times New Roman" w:hAnsi="Times New Roman" w:cs="Times New Roman"/>
          <w:sz w:val="18"/>
          <w:szCs w:val="18"/>
        </w:rPr>
        <w:t>12</w:t>
      </w:r>
      <w:r w:rsidRPr="005B5EC1">
        <w:rPr>
          <w:rFonts w:ascii="Times New Roman" w:hAnsi="Times New Roman" w:cs="Times New Roman"/>
          <w:sz w:val="18"/>
          <w:szCs w:val="18"/>
        </w:rPr>
        <w:t>个月内发生的违约风险的变化作为整个存续期内发生违约风险变化的合理估计，以确定自初始确认后信用风险是否已显著增加。</w:t>
      </w:r>
    </w:p>
    <w:p w14:paraId="33F8EEDD"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本集团确定金融工具在资产负债表日只具有较低的信用风险的，可以假设该金融工具的信用风险自初始确认后并未显著增加。通常逾期超过</w:t>
      </w:r>
      <w:r w:rsidRPr="005B5EC1">
        <w:rPr>
          <w:rFonts w:ascii="Times New Roman" w:hAnsi="Times New Roman" w:cs="Times New Roman"/>
          <w:sz w:val="18"/>
          <w:szCs w:val="18"/>
        </w:rPr>
        <w:t>30</w:t>
      </w:r>
      <w:r w:rsidRPr="005B5EC1">
        <w:rPr>
          <w:rFonts w:ascii="Times New Roman" w:hAnsi="Times New Roman" w:cs="Times New Roman"/>
          <w:sz w:val="18"/>
          <w:szCs w:val="18"/>
        </w:rPr>
        <w:t>日，本公司即认为该金融工具的信用风险已显著增加，除非有确凿证据证明该金融工具的信用风险自初始确认后并未显著增加。</w:t>
      </w:r>
    </w:p>
    <w:p w14:paraId="6FF070D2"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应收票据及应收账款减值</w:t>
      </w:r>
    </w:p>
    <w:p w14:paraId="76250EA3" w14:textId="77777777"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对于应收票据及应收账款，无论是否存在重大融资成分，本公司均按照整个存续期的预期信用损失计量损失准备。</w:t>
      </w:r>
    </w:p>
    <w:p w14:paraId="06AF8837" w14:textId="1E740A44" w:rsidR="00AF139E" w:rsidRPr="005B5EC1" w:rsidRDefault="00000000" w:rsidP="007D1463">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当单项应收票据及应收账款无法以合理成本评估预期信用损失的信息时，本集团依据信用风险特征将应收票据及应收账款划分为若干组合，在组合基础上计算预期信用损失。如果有客观证据表明某项应收票据及应收账款已经发生信用减值，则本公司对该应收票据及应收账款单项计提坏</w:t>
      </w:r>
      <w:r w:rsidR="00135897">
        <w:rPr>
          <w:rFonts w:ascii="Times New Roman" w:hAnsi="Times New Roman" w:cs="Times New Roman" w:hint="eastAsia"/>
          <w:sz w:val="18"/>
          <w:szCs w:val="18"/>
        </w:rPr>
        <w:t>账</w:t>
      </w:r>
      <w:r w:rsidRPr="005B5EC1">
        <w:rPr>
          <w:rFonts w:ascii="Times New Roman" w:hAnsi="Times New Roman" w:cs="Times New Roman"/>
          <w:sz w:val="18"/>
          <w:szCs w:val="18"/>
        </w:rPr>
        <w:t>准备并确认预期信用损失。对于划分为组合的应收票据及应收账款，本公司参考历史信用损失经验，结合当前状况以及对未来经济状况的预测，通过违约风险敞口和整个存续期预期信用损失率，计算预期信用损失。对于按账龄划分组合的应收账款，账龄自确认之日起计算。</w:t>
      </w:r>
    </w:p>
    <w:p w14:paraId="17096958" w14:textId="77777777" w:rsidR="00AF139E" w:rsidRPr="005B5EC1" w:rsidRDefault="00000000">
      <w:pPr>
        <w:pStyle w:val="a3"/>
        <w:spacing w:before="0" w:beforeAutospacing="0" w:after="0" w:afterAutospacing="0" w:line="460" w:lineRule="atLeast"/>
        <w:ind w:firstLine="360"/>
        <w:jc w:val="both"/>
        <w:divId w:val="687871365"/>
        <w:rPr>
          <w:rFonts w:ascii="Times New Roman" w:hAnsi="Times New Roman" w:cs="Times New Roman"/>
          <w:sz w:val="21"/>
          <w:szCs w:val="21"/>
        </w:rPr>
      </w:pPr>
      <w:r w:rsidRPr="005B5EC1">
        <w:rPr>
          <w:rFonts w:ascii="Times New Roman" w:hAnsi="Times New Roman" w:cs="Times New Roman"/>
          <w:sz w:val="18"/>
          <w:szCs w:val="18"/>
        </w:rPr>
        <w:t>应收票据及应收账款组合：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4"/>
        <w:gridCol w:w="4729"/>
      </w:tblGrid>
      <w:tr w:rsidR="00AF139E" w:rsidRPr="005B5EC1" w14:paraId="09E0CDE0" w14:textId="77777777" w:rsidTr="007D1463">
        <w:trPr>
          <w:divId w:val="687871365"/>
          <w:trHeight w:val="20"/>
          <w:jc w:val="center"/>
        </w:trPr>
        <w:tc>
          <w:tcPr>
            <w:tcW w:w="2600" w:type="pct"/>
            <w:tcMar>
              <w:top w:w="0" w:type="dxa"/>
              <w:left w:w="108" w:type="dxa"/>
              <w:bottom w:w="0" w:type="dxa"/>
              <w:right w:w="108" w:type="dxa"/>
            </w:tcMar>
            <w:vAlign w:val="center"/>
            <w:hideMark/>
          </w:tcPr>
          <w:p w14:paraId="5F1B13C2"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2400" w:type="pct"/>
            <w:tcMar>
              <w:top w:w="0" w:type="dxa"/>
              <w:left w:w="108" w:type="dxa"/>
              <w:bottom w:w="0" w:type="dxa"/>
              <w:right w:w="108" w:type="dxa"/>
            </w:tcMar>
            <w:vAlign w:val="center"/>
            <w:hideMark/>
          </w:tcPr>
          <w:p w14:paraId="2CD1DB8F"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确定组合的依据</w:t>
            </w:r>
          </w:p>
        </w:tc>
      </w:tr>
      <w:tr w:rsidR="00AF139E" w:rsidRPr="005B5EC1" w14:paraId="2763F56B" w14:textId="77777777" w:rsidTr="007D1463">
        <w:trPr>
          <w:divId w:val="687871365"/>
          <w:trHeight w:val="20"/>
          <w:jc w:val="center"/>
        </w:trPr>
        <w:tc>
          <w:tcPr>
            <w:tcW w:w="2600" w:type="pct"/>
            <w:noWrap/>
            <w:tcMar>
              <w:top w:w="0" w:type="dxa"/>
              <w:left w:w="108" w:type="dxa"/>
              <w:bottom w:w="0" w:type="dxa"/>
              <w:right w:w="108" w:type="dxa"/>
            </w:tcMar>
            <w:vAlign w:val="center"/>
            <w:hideMark/>
          </w:tcPr>
          <w:p w14:paraId="1046C473"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应收票据组合</w:t>
            </w:r>
            <w:r w:rsidRPr="005B5EC1">
              <w:rPr>
                <w:rFonts w:ascii="Times New Roman" w:hAnsi="Times New Roman" w:cs="Times New Roman"/>
                <w:sz w:val="18"/>
                <w:szCs w:val="18"/>
              </w:rPr>
              <w:t>1</w:t>
            </w:r>
            <w:r w:rsidRPr="005B5EC1">
              <w:rPr>
                <w:rFonts w:ascii="Times New Roman" w:hAnsi="Times New Roman" w:cs="Times New Roman"/>
                <w:sz w:val="18"/>
                <w:szCs w:val="18"/>
              </w:rPr>
              <w:t>：银行承兑汇票</w:t>
            </w:r>
          </w:p>
        </w:tc>
        <w:tc>
          <w:tcPr>
            <w:tcW w:w="2400" w:type="pct"/>
            <w:noWrap/>
            <w:tcMar>
              <w:top w:w="0" w:type="dxa"/>
              <w:left w:w="108" w:type="dxa"/>
              <w:bottom w:w="0" w:type="dxa"/>
              <w:right w:w="108" w:type="dxa"/>
            </w:tcMar>
            <w:vAlign w:val="center"/>
            <w:hideMark/>
          </w:tcPr>
          <w:p w14:paraId="05EB1A7E"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银行承兑汇票，承兑人为信用风险较小的银行</w:t>
            </w:r>
          </w:p>
        </w:tc>
      </w:tr>
      <w:tr w:rsidR="00AF139E" w:rsidRPr="005B5EC1" w14:paraId="2998CF98" w14:textId="77777777" w:rsidTr="007D1463">
        <w:trPr>
          <w:divId w:val="687871365"/>
          <w:trHeight w:val="20"/>
          <w:jc w:val="center"/>
        </w:trPr>
        <w:tc>
          <w:tcPr>
            <w:tcW w:w="2600" w:type="pct"/>
            <w:noWrap/>
            <w:tcMar>
              <w:top w:w="0" w:type="dxa"/>
              <w:left w:w="108" w:type="dxa"/>
              <w:bottom w:w="0" w:type="dxa"/>
              <w:right w:w="108" w:type="dxa"/>
            </w:tcMar>
            <w:vAlign w:val="center"/>
            <w:hideMark/>
          </w:tcPr>
          <w:p w14:paraId="40CAD2B4"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应收票据组合</w:t>
            </w:r>
            <w:r w:rsidRPr="005B5EC1">
              <w:rPr>
                <w:rFonts w:ascii="Times New Roman" w:hAnsi="Times New Roman" w:cs="Times New Roman"/>
                <w:sz w:val="18"/>
                <w:szCs w:val="18"/>
              </w:rPr>
              <w:t>2</w:t>
            </w:r>
            <w:r w:rsidRPr="005B5EC1">
              <w:rPr>
                <w:rFonts w:ascii="Times New Roman" w:hAnsi="Times New Roman" w:cs="Times New Roman"/>
                <w:sz w:val="18"/>
                <w:szCs w:val="18"/>
              </w:rPr>
              <w:t>：商业承兑汇票</w:t>
            </w:r>
          </w:p>
        </w:tc>
        <w:tc>
          <w:tcPr>
            <w:tcW w:w="2400" w:type="pct"/>
            <w:noWrap/>
            <w:tcMar>
              <w:top w:w="0" w:type="dxa"/>
              <w:left w:w="108" w:type="dxa"/>
              <w:bottom w:w="0" w:type="dxa"/>
              <w:right w:w="108" w:type="dxa"/>
            </w:tcMar>
            <w:vAlign w:val="center"/>
            <w:hideMark/>
          </w:tcPr>
          <w:p w14:paraId="40020C25"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评估为正常的、低风险的商业承兑汇票</w:t>
            </w:r>
          </w:p>
        </w:tc>
      </w:tr>
      <w:tr w:rsidR="00AF139E" w:rsidRPr="005B5EC1" w14:paraId="217118BD" w14:textId="77777777" w:rsidTr="007D1463">
        <w:trPr>
          <w:divId w:val="687871365"/>
          <w:trHeight w:val="20"/>
          <w:jc w:val="center"/>
        </w:trPr>
        <w:tc>
          <w:tcPr>
            <w:tcW w:w="2600" w:type="pct"/>
            <w:noWrap/>
            <w:tcMar>
              <w:top w:w="0" w:type="dxa"/>
              <w:left w:w="108" w:type="dxa"/>
              <w:bottom w:w="0" w:type="dxa"/>
              <w:right w:w="108" w:type="dxa"/>
            </w:tcMar>
            <w:vAlign w:val="center"/>
            <w:hideMark/>
          </w:tcPr>
          <w:p w14:paraId="6660C020"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应收账款组合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w:t>
            </w:r>
          </w:p>
        </w:tc>
        <w:tc>
          <w:tcPr>
            <w:tcW w:w="2400" w:type="pct"/>
            <w:noWrap/>
            <w:tcMar>
              <w:top w:w="0" w:type="dxa"/>
              <w:left w:w="108" w:type="dxa"/>
              <w:bottom w:w="0" w:type="dxa"/>
              <w:right w:w="108" w:type="dxa"/>
            </w:tcMar>
            <w:vAlign w:val="center"/>
            <w:hideMark/>
          </w:tcPr>
          <w:p w14:paraId="28B77786"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合并范围内各家单位之间的往来款项</w:t>
            </w:r>
          </w:p>
        </w:tc>
      </w:tr>
      <w:tr w:rsidR="00AF139E" w:rsidRPr="005B5EC1" w14:paraId="77ABC5C6" w14:textId="77777777" w:rsidTr="007D1463">
        <w:trPr>
          <w:divId w:val="687871365"/>
          <w:trHeight w:val="20"/>
          <w:jc w:val="center"/>
        </w:trPr>
        <w:tc>
          <w:tcPr>
            <w:tcW w:w="2600" w:type="pct"/>
            <w:noWrap/>
            <w:tcMar>
              <w:top w:w="0" w:type="dxa"/>
              <w:left w:w="108" w:type="dxa"/>
              <w:bottom w:w="0" w:type="dxa"/>
              <w:right w:w="108" w:type="dxa"/>
            </w:tcMar>
            <w:vAlign w:val="center"/>
            <w:hideMark/>
          </w:tcPr>
          <w:p w14:paraId="0ACEC1F6"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应收账款组合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c>
        <w:tc>
          <w:tcPr>
            <w:tcW w:w="2400" w:type="pct"/>
            <w:noWrap/>
            <w:tcMar>
              <w:top w:w="0" w:type="dxa"/>
              <w:left w:w="108" w:type="dxa"/>
              <w:bottom w:w="0" w:type="dxa"/>
              <w:right w:w="108" w:type="dxa"/>
            </w:tcMar>
            <w:vAlign w:val="center"/>
            <w:hideMark/>
          </w:tcPr>
          <w:p w14:paraId="38F3AFCB"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本组合以应收款项的账龄作为信用风险特征</w:t>
            </w:r>
          </w:p>
        </w:tc>
      </w:tr>
    </w:tbl>
    <w:p w14:paraId="13CF44A1" w14:textId="77777777" w:rsidR="00AF139E" w:rsidRPr="005B5EC1" w:rsidRDefault="00000000" w:rsidP="007D1463">
      <w:pPr>
        <w:pStyle w:val="a3"/>
        <w:spacing w:before="0" w:beforeAutospacing="0" w:after="0" w:afterAutospacing="0" w:line="276" w:lineRule="auto"/>
        <w:ind w:firstLine="357"/>
        <w:jc w:val="both"/>
        <w:divId w:val="687871365"/>
        <w:rPr>
          <w:rFonts w:ascii="Times New Roman" w:hAnsi="Times New Roman" w:cs="Times New Roman"/>
          <w:sz w:val="21"/>
          <w:szCs w:val="21"/>
        </w:rPr>
      </w:pPr>
      <w:r w:rsidRPr="005B5EC1">
        <w:rPr>
          <w:rFonts w:ascii="Times New Roman" w:hAnsi="Times New Roman" w:cs="Times New Roman"/>
          <w:sz w:val="18"/>
          <w:szCs w:val="18"/>
        </w:rPr>
        <w:t>各组合预期信用损失率</w:t>
      </w:r>
    </w:p>
    <w:p w14:paraId="1188862B" w14:textId="77777777" w:rsidR="00AF139E" w:rsidRPr="005B5EC1" w:rsidRDefault="00000000" w:rsidP="007D1463">
      <w:pPr>
        <w:pStyle w:val="a3"/>
        <w:spacing w:before="0" w:beforeAutospacing="0" w:after="0" w:afterAutospacing="0" w:line="276" w:lineRule="auto"/>
        <w:ind w:firstLine="357"/>
        <w:jc w:val="both"/>
        <w:divId w:val="687871365"/>
        <w:rPr>
          <w:rFonts w:ascii="Times New Roman" w:hAnsi="Times New Roman" w:cs="Times New Roman"/>
          <w:sz w:val="21"/>
          <w:szCs w:val="21"/>
        </w:rPr>
      </w:pPr>
      <w:r w:rsidRPr="005B5EC1">
        <w:rPr>
          <w:rFonts w:ascii="Times New Roman" w:hAnsi="Times New Roman" w:cs="Times New Roman"/>
          <w:sz w:val="18"/>
          <w:szCs w:val="18"/>
        </w:rPr>
        <w:t>应收票据组合</w:t>
      </w:r>
      <w:r w:rsidRPr="005B5EC1">
        <w:rPr>
          <w:rFonts w:ascii="Times New Roman" w:hAnsi="Times New Roman" w:cs="Times New Roman"/>
          <w:sz w:val="18"/>
          <w:szCs w:val="18"/>
        </w:rPr>
        <w:t>1</w:t>
      </w:r>
      <w:r w:rsidRPr="005B5EC1">
        <w:rPr>
          <w:rFonts w:ascii="Times New Roman" w:hAnsi="Times New Roman" w:cs="Times New Roman"/>
          <w:sz w:val="18"/>
          <w:szCs w:val="18"/>
        </w:rPr>
        <w:t>：银行承兑汇票：承兑人具有较高的信用评级，历史上未发生票据违约，一般不计提坏账准备。</w:t>
      </w:r>
    </w:p>
    <w:p w14:paraId="3D8FE382" w14:textId="77777777" w:rsidR="00AF139E" w:rsidRPr="005B5EC1" w:rsidRDefault="00000000" w:rsidP="007D1463">
      <w:pPr>
        <w:pStyle w:val="a3"/>
        <w:spacing w:before="0" w:beforeAutospacing="0" w:after="0" w:afterAutospacing="0" w:line="276" w:lineRule="auto"/>
        <w:ind w:firstLine="357"/>
        <w:jc w:val="both"/>
        <w:divId w:val="687871365"/>
        <w:rPr>
          <w:rFonts w:ascii="Times New Roman" w:hAnsi="Times New Roman" w:cs="Times New Roman"/>
          <w:sz w:val="21"/>
          <w:szCs w:val="21"/>
        </w:rPr>
      </w:pPr>
      <w:r w:rsidRPr="005B5EC1">
        <w:rPr>
          <w:rFonts w:ascii="Times New Roman" w:hAnsi="Times New Roman" w:cs="Times New Roman"/>
          <w:sz w:val="18"/>
          <w:szCs w:val="18"/>
        </w:rPr>
        <w:t>应收票据组合</w:t>
      </w:r>
      <w:r w:rsidRPr="005B5EC1">
        <w:rPr>
          <w:rFonts w:ascii="Times New Roman" w:hAnsi="Times New Roman" w:cs="Times New Roman"/>
          <w:sz w:val="18"/>
          <w:szCs w:val="18"/>
        </w:rPr>
        <w:t>2</w:t>
      </w:r>
      <w:r w:rsidRPr="005B5EC1">
        <w:rPr>
          <w:rFonts w:ascii="Times New Roman" w:hAnsi="Times New Roman" w:cs="Times New Roman"/>
          <w:sz w:val="18"/>
          <w:szCs w:val="18"/>
        </w:rPr>
        <w:t>：商业承兑汇票：参照应收账款确定预期信用损失率计提坏账准备。</w:t>
      </w:r>
    </w:p>
    <w:p w14:paraId="5417BB6E" w14:textId="77777777" w:rsidR="00AF139E" w:rsidRPr="005B5EC1" w:rsidRDefault="00000000" w:rsidP="007D1463">
      <w:pPr>
        <w:pStyle w:val="a3"/>
        <w:spacing w:before="0" w:beforeAutospacing="0" w:after="0" w:afterAutospacing="0" w:line="276" w:lineRule="auto"/>
        <w:ind w:firstLine="357"/>
        <w:jc w:val="both"/>
        <w:divId w:val="687871365"/>
        <w:rPr>
          <w:rFonts w:ascii="Times New Roman" w:hAnsi="Times New Roman" w:cs="Times New Roman"/>
          <w:sz w:val="21"/>
          <w:szCs w:val="21"/>
        </w:rPr>
      </w:pPr>
      <w:r w:rsidRPr="005B5EC1">
        <w:rPr>
          <w:rFonts w:ascii="Times New Roman" w:hAnsi="Times New Roman" w:cs="Times New Roman"/>
          <w:sz w:val="18"/>
          <w:szCs w:val="18"/>
        </w:rPr>
        <w:t>应收账款组合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：应收合并范围内关联方款项组合：合并范围内公司的往来款，一般不计提坏账准备，除非子公司发生明显的大额亏损考虑单项计提坏账准备。</w:t>
      </w:r>
    </w:p>
    <w:p w14:paraId="2D7E568F" w14:textId="77777777" w:rsidR="00AF139E" w:rsidRPr="005B5EC1" w:rsidRDefault="00000000" w:rsidP="007D1463">
      <w:pPr>
        <w:pStyle w:val="a3"/>
        <w:spacing w:before="0" w:beforeAutospacing="0" w:after="0" w:afterAutospacing="0" w:line="276" w:lineRule="auto"/>
        <w:ind w:firstLine="357"/>
        <w:jc w:val="both"/>
        <w:divId w:val="687871365"/>
        <w:rPr>
          <w:rFonts w:ascii="Times New Roman" w:hAnsi="Times New Roman" w:cs="Times New Roman"/>
          <w:sz w:val="21"/>
          <w:szCs w:val="21"/>
        </w:rPr>
      </w:pPr>
      <w:r w:rsidRPr="005B5EC1">
        <w:rPr>
          <w:rFonts w:ascii="Times New Roman" w:hAnsi="Times New Roman" w:cs="Times New Roman"/>
          <w:sz w:val="18"/>
          <w:szCs w:val="18"/>
        </w:rPr>
        <w:t>应收账款组合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4"/>
        <w:gridCol w:w="4729"/>
      </w:tblGrid>
      <w:tr w:rsidR="00AF139E" w:rsidRPr="005B5EC1" w14:paraId="3E01FBA9" w14:textId="77777777" w:rsidTr="007D1463">
        <w:trPr>
          <w:divId w:val="687871365"/>
          <w:trHeight w:val="340"/>
        </w:trPr>
        <w:tc>
          <w:tcPr>
            <w:tcW w:w="2600" w:type="pct"/>
            <w:tcMar>
              <w:top w:w="0" w:type="dxa"/>
              <w:left w:w="108" w:type="dxa"/>
              <w:bottom w:w="0" w:type="dxa"/>
              <w:right w:w="108" w:type="dxa"/>
            </w:tcMar>
            <w:vAlign w:val="center"/>
            <w:hideMark/>
          </w:tcPr>
          <w:p w14:paraId="62CB7F7E"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账龄</w:t>
            </w:r>
          </w:p>
        </w:tc>
        <w:tc>
          <w:tcPr>
            <w:tcW w:w="2400" w:type="pct"/>
            <w:tcMar>
              <w:top w:w="0" w:type="dxa"/>
              <w:left w:w="108" w:type="dxa"/>
              <w:bottom w:w="0" w:type="dxa"/>
              <w:right w:w="108" w:type="dxa"/>
            </w:tcMar>
            <w:vAlign w:val="center"/>
            <w:hideMark/>
          </w:tcPr>
          <w:p w14:paraId="33E6F2EB" w14:textId="77777777" w:rsidR="00AF139E" w:rsidRPr="005B5EC1" w:rsidRDefault="00000000" w:rsidP="007D1463">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预期信用损失率（</w:t>
            </w:r>
            <w:r w:rsidRPr="005B5EC1">
              <w:rPr>
                <w:rFonts w:ascii="Times New Roman" w:hAnsi="Times New Roman" w:cs="Times New Roman"/>
                <w:sz w:val="18"/>
                <w:szCs w:val="18"/>
              </w:rPr>
              <w:t>%</w:t>
            </w:r>
            <w:r w:rsidRPr="005B5EC1">
              <w:rPr>
                <w:rFonts w:ascii="Times New Roman" w:hAnsi="Times New Roman" w:cs="Times New Roman"/>
                <w:sz w:val="18"/>
                <w:szCs w:val="18"/>
              </w:rPr>
              <w:t>）</w:t>
            </w:r>
          </w:p>
        </w:tc>
      </w:tr>
      <w:tr w:rsidR="00AF139E" w:rsidRPr="005B5EC1" w14:paraId="41C534F2" w14:textId="77777777" w:rsidTr="007D1463">
        <w:trPr>
          <w:divId w:val="687871365"/>
          <w:trHeight w:val="340"/>
        </w:trPr>
        <w:tc>
          <w:tcPr>
            <w:tcW w:w="2600" w:type="pct"/>
            <w:noWrap/>
            <w:tcMar>
              <w:top w:w="0" w:type="dxa"/>
              <w:left w:w="108" w:type="dxa"/>
              <w:bottom w:w="0" w:type="dxa"/>
              <w:right w:w="108" w:type="dxa"/>
            </w:tcMar>
            <w:vAlign w:val="center"/>
            <w:hideMark/>
          </w:tcPr>
          <w:p w14:paraId="6D205783" w14:textId="77777777" w:rsidR="00AF139E" w:rsidRPr="005B5EC1" w:rsidRDefault="00000000" w:rsidP="007D1463">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1-3</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0CCA239F" w14:textId="77777777" w:rsidR="00AF139E" w:rsidRPr="005B5EC1" w:rsidRDefault="00000000" w:rsidP="007D1463">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2.25%</w:t>
            </w:r>
          </w:p>
        </w:tc>
      </w:tr>
      <w:tr w:rsidR="00AF139E" w:rsidRPr="005B5EC1" w14:paraId="46F741A6" w14:textId="77777777" w:rsidTr="007D1463">
        <w:trPr>
          <w:divId w:val="687871365"/>
          <w:trHeight w:val="340"/>
        </w:trPr>
        <w:tc>
          <w:tcPr>
            <w:tcW w:w="2600" w:type="pct"/>
            <w:noWrap/>
            <w:tcMar>
              <w:top w:w="0" w:type="dxa"/>
              <w:left w:w="108" w:type="dxa"/>
              <w:bottom w:w="0" w:type="dxa"/>
              <w:right w:w="108" w:type="dxa"/>
            </w:tcMar>
            <w:vAlign w:val="center"/>
            <w:hideMark/>
          </w:tcPr>
          <w:p w14:paraId="458D0BDE" w14:textId="77777777" w:rsidR="00AF139E" w:rsidRPr="005B5EC1" w:rsidRDefault="00000000" w:rsidP="007D1463">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4-6</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hideMark/>
          </w:tcPr>
          <w:p w14:paraId="4F0D2953" w14:textId="77777777" w:rsidR="00AF139E" w:rsidRPr="005B5EC1" w:rsidRDefault="00000000" w:rsidP="007D1463">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2.25%</w:t>
            </w:r>
          </w:p>
        </w:tc>
      </w:tr>
      <w:tr w:rsidR="00AF139E" w:rsidRPr="005B5EC1" w14:paraId="2E4B990D" w14:textId="77777777" w:rsidTr="007D1463">
        <w:trPr>
          <w:divId w:val="687871365"/>
          <w:trHeight w:val="340"/>
        </w:trPr>
        <w:tc>
          <w:tcPr>
            <w:tcW w:w="2600" w:type="pct"/>
            <w:noWrap/>
            <w:tcMar>
              <w:top w:w="0" w:type="dxa"/>
              <w:left w:w="108" w:type="dxa"/>
              <w:bottom w:w="0" w:type="dxa"/>
              <w:right w:w="108" w:type="dxa"/>
            </w:tcMar>
            <w:vAlign w:val="center"/>
            <w:hideMark/>
          </w:tcPr>
          <w:p w14:paraId="169E57BF" w14:textId="77777777" w:rsidR="00AF139E" w:rsidRPr="005B5EC1" w:rsidRDefault="00000000" w:rsidP="007D1463">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7-9</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hideMark/>
          </w:tcPr>
          <w:p w14:paraId="5398F714" w14:textId="77777777" w:rsidR="00AF139E" w:rsidRPr="005B5EC1" w:rsidRDefault="00000000" w:rsidP="007D1463">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2.25%</w:t>
            </w:r>
          </w:p>
        </w:tc>
      </w:tr>
      <w:tr w:rsidR="00AF139E" w:rsidRPr="005B5EC1" w14:paraId="7949E582" w14:textId="77777777" w:rsidTr="007D1463">
        <w:trPr>
          <w:divId w:val="687871365"/>
          <w:trHeight w:val="340"/>
        </w:trPr>
        <w:tc>
          <w:tcPr>
            <w:tcW w:w="2600" w:type="pct"/>
            <w:noWrap/>
            <w:tcMar>
              <w:top w:w="0" w:type="dxa"/>
              <w:left w:w="108" w:type="dxa"/>
              <w:bottom w:w="0" w:type="dxa"/>
              <w:right w:w="108" w:type="dxa"/>
            </w:tcMar>
            <w:vAlign w:val="center"/>
            <w:hideMark/>
          </w:tcPr>
          <w:p w14:paraId="253B58F2" w14:textId="77777777" w:rsidR="00AF139E" w:rsidRPr="005B5EC1" w:rsidRDefault="00000000" w:rsidP="007D1463">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10-12</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hideMark/>
          </w:tcPr>
          <w:p w14:paraId="70D011DB" w14:textId="77777777" w:rsidR="00AF139E" w:rsidRPr="005B5EC1" w:rsidRDefault="00000000" w:rsidP="007D1463">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2.25%</w:t>
            </w:r>
          </w:p>
        </w:tc>
      </w:tr>
      <w:tr w:rsidR="00AF139E" w:rsidRPr="005B5EC1" w14:paraId="277AACBB" w14:textId="77777777" w:rsidTr="007D1463">
        <w:trPr>
          <w:divId w:val="687871365"/>
          <w:trHeight w:val="340"/>
        </w:trPr>
        <w:tc>
          <w:tcPr>
            <w:tcW w:w="2600" w:type="pct"/>
            <w:noWrap/>
            <w:tcMar>
              <w:top w:w="0" w:type="dxa"/>
              <w:left w:w="108" w:type="dxa"/>
              <w:bottom w:w="0" w:type="dxa"/>
              <w:right w:w="108" w:type="dxa"/>
            </w:tcMar>
            <w:vAlign w:val="center"/>
            <w:hideMark/>
          </w:tcPr>
          <w:p w14:paraId="22F69C3F" w14:textId="77777777" w:rsidR="00AF139E" w:rsidRPr="005B5EC1" w:rsidRDefault="00000000" w:rsidP="007D1463">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lastRenderedPageBreak/>
              <w:t>1-2</w:t>
            </w:r>
            <w:r w:rsidRPr="005B5EC1">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69D4E5A4" w14:textId="77777777" w:rsidR="00AF139E" w:rsidRPr="005B5EC1" w:rsidRDefault="00000000" w:rsidP="007D1463">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25%</w:t>
            </w:r>
          </w:p>
        </w:tc>
      </w:tr>
      <w:tr w:rsidR="00AF139E" w:rsidRPr="005B5EC1" w14:paraId="7376C26A" w14:textId="77777777" w:rsidTr="007D1463">
        <w:trPr>
          <w:divId w:val="687871365"/>
          <w:trHeight w:val="340"/>
        </w:trPr>
        <w:tc>
          <w:tcPr>
            <w:tcW w:w="2600" w:type="pct"/>
            <w:noWrap/>
            <w:tcMar>
              <w:top w:w="0" w:type="dxa"/>
              <w:left w:w="108" w:type="dxa"/>
              <w:bottom w:w="0" w:type="dxa"/>
              <w:right w:w="108" w:type="dxa"/>
            </w:tcMar>
            <w:vAlign w:val="center"/>
            <w:hideMark/>
          </w:tcPr>
          <w:p w14:paraId="284147D8" w14:textId="77777777" w:rsidR="00AF139E" w:rsidRPr="005B5EC1" w:rsidRDefault="00000000" w:rsidP="007D1463">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2-3</w:t>
            </w:r>
            <w:r w:rsidRPr="005B5EC1">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6B6DEF00" w14:textId="77777777" w:rsidR="00AF139E" w:rsidRPr="005B5EC1" w:rsidRDefault="00000000" w:rsidP="007D1463">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50%</w:t>
            </w:r>
          </w:p>
        </w:tc>
      </w:tr>
      <w:tr w:rsidR="00AF139E" w:rsidRPr="005B5EC1" w14:paraId="7BDF17F4" w14:textId="77777777" w:rsidTr="007D1463">
        <w:trPr>
          <w:divId w:val="687871365"/>
          <w:trHeight w:val="340"/>
        </w:trPr>
        <w:tc>
          <w:tcPr>
            <w:tcW w:w="2600" w:type="pct"/>
            <w:noWrap/>
            <w:tcMar>
              <w:top w:w="0" w:type="dxa"/>
              <w:left w:w="108" w:type="dxa"/>
              <w:bottom w:w="0" w:type="dxa"/>
              <w:right w:w="108" w:type="dxa"/>
            </w:tcMar>
            <w:vAlign w:val="center"/>
            <w:hideMark/>
          </w:tcPr>
          <w:p w14:paraId="2E0D609C" w14:textId="77777777" w:rsidR="00AF139E" w:rsidRPr="005B5EC1" w:rsidRDefault="00000000" w:rsidP="007D1463">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3</w:t>
            </w:r>
            <w:r w:rsidRPr="005B5EC1">
              <w:rPr>
                <w:rFonts w:ascii="Times New Roman" w:hAnsi="Times New Roman" w:cs="Times New Roman"/>
                <w:sz w:val="18"/>
                <w:szCs w:val="18"/>
              </w:rPr>
              <w:t>年以上</w:t>
            </w:r>
          </w:p>
        </w:tc>
        <w:tc>
          <w:tcPr>
            <w:tcW w:w="2400" w:type="pct"/>
            <w:noWrap/>
            <w:tcMar>
              <w:top w:w="0" w:type="dxa"/>
              <w:left w:w="108" w:type="dxa"/>
              <w:bottom w:w="0" w:type="dxa"/>
              <w:right w:w="108" w:type="dxa"/>
            </w:tcMar>
            <w:vAlign w:val="center"/>
            <w:hideMark/>
          </w:tcPr>
          <w:p w14:paraId="523FFD23" w14:textId="77777777" w:rsidR="00AF139E" w:rsidRPr="005B5EC1" w:rsidRDefault="00000000" w:rsidP="007D1463">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80%</w:t>
            </w:r>
          </w:p>
        </w:tc>
      </w:tr>
    </w:tbl>
    <w:p w14:paraId="774248BF" w14:textId="77777777" w:rsidR="00AF139E" w:rsidRPr="005B5EC1" w:rsidRDefault="00000000" w:rsidP="000B1262">
      <w:pPr>
        <w:pStyle w:val="a3"/>
        <w:spacing w:before="0" w:beforeAutospacing="0" w:after="0" w:afterAutospacing="0" w:line="276" w:lineRule="auto"/>
        <w:jc w:val="both"/>
        <w:divId w:val="687871365"/>
        <w:rPr>
          <w:rFonts w:ascii="Times New Roman" w:hAnsi="Times New Roman" w:cs="Times New Roman"/>
          <w:sz w:val="18"/>
          <w:szCs w:val="18"/>
        </w:rPr>
      </w:pPr>
      <w:r w:rsidRPr="005B5EC1">
        <w:rPr>
          <w:rFonts w:ascii="Times New Roman" w:hAnsi="Times New Roman" w:cs="Times New Roman"/>
          <w:sz w:val="18"/>
          <w:szCs w:val="18"/>
        </w:rPr>
        <w:t>应收款项融资</w:t>
      </w:r>
    </w:p>
    <w:p w14:paraId="44EDBFDF" w14:textId="77777777" w:rsidR="00AF139E" w:rsidRPr="005B5EC1" w:rsidRDefault="00000000" w:rsidP="000B1262">
      <w:pPr>
        <w:pStyle w:val="a3"/>
        <w:spacing w:before="0" w:beforeAutospacing="0" w:after="0" w:afterAutospacing="0" w:line="276" w:lineRule="auto"/>
        <w:ind w:firstLineChars="200" w:firstLine="360"/>
        <w:jc w:val="both"/>
        <w:divId w:val="687871365"/>
        <w:rPr>
          <w:rFonts w:ascii="Times New Roman" w:hAnsi="Times New Roman" w:cs="Times New Roman"/>
          <w:sz w:val="18"/>
          <w:szCs w:val="18"/>
        </w:rPr>
      </w:pPr>
      <w:r w:rsidRPr="005B5EC1">
        <w:rPr>
          <w:rFonts w:ascii="Times New Roman" w:hAnsi="Times New Roman" w:cs="Times New Roman"/>
          <w:sz w:val="18"/>
          <w:szCs w:val="18"/>
        </w:rPr>
        <w:t>按照附注五、</w:t>
      </w:r>
      <w:r w:rsidRPr="005B5EC1">
        <w:rPr>
          <w:rFonts w:ascii="Times New Roman" w:hAnsi="Times New Roman" w:cs="Times New Roman"/>
          <w:sz w:val="18"/>
          <w:szCs w:val="18"/>
        </w:rPr>
        <w:t>11</w:t>
      </w: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减值准备的确认和计量中的描述确认和计量减值。当单项应收款项融资无法以合理成本评估预期信用损失的信息时，本公司依据信用风险特征将应收款项融资划分为若干组合，在组合基础上计算预期信用损失，确定组合的依据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5"/>
        <w:gridCol w:w="5358"/>
      </w:tblGrid>
      <w:tr w:rsidR="00AF139E" w:rsidRPr="005B5EC1" w14:paraId="3480D4D1" w14:textId="77777777" w:rsidTr="000B1262">
        <w:trPr>
          <w:divId w:val="687871365"/>
          <w:trHeight w:val="340"/>
        </w:trPr>
        <w:tc>
          <w:tcPr>
            <w:tcW w:w="2281" w:type="pct"/>
            <w:tcMar>
              <w:top w:w="0" w:type="dxa"/>
              <w:left w:w="108" w:type="dxa"/>
              <w:bottom w:w="0" w:type="dxa"/>
              <w:right w:w="108" w:type="dxa"/>
            </w:tcMar>
            <w:vAlign w:val="center"/>
            <w:hideMark/>
          </w:tcPr>
          <w:p w14:paraId="6FE6AAD8"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18"/>
                <w:szCs w:val="18"/>
              </w:rPr>
            </w:pPr>
            <w:r w:rsidRPr="005B5EC1">
              <w:rPr>
                <w:rFonts w:ascii="Times New Roman" w:hAnsi="Times New Roman" w:cs="Times New Roman"/>
                <w:sz w:val="18"/>
                <w:szCs w:val="18"/>
              </w:rPr>
              <w:t>组合名称</w:t>
            </w:r>
          </w:p>
        </w:tc>
        <w:tc>
          <w:tcPr>
            <w:tcW w:w="2719" w:type="pct"/>
            <w:tcMar>
              <w:top w:w="0" w:type="dxa"/>
              <w:left w:w="108" w:type="dxa"/>
              <w:bottom w:w="0" w:type="dxa"/>
              <w:right w:w="108" w:type="dxa"/>
            </w:tcMar>
            <w:vAlign w:val="center"/>
            <w:hideMark/>
          </w:tcPr>
          <w:p w14:paraId="7F3522B1"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18"/>
                <w:szCs w:val="18"/>
              </w:rPr>
            </w:pPr>
            <w:r w:rsidRPr="005B5EC1">
              <w:rPr>
                <w:rFonts w:ascii="Times New Roman" w:hAnsi="Times New Roman" w:cs="Times New Roman"/>
                <w:sz w:val="18"/>
                <w:szCs w:val="18"/>
              </w:rPr>
              <w:t>确定组合的依据</w:t>
            </w:r>
          </w:p>
        </w:tc>
      </w:tr>
      <w:tr w:rsidR="00AF139E" w:rsidRPr="005B5EC1" w14:paraId="0E2EF062" w14:textId="77777777" w:rsidTr="000B1262">
        <w:trPr>
          <w:divId w:val="687871365"/>
          <w:trHeight w:val="340"/>
        </w:trPr>
        <w:tc>
          <w:tcPr>
            <w:tcW w:w="2281" w:type="pct"/>
            <w:noWrap/>
            <w:tcMar>
              <w:top w:w="0" w:type="dxa"/>
              <w:left w:w="108" w:type="dxa"/>
              <w:bottom w:w="0" w:type="dxa"/>
              <w:right w:w="108" w:type="dxa"/>
            </w:tcMar>
            <w:vAlign w:val="center"/>
            <w:hideMark/>
          </w:tcPr>
          <w:p w14:paraId="4D711AC9"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18"/>
                <w:szCs w:val="18"/>
              </w:rPr>
            </w:pPr>
            <w:r w:rsidRPr="005B5EC1">
              <w:rPr>
                <w:rFonts w:ascii="Times New Roman" w:hAnsi="Times New Roman" w:cs="Times New Roman"/>
                <w:sz w:val="18"/>
                <w:szCs w:val="18"/>
              </w:rPr>
              <w:t>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w:t>
            </w:r>
          </w:p>
        </w:tc>
        <w:tc>
          <w:tcPr>
            <w:tcW w:w="2719" w:type="pct"/>
            <w:noWrap/>
            <w:tcMar>
              <w:top w:w="0" w:type="dxa"/>
              <w:left w:w="108" w:type="dxa"/>
              <w:bottom w:w="0" w:type="dxa"/>
              <w:right w:w="108" w:type="dxa"/>
            </w:tcMar>
            <w:vAlign w:val="center"/>
            <w:hideMark/>
          </w:tcPr>
          <w:p w14:paraId="071D6817"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18"/>
                <w:szCs w:val="18"/>
              </w:rPr>
            </w:pPr>
            <w:r w:rsidRPr="005B5EC1">
              <w:rPr>
                <w:rFonts w:ascii="Times New Roman" w:hAnsi="Times New Roman" w:cs="Times New Roman"/>
                <w:sz w:val="18"/>
                <w:szCs w:val="18"/>
              </w:rPr>
              <w:t>合并范围内各家单位之间的往来款项</w:t>
            </w:r>
          </w:p>
        </w:tc>
      </w:tr>
      <w:tr w:rsidR="00AF139E" w:rsidRPr="005B5EC1" w14:paraId="3997EFA8" w14:textId="77777777" w:rsidTr="000B1262">
        <w:trPr>
          <w:divId w:val="687871365"/>
          <w:trHeight w:val="340"/>
        </w:trPr>
        <w:tc>
          <w:tcPr>
            <w:tcW w:w="2281" w:type="pct"/>
            <w:noWrap/>
            <w:tcMar>
              <w:top w:w="0" w:type="dxa"/>
              <w:left w:w="108" w:type="dxa"/>
              <w:bottom w:w="0" w:type="dxa"/>
              <w:right w:w="108" w:type="dxa"/>
            </w:tcMar>
            <w:vAlign w:val="center"/>
            <w:hideMark/>
          </w:tcPr>
          <w:p w14:paraId="39C891A8"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18"/>
                <w:szCs w:val="18"/>
              </w:rPr>
            </w:pPr>
            <w:r w:rsidRPr="005B5EC1">
              <w:rPr>
                <w:rFonts w:ascii="Times New Roman" w:hAnsi="Times New Roman" w:cs="Times New Roman"/>
                <w:sz w:val="18"/>
                <w:szCs w:val="18"/>
              </w:rPr>
              <w:t>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c>
        <w:tc>
          <w:tcPr>
            <w:tcW w:w="2719" w:type="pct"/>
            <w:noWrap/>
            <w:tcMar>
              <w:top w:w="0" w:type="dxa"/>
              <w:left w:w="108" w:type="dxa"/>
              <w:bottom w:w="0" w:type="dxa"/>
              <w:right w:w="108" w:type="dxa"/>
            </w:tcMar>
            <w:vAlign w:val="center"/>
            <w:hideMark/>
          </w:tcPr>
          <w:p w14:paraId="5E889A65"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18"/>
                <w:szCs w:val="18"/>
              </w:rPr>
            </w:pPr>
            <w:r w:rsidRPr="005B5EC1">
              <w:rPr>
                <w:rFonts w:ascii="Times New Roman" w:hAnsi="Times New Roman" w:cs="Times New Roman"/>
                <w:sz w:val="18"/>
                <w:szCs w:val="18"/>
              </w:rPr>
              <w:t>本组合以应收款项的账龄作为信用风险特征</w:t>
            </w:r>
          </w:p>
        </w:tc>
      </w:tr>
    </w:tbl>
    <w:p w14:paraId="14D1C724" w14:textId="77777777" w:rsidR="00AF139E" w:rsidRPr="005B5EC1" w:rsidRDefault="00000000" w:rsidP="000B1262">
      <w:pPr>
        <w:widowControl/>
        <w:spacing w:after="0" w:line="276" w:lineRule="auto"/>
        <w:ind w:left="360"/>
        <w:divId w:val="687871365"/>
        <w:rPr>
          <w:rFonts w:ascii="宋体" w:eastAsia="宋体" w:hAnsi="宋体" w:cs="Times New Roman" w:hint="eastAsia"/>
          <w:sz w:val="18"/>
          <w:szCs w:val="18"/>
        </w:rPr>
      </w:pPr>
      <w:r w:rsidRPr="005B5EC1">
        <w:rPr>
          <w:rFonts w:ascii="宋体" w:eastAsia="宋体" w:hAnsi="宋体" w:cs="Times New Roman"/>
          <w:sz w:val="18"/>
          <w:szCs w:val="18"/>
        </w:rPr>
        <w:t>其他应收款减值</w:t>
      </w:r>
    </w:p>
    <w:p w14:paraId="4ED17204" w14:textId="77777777" w:rsidR="00AF139E" w:rsidRPr="005B5EC1" w:rsidRDefault="00000000" w:rsidP="000B1262">
      <w:pPr>
        <w:pStyle w:val="a3"/>
        <w:spacing w:before="0" w:beforeAutospacing="0" w:after="0" w:afterAutospacing="0" w:line="276" w:lineRule="auto"/>
        <w:ind w:firstLineChars="200" w:firstLine="360"/>
        <w:divId w:val="687871365"/>
        <w:rPr>
          <w:rFonts w:cs="Times New Roman" w:hint="eastAsia"/>
          <w:sz w:val="21"/>
          <w:szCs w:val="21"/>
        </w:rPr>
      </w:pPr>
      <w:r w:rsidRPr="005B5EC1">
        <w:rPr>
          <w:rFonts w:cs="Times New Roman"/>
          <w:sz w:val="18"/>
          <w:szCs w:val="18"/>
        </w:rPr>
        <w:t>按照附注五、11、（2）减值准备的确认和计量中的描述确认和计量减值。当单项其他应收款无法以合理成本评估预期信用损失的信息时，本公司依据信用风险特征将其他应收款划分为若干组合，在组合基础上计算预期信用损失。对于按账龄划分组合的其他应收款，账龄自确认之日起计算。确定组合的依据如下：</w:t>
      </w:r>
    </w:p>
    <w:tbl>
      <w:tblPr>
        <w:tblW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4"/>
        <w:gridCol w:w="8099"/>
      </w:tblGrid>
      <w:tr w:rsidR="00AF139E" w:rsidRPr="005B5EC1" w14:paraId="289D9482" w14:textId="77777777" w:rsidTr="000B1262">
        <w:trPr>
          <w:divId w:val="687871365"/>
          <w:trHeight w:val="378"/>
        </w:trPr>
        <w:tc>
          <w:tcPr>
            <w:tcW w:w="2500" w:type="pct"/>
            <w:tcMar>
              <w:top w:w="0" w:type="dxa"/>
              <w:left w:w="108" w:type="dxa"/>
              <w:bottom w:w="0" w:type="dxa"/>
              <w:right w:w="108" w:type="dxa"/>
            </w:tcMar>
            <w:vAlign w:val="center"/>
            <w:hideMark/>
          </w:tcPr>
          <w:p w14:paraId="540FD74C"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2500" w:type="pct"/>
            <w:tcMar>
              <w:top w:w="0" w:type="dxa"/>
              <w:left w:w="108" w:type="dxa"/>
              <w:bottom w:w="0" w:type="dxa"/>
              <w:right w:w="108" w:type="dxa"/>
            </w:tcMar>
            <w:vAlign w:val="center"/>
            <w:hideMark/>
          </w:tcPr>
          <w:p w14:paraId="7EC36243" w14:textId="77777777" w:rsidR="00AF139E" w:rsidRPr="005B5EC1" w:rsidRDefault="00000000" w:rsidP="000B1262">
            <w:pPr>
              <w:pStyle w:val="a3"/>
              <w:spacing w:before="0" w:beforeAutospacing="0" w:after="0" w:afterAutospacing="0" w:line="276" w:lineRule="auto"/>
              <w:ind w:firstLine="360"/>
              <w:jc w:val="center"/>
              <w:rPr>
                <w:rFonts w:ascii="Times New Roman" w:hAnsi="Times New Roman" w:cs="Times New Roman"/>
                <w:sz w:val="21"/>
                <w:szCs w:val="21"/>
              </w:rPr>
            </w:pPr>
            <w:r w:rsidRPr="005B5EC1">
              <w:rPr>
                <w:rFonts w:ascii="Times New Roman" w:hAnsi="Times New Roman" w:cs="Times New Roman"/>
                <w:sz w:val="18"/>
                <w:szCs w:val="18"/>
              </w:rPr>
              <w:t>确定组合的依据</w:t>
            </w:r>
          </w:p>
        </w:tc>
      </w:tr>
      <w:tr w:rsidR="00AF139E" w:rsidRPr="005B5EC1" w14:paraId="18DA68D1" w14:textId="77777777" w:rsidTr="000B1262">
        <w:trPr>
          <w:divId w:val="687871365"/>
          <w:trHeight w:val="300"/>
        </w:trPr>
        <w:tc>
          <w:tcPr>
            <w:tcW w:w="2500" w:type="pct"/>
            <w:noWrap/>
            <w:tcMar>
              <w:top w:w="0" w:type="dxa"/>
              <w:left w:w="108" w:type="dxa"/>
              <w:bottom w:w="0" w:type="dxa"/>
              <w:right w:w="108" w:type="dxa"/>
            </w:tcMar>
            <w:vAlign w:val="center"/>
            <w:hideMark/>
          </w:tcPr>
          <w:p w14:paraId="405715EB"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w:t>
            </w:r>
          </w:p>
        </w:tc>
        <w:tc>
          <w:tcPr>
            <w:tcW w:w="2500" w:type="pct"/>
            <w:noWrap/>
            <w:tcMar>
              <w:top w:w="0" w:type="dxa"/>
              <w:left w:w="108" w:type="dxa"/>
              <w:bottom w:w="0" w:type="dxa"/>
              <w:right w:w="108" w:type="dxa"/>
            </w:tcMar>
            <w:vAlign w:val="center"/>
            <w:hideMark/>
          </w:tcPr>
          <w:p w14:paraId="67F0B847"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合并范围内各家单位之间的往来款项</w:t>
            </w:r>
          </w:p>
        </w:tc>
      </w:tr>
      <w:tr w:rsidR="00AF139E" w:rsidRPr="005B5EC1" w14:paraId="5E2DABAC" w14:textId="77777777" w:rsidTr="000B1262">
        <w:trPr>
          <w:divId w:val="687871365"/>
          <w:trHeight w:val="300"/>
        </w:trPr>
        <w:tc>
          <w:tcPr>
            <w:tcW w:w="2500" w:type="pct"/>
            <w:noWrap/>
            <w:tcMar>
              <w:top w:w="0" w:type="dxa"/>
              <w:left w:w="108" w:type="dxa"/>
              <w:bottom w:w="0" w:type="dxa"/>
              <w:right w:w="108" w:type="dxa"/>
            </w:tcMar>
            <w:vAlign w:val="center"/>
            <w:hideMark/>
          </w:tcPr>
          <w:p w14:paraId="0DF3D86B"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c>
        <w:tc>
          <w:tcPr>
            <w:tcW w:w="2500" w:type="pct"/>
            <w:noWrap/>
            <w:tcMar>
              <w:top w:w="0" w:type="dxa"/>
              <w:left w:w="108" w:type="dxa"/>
              <w:bottom w:w="0" w:type="dxa"/>
              <w:right w:w="108" w:type="dxa"/>
            </w:tcMar>
            <w:vAlign w:val="center"/>
            <w:hideMark/>
          </w:tcPr>
          <w:p w14:paraId="5EC24714"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除上述组合外的其他组合，本组合以其他应收款的账龄作为信用风险特征。公司根据账龄段划分的具有类似信用风险特征的其他应收款组合的预期损失率为基础，结合现时情况分析法确定坏账准备计提的比例</w:t>
            </w:r>
          </w:p>
        </w:tc>
      </w:tr>
    </w:tbl>
    <w:p w14:paraId="191FC46C"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34"/>
          <w:szCs w:val="34"/>
        </w:rPr>
      </w:pPr>
      <w:r w:rsidRPr="005B5EC1">
        <w:rPr>
          <w:rFonts w:ascii="Times New Roman" w:hAnsi="Times New Roman" w:cs="Times New Roman"/>
          <w:sz w:val="18"/>
          <w:szCs w:val="18"/>
        </w:rPr>
        <w:t>各组合预期信用损失率：</w:t>
      </w:r>
    </w:p>
    <w:p w14:paraId="72BF1C07"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34"/>
          <w:szCs w:val="34"/>
        </w:rPr>
      </w:pPr>
      <w:r w:rsidRPr="005B5EC1">
        <w:rPr>
          <w:rFonts w:ascii="Times New Roman" w:hAnsi="Times New Roman" w:cs="Times New Roman"/>
          <w:sz w:val="18"/>
          <w:szCs w:val="18"/>
        </w:rPr>
        <w:t>其他应收款组合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：应收合并范围内关联方款项组合：合并范围内公司的往来款，一般不计提坏账准备，除非子公司发生明显的大额亏损考虑单项计提坏账准备。</w:t>
      </w:r>
    </w:p>
    <w:p w14:paraId="28A32C9C"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34"/>
          <w:szCs w:val="34"/>
        </w:rPr>
      </w:pPr>
      <w:r w:rsidRPr="005B5EC1">
        <w:rPr>
          <w:rFonts w:ascii="Times New Roman" w:hAnsi="Times New Roman" w:cs="Times New Roman"/>
          <w:sz w:val="18"/>
          <w:szCs w:val="18"/>
        </w:rPr>
        <w:t>其他应收款组合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bl>
      <w:tblPr>
        <w:tblW w:w="5000" w:type="pct"/>
        <w:tblCellMar>
          <w:top w:w="15" w:type="dxa"/>
          <w:left w:w="15" w:type="dxa"/>
          <w:bottom w:w="15" w:type="dxa"/>
          <w:right w:w="15" w:type="dxa"/>
        </w:tblCellMar>
        <w:tblLook w:val="04A0" w:firstRow="1" w:lastRow="0" w:firstColumn="1" w:lastColumn="0" w:noHBand="0" w:noVBand="1"/>
      </w:tblPr>
      <w:tblGrid>
        <w:gridCol w:w="5124"/>
        <w:gridCol w:w="4729"/>
      </w:tblGrid>
      <w:tr w:rsidR="00AF139E" w:rsidRPr="005B5EC1" w14:paraId="371B3860" w14:textId="77777777">
        <w:trPr>
          <w:divId w:val="687871365"/>
          <w:trHeight w:val="340"/>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31E16"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账龄</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D5FB6D"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预期信用损失率（</w:t>
            </w:r>
            <w:r w:rsidRPr="005B5EC1">
              <w:rPr>
                <w:rFonts w:ascii="Times New Roman" w:hAnsi="Times New Roman" w:cs="Times New Roman"/>
                <w:sz w:val="18"/>
                <w:szCs w:val="18"/>
              </w:rPr>
              <w:t>%</w:t>
            </w:r>
            <w:r w:rsidRPr="005B5EC1">
              <w:rPr>
                <w:rFonts w:ascii="Times New Roman" w:hAnsi="Times New Roman" w:cs="Times New Roman"/>
                <w:sz w:val="18"/>
                <w:szCs w:val="18"/>
              </w:rPr>
              <w:t>）</w:t>
            </w:r>
          </w:p>
        </w:tc>
      </w:tr>
      <w:tr w:rsidR="00AF139E" w:rsidRPr="005B5EC1" w14:paraId="565E6CC8" w14:textId="77777777">
        <w:trPr>
          <w:divId w:val="6878713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4E820F"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1-3</w:t>
            </w:r>
            <w:r w:rsidRPr="005B5EC1">
              <w:rPr>
                <w:rFonts w:ascii="Times New Roman" w:hAnsi="Times New Roman" w:cs="Times New Roman"/>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20E0425B"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1.23</w:t>
            </w:r>
          </w:p>
        </w:tc>
      </w:tr>
      <w:tr w:rsidR="00AF139E" w:rsidRPr="005B5EC1" w14:paraId="5D3CF2DE" w14:textId="77777777">
        <w:trPr>
          <w:divId w:val="6878713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8018AF"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4-6</w:t>
            </w:r>
            <w:r w:rsidRPr="005B5EC1">
              <w:rPr>
                <w:rFonts w:ascii="Times New Roman" w:hAnsi="Times New Roman" w:cs="Times New Roman"/>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703FDE38"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1.23</w:t>
            </w:r>
          </w:p>
        </w:tc>
      </w:tr>
      <w:tr w:rsidR="00AF139E" w:rsidRPr="005B5EC1" w14:paraId="76133A26" w14:textId="77777777">
        <w:trPr>
          <w:divId w:val="6878713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3E177A"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7-9</w:t>
            </w:r>
            <w:r w:rsidRPr="005B5EC1">
              <w:rPr>
                <w:rFonts w:ascii="Times New Roman" w:hAnsi="Times New Roman" w:cs="Times New Roman"/>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hideMark/>
          </w:tcPr>
          <w:p w14:paraId="17175B38"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1.23</w:t>
            </w:r>
          </w:p>
        </w:tc>
      </w:tr>
      <w:tr w:rsidR="00AF139E" w:rsidRPr="005B5EC1" w14:paraId="44DFE204" w14:textId="77777777">
        <w:trPr>
          <w:divId w:val="6878713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AAB698"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10-12</w:t>
            </w:r>
            <w:r w:rsidRPr="005B5EC1">
              <w:rPr>
                <w:rFonts w:ascii="Times New Roman" w:hAnsi="Times New Roman" w:cs="Times New Roman"/>
                <w:sz w:val="18"/>
                <w:szCs w:val="18"/>
              </w:rPr>
              <w:t>个月</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2BC98C"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1.23</w:t>
            </w:r>
          </w:p>
        </w:tc>
      </w:tr>
      <w:tr w:rsidR="00AF139E" w:rsidRPr="005B5EC1" w14:paraId="51401A9A" w14:textId="77777777">
        <w:trPr>
          <w:divId w:val="6878713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EE8B58"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w:t>
            </w:r>
            <w:r w:rsidRPr="005B5EC1">
              <w:rPr>
                <w:rFonts w:ascii="Times New Roman" w:hAnsi="Times New Roman" w:cs="Times New Roman"/>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8B47"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22.91</w:t>
            </w:r>
          </w:p>
        </w:tc>
      </w:tr>
      <w:tr w:rsidR="00AF139E" w:rsidRPr="005B5EC1" w14:paraId="628F0BDE" w14:textId="77777777">
        <w:trPr>
          <w:divId w:val="6878713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4970CC"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2-3</w:t>
            </w:r>
            <w:r w:rsidRPr="005B5EC1">
              <w:rPr>
                <w:rFonts w:ascii="Times New Roman" w:hAnsi="Times New Roman" w:cs="Times New Roman"/>
                <w:sz w:val="18"/>
                <w:szCs w:val="18"/>
              </w:rPr>
              <w:t>年</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8F655"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79.83</w:t>
            </w:r>
          </w:p>
        </w:tc>
      </w:tr>
      <w:tr w:rsidR="00AF139E" w:rsidRPr="005B5EC1" w14:paraId="40EC91D9" w14:textId="77777777">
        <w:trPr>
          <w:divId w:val="687871365"/>
          <w:trHeight w:val="340"/>
        </w:trPr>
        <w:tc>
          <w:tcPr>
            <w:tcW w:w="260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C7408E"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3</w:t>
            </w:r>
            <w:r w:rsidRPr="005B5EC1">
              <w:rPr>
                <w:rFonts w:ascii="Times New Roman" w:hAnsi="Times New Roman" w:cs="Times New Roman"/>
                <w:sz w:val="18"/>
                <w:szCs w:val="18"/>
              </w:rPr>
              <w:t>年以上</w:t>
            </w:r>
          </w:p>
        </w:tc>
        <w:tc>
          <w:tcPr>
            <w:tcW w:w="24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45990"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100.00</w:t>
            </w:r>
          </w:p>
        </w:tc>
      </w:tr>
    </w:tbl>
    <w:p w14:paraId="07EA6571"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合同资产减值</w:t>
      </w:r>
    </w:p>
    <w:p w14:paraId="46425DF1"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当单项合同资产无法以合理成本评估预期信用损失的信息时，本公司依据信用风险特征将合同资产划分为若干组合，在组合基础上计算预期信用损失。对于按账龄划分组合的合同资产，账龄自确认之日起计算。</w:t>
      </w:r>
    </w:p>
    <w:p w14:paraId="7B1AC1BC"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确定组合的依据如下：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4"/>
        <w:gridCol w:w="8099"/>
      </w:tblGrid>
      <w:tr w:rsidR="00AF139E" w:rsidRPr="005B5EC1" w14:paraId="21CAC135" w14:textId="77777777" w:rsidTr="000B1262">
        <w:trPr>
          <w:divId w:val="687871365"/>
          <w:trHeight w:val="340"/>
        </w:trPr>
        <w:tc>
          <w:tcPr>
            <w:tcW w:w="902" w:type="pct"/>
            <w:tcMar>
              <w:top w:w="0" w:type="dxa"/>
              <w:left w:w="108" w:type="dxa"/>
              <w:bottom w:w="0" w:type="dxa"/>
              <w:right w:w="108" w:type="dxa"/>
            </w:tcMar>
            <w:vAlign w:val="center"/>
            <w:hideMark/>
          </w:tcPr>
          <w:p w14:paraId="4C874BAC"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4098" w:type="pct"/>
            <w:tcMar>
              <w:top w:w="0" w:type="dxa"/>
              <w:left w:w="108" w:type="dxa"/>
              <w:bottom w:w="0" w:type="dxa"/>
              <w:right w:w="108" w:type="dxa"/>
            </w:tcMar>
            <w:vAlign w:val="center"/>
            <w:hideMark/>
          </w:tcPr>
          <w:p w14:paraId="7D6EE16B" w14:textId="77777777" w:rsidR="00AF139E" w:rsidRPr="005B5EC1" w:rsidRDefault="00000000" w:rsidP="000B1262">
            <w:pPr>
              <w:pStyle w:val="a3"/>
              <w:spacing w:before="0" w:beforeAutospacing="0" w:after="0" w:afterAutospacing="0" w:line="276" w:lineRule="auto"/>
              <w:ind w:firstLine="360"/>
              <w:jc w:val="center"/>
              <w:rPr>
                <w:rFonts w:ascii="Times New Roman" w:hAnsi="Times New Roman" w:cs="Times New Roman"/>
                <w:sz w:val="21"/>
                <w:szCs w:val="21"/>
              </w:rPr>
            </w:pPr>
            <w:r w:rsidRPr="005B5EC1">
              <w:rPr>
                <w:rFonts w:ascii="Times New Roman" w:hAnsi="Times New Roman" w:cs="Times New Roman"/>
                <w:sz w:val="18"/>
                <w:szCs w:val="18"/>
              </w:rPr>
              <w:t>确定组合的依据</w:t>
            </w:r>
          </w:p>
        </w:tc>
      </w:tr>
      <w:tr w:rsidR="00AF139E" w:rsidRPr="005B5EC1" w14:paraId="15B768BA" w14:textId="77777777" w:rsidTr="000B1262">
        <w:trPr>
          <w:divId w:val="687871365"/>
          <w:trHeight w:val="340"/>
        </w:trPr>
        <w:tc>
          <w:tcPr>
            <w:tcW w:w="902" w:type="pct"/>
            <w:noWrap/>
            <w:tcMar>
              <w:top w:w="0" w:type="dxa"/>
              <w:left w:w="108" w:type="dxa"/>
              <w:bottom w:w="0" w:type="dxa"/>
              <w:right w:w="108" w:type="dxa"/>
            </w:tcMar>
            <w:vAlign w:val="center"/>
            <w:hideMark/>
          </w:tcPr>
          <w:p w14:paraId="7A62C121"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w:t>
            </w:r>
            <w:r w:rsidRPr="005B5EC1">
              <w:rPr>
                <w:rFonts w:ascii="Times New Roman" w:hAnsi="Times New Roman" w:cs="Times New Roman"/>
                <w:sz w:val="18"/>
                <w:szCs w:val="18"/>
              </w:rPr>
              <w:lastRenderedPageBreak/>
              <w:t>组合</w:t>
            </w:r>
          </w:p>
        </w:tc>
        <w:tc>
          <w:tcPr>
            <w:tcW w:w="4098" w:type="pct"/>
            <w:noWrap/>
            <w:tcMar>
              <w:top w:w="0" w:type="dxa"/>
              <w:left w:w="108" w:type="dxa"/>
              <w:bottom w:w="0" w:type="dxa"/>
              <w:right w:w="108" w:type="dxa"/>
            </w:tcMar>
            <w:vAlign w:val="center"/>
            <w:hideMark/>
          </w:tcPr>
          <w:p w14:paraId="3997F5A4"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lastRenderedPageBreak/>
              <w:t>合并范围内各家单位之间的往来款项</w:t>
            </w:r>
          </w:p>
        </w:tc>
      </w:tr>
      <w:tr w:rsidR="00AF139E" w:rsidRPr="005B5EC1" w14:paraId="1C8F2C48" w14:textId="77777777" w:rsidTr="000B1262">
        <w:trPr>
          <w:divId w:val="687871365"/>
          <w:trHeight w:val="340"/>
        </w:trPr>
        <w:tc>
          <w:tcPr>
            <w:tcW w:w="902" w:type="pct"/>
            <w:noWrap/>
            <w:tcMar>
              <w:top w:w="0" w:type="dxa"/>
              <w:left w:w="108" w:type="dxa"/>
              <w:bottom w:w="0" w:type="dxa"/>
              <w:right w:w="108" w:type="dxa"/>
            </w:tcMar>
            <w:vAlign w:val="center"/>
            <w:hideMark/>
          </w:tcPr>
          <w:p w14:paraId="38395A5F"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c>
        <w:tc>
          <w:tcPr>
            <w:tcW w:w="4098" w:type="pct"/>
            <w:noWrap/>
            <w:tcMar>
              <w:top w:w="0" w:type="dxa"/>
              <w:left w:w="108" w:type="dxa"/>
              <w:bottom w:w="0" w:type="dxa"/>
              <w:right w:w="108" w:type="dxa"/>
            </w:tcMar>
            <w:vAlign w:val="center"/>
            <w:hideMark/>
          </w:tcPr>
          <w:p w14:paraId="0B4CCE33"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除上述组合外的其他组合，本组合以长期应收款的账龄作为信用风险特征。公司根据账龄段划分的具有类似信用风险特征的长期应收款组合的预期损失率为基础，结合现时情况分析法确定坏账准备计提的比例</w:t>
            </w:r>
          </w:p>
        </w:tc>
      </w:tr>
    </w:tbl>
    <w:p w14:paraId="3BA29103"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长期应收款减值</w:t>
      </w:r>
    </w:p>
    <w:p w14:paraId="66A1E52C"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对于由《企业会计准则第</w:t>
      </w:r>
      <w:r w:rsidRPr="005B5EC1">
        <w:rPr>
          <w:rFonts w:ascii="Times New Roman" w:hAnsi="Times New Roman" w:cs="Times New Roman"/>
          <w:sz w:val="18"/>
          <w:szCs w:val="18"/>
        </w:rPr>
        <w:t>14</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收入》规范的交易形成的长期应收款，无论是否存在重大融资成分，本公司均按照整个存续期的预期信用损失计量损失准备。其他情形形成的长期应收款，则按照附注五、</w:t>
      </w:r>
      <w:r w:rsidRPr="005B5EC1">
        <w:rPr>
          <w:rFonts w:ascii="Times New Roman" w:hAnsi="Times New Roman" w:cs="Times New Roman"/>
          <w:sz w:val="18"/>
          <w:szCs w:val="18"/>
        </w:rPr>
        <w:t>11</w:t>
      </w: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）减值准备的确认和计量中的描述确认和计量减值。</w:t>
      </w:r>
    </w:p>
    <w:p w14:paraId="6BE1B4F4"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当单项长期应收款无法以合理成本评估预期信用损失的信息时，本公司依据信用风险特征将长期应收款划分为若干组合，在组合基础上计算预期信用损失，确定组合的依据如下：</w:t>
      </w:r>
    </w:p>
    <w:tbl>
      <w:tblPr>
        <w:tblW w:w="5000" w:type="pct"/>
        <w:tblCellMar>
          <w:top w:w="15" w:type="dxa"/>
          <w:left w:w="15" w:type="dxa"/>
          <w:bottom w:w="15" w:type="dxa"/>
          <w:right w:w="15" w:type="dxa"/>
        </w:tblCellMar>
        <w:tblLook w:val="04A0" w:firstRow="1" w:lastRow="0" w:firstColumn="1" w:lastColumn="0" w:noHBand="0" w:noVBand="1"/>
      </w:tblPr>
      <w:tblGrid>
        <w:gridCol w:w="1754"/>
        <w:gridCol w:w="8099"/>
      </w:tblGrid>
      <w:tr w:rsidR="00AF139E" w:rsidRPr="005B5EC1" w14:paraId="6ED712CA" w14:textId="77777777" w:rsidTr="000B1262">
        <w:trPr>
          <w:divId w:val="687871365"/>
          <w:trHeight w:val="340"/>
        </w:trPr>
        <w:tc>
          <w:tcPr>
            <w:tcW w:w="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7EB07"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40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304514" w14:textId="77777777" w:rsidR="00AF139E" w:rsidRPr="005B5EC1" w:rsidRDefault="00000000" w:rsidP="000B1262">
            <w:pPr>
              <w:pStyle w:val="a3"/>
              <w:spacing w:before="0" w:beforeAutospacing="0" w:after="0" w:afterAutospacing="0" w:line="276" w:lineRule="auto"/>
              <w:ind w:firstLine="360"/>
              <w:jc w:val="center"/>
              <w:rPr>
                <w:rFonts w:ascii="Times New Roman" w:hAnsi="Times New Roman" w:cs="Times New Roman"/>
                <w:sz w:val="21"/>
                <w:szCs w:val="21"/>
              </w:rPr>
            </w:pPr>
            <w:r w:rsidRPr="005B5EC1">
              <w:rPr>
                <w:rFonts w:ascii="Times New Roman" w:hAnsi="Times New Roman" w:cs="Times New Roman"/>
                <w:sz w:val="18"/>
                <w:szCs w:val="18"/>
              </w:rPr>
              <w:t>确定组合的依据</w:t>
            </w:r>
          </w:p>
        </w:tc>
      </w:tr>
      <w:tr w:rsidR="00AF139E" w:rsidRPr="005B5EC1" w14:paraId="7AF3B7E1" w14:textId="77777777" w:rsidTr="000B1262">
        <w:trPr>
          <w:divId w:val="687871365"/>
          <w:trHeight w:val="34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F8B968"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EDA586"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合并范围内各家单位之间的往来款项</w:t>
            </w:r>
          </w:p>
        </w:tc>
      </w:tr>
      <w:tr w:rsidR="00AF139E" w:rsidRPr="005B5EC1" w14:paraId="6980A5E1" w14:textId="77777777" w:rsidTr="000B1262">
        <w:trPr>
          <w:divId w:val="687871365"/>
          <w:trHeight w:val="340"/>
        </w:trPr>
        <w:tc>
          <w:tcPr>
            <w:tcW w:w="902"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E22766"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c>
        <w:tc>
          <w:tcPr>
            <w:tcW w:w="4098"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E6D36"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除上述组合外的其他组合，本组合以长期应收款的账龄作为信用风险特征。公司根据账龄段划分的具有类似信用风险特征的长期应收款组合的预期损失率为基础，结合现时情况分析法确定坏账准备计提的比例</w:t>
            </w:r>
          </w:p>
        </w:tc>
      </w:tr>
    </w:tbl>
    <w:p w14:paraId="07688CD9"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利得和损失</w:t>
      </w:r>
    </w:p>
    <w:p w14:paraId="50F007B8"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本公司将以公允价值计量的金融资产或金融负债的利得或损失计入当期损益，除非该金融资产或金融负债属于下列情形之一：</w:t>
      </w:r>
    </w:p>
    <w:p w14:paraId="2365021A"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）属于《企业会计准则第</w:t>
      </w:r>
      <w:r w:rsidRPr="005B5EC1">
        <w:rPr>
          <w:rFonts w:ascii="Times New Roman" w:hAnsi="Times New Roman" w:cs="Times New Roman"/>
          <w:sz w:val="18"/>
          <w:szCs w:val="18"/>
        </w:rPr>
        <w:t>24</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套期会计》规定的套期关系的一部分。</w:t>
      </w:r>
    </w:p>
    <w:p w14:paraId="750E5444"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）是一项对非交易性权益工具的投资，且本公司将其指定为以公允价值计量且其变动计入其他综合收益的金融资产。</w:t>
      </w:r>
    </w:p>
    <w:p w14:paraId="41C3B714"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）是一项被指定为以公允价值计量且其变动计入当期损益的金融负债，该负债由本公司自身信用风险变动引起的其公允价值变动应当计入其他综合收益。</w:t>
      </w:r>
    </w:p>
    <w:p w14:paraId="0C535635"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4</w:t>
      </w:r>
      <w:r w:rsidRPr="005B5EC1">
        <w:rPr>
          <w:rFonts w:ascii="Times New Roman" w:hAnsi="Times New Roman" w:cs="Times New Roman"/>
          <w:sz w:val="18"/>
          <w:szCs w:val="18"/>
        </w:rPr>
        <w:t>）是一项分类为以公允价值计量且其变动计入其他综合收益的金融资产（债务工具投资），其减值损失或利得和汇兑损益之外的公允价值变动计入其他综合收益。</w:t>
      </w:r>
    </w:p>
    <w:p w14:paraId="741EDDDB"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本公司只有在同时符合下列条件时，才能确认股利收入并计入当期损益：</w:t>
      </w:r>
    </w:p>
    <w:p w14:paraId="5F321A03"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）本公司收取股利的权利已经确立；</w:t>
      </w:r>
    </w:p>
    <w:p w14:paraId="201CBDE2"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）与股利相关的经济利益很可能流入本公司；</w:t>
      </w:r>
    </w:p>
    <w:p w14:paraId="09AD43F2"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）股利的金额能够可靠计量。</w:t>
      </w:r>
    </w:p>
    <w:p w14:paraId="57146145"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以摊余成本计量且不属于任何套期关系的一部分的金融资产所产生的利得或损失，在终止确认、按照本项重分类、按照实际利率法摊销或确认减值时，计入当期损益。本公司将一项以摊余成本计量的金融资产重分类为以公允价值计量且其变动计入当期损益的金融资产的，按照该资产在重分类日的公允价值进行计量。原账面价值与公允价值之间的差额计入当期损益。将一项以摊余成本计量的金融资产重分类为以公允价值计量且其变动计入其他综合收益的金融资产的，按照该金融资产在重分类日的公允价值进行计量。原账面价值与公允价值之间的差额计入其他综合收益。以摊余成本计量且不属于任何套期关系的一部分的金融负债所产生的利得或损失，在终止确认时计入当期损益或在按照实际利率法摊销时计入相关期间损益。</w:t>
      </w:r>
    </w:p>
    <w:p w14:paraId="43E48369"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对于本公司将金融负债指定为以公允价值计量且其变动计入当期损益的金融负债，该金融负债所产生的利得或损失按照下列规定进行处理：</w:t>
      </w:r>
    </w:p>
    <w:p w14:paraId="309229D6"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）由本公司自身信用风险变动引起的该金融负债公允价值的变动金额，计入其他综合收益；</w:t>
      </w:r>
    </w:p>
    <w:p w14:paraId="725BD6A6"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）该金融负债的其他公允价值变动计入当期损益。</w:t>
      </w:r>
    </w:p>
    <w:p w14:paraId="48468B53"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lastRenderedPageBreak/>
        <w:t>按照本条第</w:t>
      </w:r>
      <w:r w:rsidRPr="005B5EC1">
        <w:rPr>
          <w:rFonts w:ascii="Times New Roman" w:hAnsi="Times New Roman" w:cs="Times New Roman"/>
          <w:sz w:val="18"/>
          <w:szCs w:val="18"/>
        </w:rPr>
        <w:t>1</w:t>
      </w:r>
      <w:r w:rsidRPr="005B5EC1">
        <w:rPr>
          <w:rFonts w:ascii="Times New Roman" w:hAnsi="Times New Roman" w:cs="Times New Roman"/>
          <w:sz w:val="18"/>
          <w:szCs w:val="18"/>
        </w:rPr>
        <w:t>）规定对该金融负债的自身信用风险变动的影响进行处理会造成或扩大损益中的会计错配的，本公司将该金融负债的全部利得或损失（包括本公司自身信用风险变动的影响金额）计入当期损益。该金融负债终止确认时，之前计入其他综合收益的累计利得或损失应当从其他综合收益中转出，计入留存收益。</w:t>
      </w:r>
    </w:p>
    <w:p w14:paraId="555BD414"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本公司将非交易性权益工具投资指定为以公允价值计量且其变动计入其他综合收益的金融资产的，当该金融资产终止确认时，之前计入其他综合收益的累计利得或损失从其他综合收益中转出，计入留存收益。</w:t>
      </w:r>
    </w:p>
    <w:p w14:paraId="3EE3F6CE"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分类为以公允价值计量且其变动计入其他综合收益的金融资产所产生的所有利得或损失（债务工具投资），除减值损失或利得和汇兑损益之外，均计入其他综合收益，直至该金融资产终止确认或被重分类。但是，采用实际利率法计算的该金融资产的利息计入当期损益。该金融资产终止确认时，之前计入其他综合收益的累计利得或损失应当从其他综合收益中转出，计入当期损益。本公司将该金融资产重分类为其他类别金融资产的，对之前计入其他综合收益的累计利得或损失转出，调整该金融资产在重分类日的公允价值，并以调整后的金额作为新的账面价值。</w:t>
      </w:r>
    </w:p>
    <w:p w14:paraId="4A801A1F"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报表列示</w:t>
      </w:r>
    </w:p>
    <w:p w14:paraId="2F76F692"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本公司将分类为以公允价值计量且其变动计入当期损益的金融资产，在</w:t>
      </w:r>
      <w:r w:rsidRPr="005B5EC1">
        <w:rPr>
          <w:rFonts w:ascii="Times New Roman" w:hAnsi="Times New Roman" w:cs="Times New Roman"/>
          <w:sz w:val="18"/>
          <w:szCs w:val="18"/>
        </w:rPr>
        <w:t>“</w:t>
      </w:r>
      <w:r w:rsidRPr="005B5EC1">
        <w:rPr>
          <w:rFonts w:ascii="Times New Roman" w:hAnsi="Times New Roman" w:cs="Times New Roman"/>
          <w:sz w:val="18"/>
          <w:szCs w:val="18"/>
        </w:rPr>
        <w:t>交易性金融资产</w:t>
      </w:r>
      <w:r w:rsidRPr="005B5EC1">
        <w:rPr>
          <w:rFonts w:ascii="Times New Roman" w:hAnsi="Times New Roman" w:cs="Times New Roman"/>
          <w:sz w:val="18"/>
          <w:szCs w:val="18"/>
        </w:rPr>
        <w:t>”</w:t>
      </w:r>
      <w:r w:rsidRPr="005B5EC1">
        <w:rPr>
          <w:rFonts w:ascii="Times New Roman" w:hAnsi="Times New Roman" w:cs="Times New Roman"/>
          <w:sz w:val="18"/>
          <w:szCs w:val="18"/>
        </w:rPr>
        <w:t>科目中列示。自资产负债表日起超过一年到期且预期持有超过一年的以公允价值计量且其变动计入当期损益的非流动金融资产，在</w:t>
      </w:r>
      <w:r w:rsidRPr="005B5EC1">
        <w:rPr>
          <w:rFonts w:ascii="Times New Roman" w:hAnsi="Times New Roman" w:cs="Times New Roman"/>
          <w:sz w:val="18"/>
          <w:szCs w:val="18"/>
        </w:rPr>
        <w:t>“</w:t>
      </w:r>
      <w:r w:rsidRPr="005B5EC1">
        <w:rPr>
          <w:rFonts w:ascii="Times New Roman" w:hAnsi="Times New Roman" w:cs="Times New Roman"/>
          <w:sz w:val="18"/>
          <w:szCs w:val="18"/>
        </w:rPr>
        <w:t>其他非流动金融资产</w:t>
      </w:r>
      <w:r w:rsidRPr="005B5EC1">
        <w:rPr>
          <w:rFonts w:ascii="Times New Roman" w:hAnsi="Times New Roman" w:cs="Times New Roman"/>
          <w:sz w:val="18"/>
          <w:szCs w:val="18"/>
        </w:rPr>
        <w:t>”</w:t>
      </w:r>
      <w:r w:rsidRPr="005B5EC1">
        <w:rPr>
          <w:rFonts w:ascii="Times New Roman" w:hAnsi="Times New Roman" w:cs="Times New Roman"/>
          <w:sz w:val="18"/>
          <w:szCs w:val="18"/>
        </w:rPr>
        <w:t>科目列示。</w:t>
      </w:r>
    </w:p>
    <w:p w14:paraId="01DE1AAE"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本公司将分类为以摊余成本计量的长期债权投资，在</w:t>
      </w:r>
      <w:r w:rsidRPr="005B5EC1">
        <w:rPr>
          <w:rFonts w:ascii="Times New Roman" w:hAnsi="Times New Roman" w:cs="Times New Roman"/>
          <w:sz w:val="18"/>
          <w:szCs w:val="18"/>
        </w:rPr>
        <w:t>“</w:t>
      </w:r>
      <w:r w:rsidRPr="005B5EC1">
        <w:rPr>
          <w:rFonts w:ascii="Times New Roman" w:hAnsi="Times New Roman" w:cs="Times New Roman"/>
          <w:sz w:val="18"/>
          <w:szCs w:val="18"/>
        </w:rPr>
        <w:t>债权投资</w:t>
      </w:r>
      <w:r w:rsidRPr="005B5EC1">
        <w:rPr>
          <w:rFonts w:ascii="Times New Roman" w:hAnsi="Times New Roman" w:cs="Times New Roman"/>
          <w:sz w:val="18"/>
          <w:szCs w:val="18"/>
        </w:rPr>
        <w:t>”</w:t>
      </w:r>
      <w:r w:rsidRPr="005B5EC1">
        <w:rPr>
          <w:rFonts w:ascii="Times New Roman" w:hAnsi="Times New Roman" w:cs="Times New Roman"/>
          <w:sz w:val="18"/>
          <w:szCs w:val="18"/>
        </w:rPr>
        <w:t>科目中列示。自资产负债表日起一年内到期的长期债权投资，在</w:t>
      </w:r>
      <w:r w:rsidRPr="005B5EC1">
        <w:rPr>
          <w:rFonts w:ascii="Times New Roman" w:hAnsi="Times New Roman" w:cs="Times New Roman"/>
          <w:sz w:val="18"/>
          <w:szCs w:val="18"/>
        </w:rPr>
        <w:t>“</w:t>
      </w:r>
      <w:r w:rsidRPr="005B5EC1">
        <w:rPr>
          <w:rFonts w:ascii="Times New Roman" w:hAnsi="Times New Roman" w:cs="Times New Roman"/>
          <w:sz w:val="18"/>
          <w:szCs w:val="18"/>
        </w:rPr>
        <w:t>一年内到期的非流动资产</w:t>
      </w:r>
      <w:r w:rsidRPr="005B5EC1">
        <w:rPr>
          <w:rFonts w:ascii="Times New Roman" w:hAnsi="Times New Roman" w:cs="Times New Roman"/>
          <w:sz w:val="18"/>
          <w:szCs w:val="18"/>
        </w:rPr>
        <w:t>”</w:t>
      </w:r>
      <w:r w:rsidRPr="005B5EC1">
        <w:rPr>
          <w:rFonts w:ascii="Times New Roman" w:hAnsi="Times New Roman" w:cs="Times New Roman"/>
          <w:sz w:val="18"/>
          <w:szCs w:val="18"/>
        </w:rPr>
        <w:t>科目列示。本公司购入的以摊余成本计量的一年内到期的债权投资，在</w:t>
      </w:r>
      <w:r w:rsidRPr="005B5EC1">
        <w:rPr>
          <w:rFonts w:ascii="Times New Roman" w:hAnsi="Times New Roman" w:cs="Times New Roman"/>
          <w:sz w:val="18"/>
          <w:szCs w:val="18"/>
        </w:rPr>
        <w:t>“</w:t>
      </w:r>
      <w:r w:rsidRPr="005B5EC1">
        <w:rPr>
          <w:rFonts w:ascii="Times New Roman" w:hAnsi="Times New Roman" w:cs="Times New Roman"/>
          <w:sz w:val="18"/>
          <w:szCs w:val="18"/>
        </w:rPr>
        <w:t>其他流动资产</w:t>
      </w:r>
      <w:r w:rsidRPr="005B5EC1">
        <w:rPr>
          <w:rFonts w:ascii="Times New Roman" w:hAnsi="Times New Roman" w:cs="Times New Roman"/>
          <w:sz w:val="18"/>
          <w:szCs w:val="18"/>
        </w:rPr>
        <w:t>”</w:t>
      </w:r>
      <w:r w:rsidRPr="005B5EC1">
        <w:rPr>
          <w:rFonts w:ascii="Times New Roman" w:hAnsi="Times New Roman" w:cs="Times New Roman"/>
          <w:sz w:val="18"/>
          <w:szCs w:val="18"/>
        </w:rPr>
        <w:t>科目列示。</w:t>
      </w:r>
    </w:p>
    <w:p w14:paraId="40B23E4E"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本公司将分类为以公允价值计量且其变动计入其他综合收益的长期债权投资，在</w:t>
      </w:r>
      <w:r w:rsidRPr="005B5EC1">
        <w:rPr>
          <w:rFonts w:ascii="Times New Roman" w:hAnsi="Times New Roman" w:cs="Times New Roman"/>
          <w:sz w:val="18"/>
          <w:szCs w:val="18"/>
        </w:rPr>
        <w:t>“</w:t>
      </w:r>
      <w:r w:rsidRPr="005B5EC1">
        <w:rPr>
          <w:rFonts w:ascii="Times New Roman" w:hAnsi="Times New Roman" w:cs="Times New Roman"/>
          <w:sz w:val="18"/>
          <w:szCs w:val="18"/>
        </w:rPr>
        <w:t>其他债权投资</w:t>
      </w:r>
      <w:r w:rsidRPr="005B5EC1">
        <w:rPr>
          <w:rFonts w:ascii="Times New Roman" w:hAnsi="Times New Roman" w:cs="Times New Roman"/>
          <w:sz w:val="18"/>
          <w:szCs w:val="18"/>
        </w:rPr>
        <w:t>”</w:t>
      </w:r>
      <w:r w:rsidRPr="005B5EC1">
        <w:rPr>
          <w:rFonts w:ascii="Times New Roman" w:hAnsi="Times New Roman" w:cs="Times New Roman"/>
          <w:sz w:val="18"/>
          <w:szCs w:val="18"/>
        </w:rPr>
        <w:t>科目列示。自资产负债表日起一年内到期的长期债权投资的期末账面价值，在</w:t>
      </w:r>
      <w:r w:rsidRPr="005B5EC1">
        <w:rPr>
          <w:rFonts w:ascii="Times New Roman" w:hAnsi="Times New Roman" w:cs="Times New Roman"/>
          <w:sz w:val="18"/>
          <w:szCs w:val="18"/>
        </w:rPr>
        <w:t>“</w:t>
      </w:r>
      <w:r w:rsidRPr="005B5EC1">
        <w:rPr>
          <w:rFonts w:ascii="Times New Roman" w:hAnsi="Times New Roman" w:cs="Times New Roman"/>
          <w:sz w:val="18"/>
          <w:szCs w:val="18"/>
        </w:rPr>
        <w:t>一年内到期的非流动资产</w:t>
      </w:r>
      <w:r w:rsidRPr="005B5EC1">
        <w:rPr>
          <w:rFonts w:ascii="Times New Roman" w:hAnsi="Times New Roman" w:cs="Times New Roman"/>
          <w:sz w:val="18"/>
          <w:szCs w:val="18"/>
        </w:rPr>
        <w:t>”</w:t>
      </w:r>
      <w:r w:rsidRPr="005B5EC1">
        <w:rPr>
          <w:rFonts w:ascii="Times New Roman" w:hAnsi="Times New Roman" w:cs="Times New Roman"/>
          <w:sz w:val="18"/>
          <w:szCs w:val="18"/>
        </w:rPr>
        <w:t>科目列示。本公司购入的以公允价值计量且其变动计入其他综合收益的一年内到期的债权投资，在</w:t>
      </w:r>
      <w:r w:rsidRPr="005B5EC1">
        <w:rPr>
          <w:rFonts w:ascii="Times New Roman" w:hAnsi="Times New Roman" w:cs="Times New Roman"/>
          <w:sz w:val="18"/>
          <w:szCs w:val="18"/>
        </w:rPr>
        <w:t>“</w:t>
      </w:r>
      <w:r w:rsidRPr="005B5EC1">
        <w:rPr>
          <w:rFonts w:ascii="Times New Roman" w:hAnsi="Times New Roman" w:cs="Times New Roman"/>
          <w:sz w:val="18"/>
          <w:szCs w:val="18"/>
        </w:rPr>
        <w:t>其他流动资产</w:t>
      </w:r>
      <w:r w:rsidRPr="005B5EC1">
        <w:rPr>
          <w:rFonts w:ascii="Times New Roman" w:hAnsi="Times New Roman" w:cs="Times New Roman"/>
          <w:sz w:val="18"/>
          <w:szCs w:val="18"/>
        </w:rPr>
        <w:t>”</w:t>
      </w:r>
      <w:r w:rsidRPr="005B5EC1">
        <w:rPr>
          <w:rFonts w:ascii="Times New Roman" w:hAnsi="Times New Roman" w:cs="Times New Roman"/>
          <w:sz w:val="18"/>
          <w:szCs w:val="18"/>
        </w:rPr>
        <w:t>科目列示。</w:t>
      </w:r>
    </w:p>
    <w:p w14:paraId="110D1FEA"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本公司将指定为以公允价值计量且其变动计入其他综合收益的非交易性权益工具投资，在</w:t>
      </w:r>
      <w:r w:rsidRPr="005B5EC1">
        <w:rPr>
          <w:rFonts w:ascii="Times New Roman" w:hAnsi="Times New Roman" w:cs="Times New Roman"/>
          <w:sz w:val="18"/>
          <w:szCs w:val="18"/>
        </w:rPr>
        <w:t>“</w:t>
      </w:r>
      <w:r w:rsidRPr="005B5EC1">
        <w:rPr>
          <w:rFonts w:ascii="Times New Roman" w:hAnsi="Times New Roman" w:cs="Times New Roman"/>
          <w:sz w:val="18"/>
          <w:szCs w:val="18"/>
        </w:rPr>
        <w:t>其他权益工具投资</w:t>
      </w:r>
      <w:r w:rsidRPr="005B5EC1">
        <w:rPr>
          <w:rFonts w:ascii="Times New Roman" w:hAnsi="Times New Roman" w:cs="Times New Roman"/>
          <w:sz w:val="18"/>
          <w:szCs w:val="18"/>
        </w:rPr>
        <w:t>”</w:t>
      </w:r>
      <w:r w:rsidRPr="005B5EC1">
        <w:rPr>
          <w:rFonts w:ascii="Times New Roman" w:hAnsi="Times New Roman" w:cs="Times New Roman"/>
          <w:sz w:val="18"/>
          <w:szCs w:val="18"/>
        </w:rPr>
        <w:t>科目列示。</w:t>
      </w:r>
    </w:p>
    <w:p w14:paraId="3F8E1BDD"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本公司承担的交易性金融负债，以及本公司持有的直接指定为以公允价值计量且其变动计入当期损益的金融负债，在</w:t>
      </w:r>
      <w:r w:rsidRPr="005B5EC1">
        <w:rPr>
          <w:rFonts w:ascii="Times New Roman" w:hAnsi="Times New Roman" w:cs="Times New Roman"/>
          <w:sz w:val="18"/>
          <w:szCs w:val="18"/>
        </w:rPr>
        <w:t>“</w:t>
      </w:r>
      <w:r w:rsidRPr="005B5EC1">
        <w:rPr>
          <w:rFonts w:ascii="Times New Roman" w:hAnsi="Times New Roman" w:cs="Times New Roman"/>
          <w:sz w:val="18"/>
          <w:szCs w:val="18"/>
        </w:rPr>
        <w:t>交易性金融负债</w:t>
      </w:r>
      <w:r w:rsidRPr="005B5EC1">
        <w:rPr>
          <w:rFonts w:ascii="Times New Roman" w:hAnsi="Times New Roman" w:cs="Times New Roman"/>
          <w:sz w:val="18"/>
          <w:szCs w:val="18"/>
        </w:rPr>
        <w:t>”</w:t>
      </w:r>
      <w:r w:rsidRPr="005B5EC1">
        <w:rPr>
          <w:rFonts w:ascii="Times New Roman" w:hAnsi="Times New Roman" w:cs="Times New Roman"/>
          <w:sz w:val="18"/>
          <w:szCs w:val="18"/>
        </w:rPr>
        <w:t>科目列示。</w:t>
      </w:r>
    </w:p>
    <w:p w14:paraId="49CFCE8B" w14:textId="77777777"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权益工具</w:t>
      </w:r>
    </w:p>
    <w:p w14:paraId="00B0234E" w14:textId="4FCC1F0E" w:rsidR="00AF139E" w:rsidRPr="005B5EC1" w:rsidRDefault="00000000" w:rsidP="000B1262">
      <w:pPr>
        <w:pStyle w:val="a3"/>
        <w:spacing w:before="0" w:beforeAutospacing="0" w:after="0" w:afterAutospacing="0" w:line="276" w:lineRule="auto"/>
        <w:ind w:firstLine="357"/>
        <w:jc w:val="both"/>
        <w:divId w:val="687871365"/>
        <w:rPr>
          <w:rFonts w:ascii="Times New Roman" w:hAnsi="Times New Roman" w:cs="Times New Roman"/>
          <w:sz w:val="18"/>
          <w:szCs w:val="18"/>
        </w:rPr>
      </w:pPr>
      <w:r w:rsidRPr="005B5EC1">
        <w:rPr>
          <w:rFonts w:ascii="Times New Roman" w:hAnsi="Times New Roman" w:cs="Times New Roman"/>
          <w:sz w:val="18"/>
          <w:szCs w:val="18"/>
        </w:rPr>
        <w:t>权益工具是指能证明拥有本公司在扣除所有负债后的资产中的剩余权益的合同。本公司发行（含再融资）、回购、出售或注销权益工具作为权益的变动处理，与权益性交易相关的交易费用从权益中扣减。本公司不确认权益工具的公允价值变动。本公司对权益工具持有方的分配作为利润分配处理，发放的股票股利不影响所有者权益总额。</w:t>
      </w:r>
    </w:p>
    <w:p w14:paraId="0047095C"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bookmarkStart w:id="187" w:name="_Toc989076"/>
      <w:r w:rsidRPr="005B5EC1">
        <w:rPr>
          <w:rFonts w:ascii="Times New Roman" w:hAnsi="Times New Roman" w:cs="Times New Roman"/>
          <w:sz w:val="18"/>
          <w:szCs w:val="18"/>
        </w:rPr>
        <w:t>12</w:t>
      </w:r>
      <w:r w:rsidRPr="005B5EC1">
        <w:rPr>
          <w:rFonts w:ascii="Times New Roman" w:hAnsi="Times New Roman" w:cs="Times New Roman"/>
          <w:sz w:val="18"/>
          <w:szCs w:val="18"/>
        </w:rPr>
        <w:t>、应收票据</w:t>
      </w:r>
      <w:bookmarkEnd w:id="187"/>
    </w:p>
    <w:p w14:paraId="403EAD5E" w14:textId="77777777" w:rsidR="00AF139E" w:rsidRPr="005B5EC1" w:rsidRDefault="00000000" w:rsidP="000B1262">
      <w:pPr>
        <w:pStyle w:val="a3"/>
        <w:spacing w:before="0" w:beforeAutospacing="0" w:after="0" w:afterAutospacing="0" w:line="276" w:lineRule="auto"/>
        <w:ind w:firstLine="357"/>
        <w:jc w:val="both"/>
        <w:divId w:val="154692916"/>
        <w:rPr>
          <w:rFonts w:ascii="Times New Roman" w:hAnsi="Times New Roman" w:cs="Times New Roman"/>
          <w:sz w:val="18"/>
          <w:szCs w:val="18"/>
        </w:rPr>
      </w:pPr>
      <w:r w:rsidRPr="005B5EC1">
        <w:rPr>
          <w:rFonts w:ascii="Times New Roman" w:hAnsi="Times New Roman" w:cs="Times New Roman"/>
          <w:sz w:val="18"/>
          <w:szCs w:val="18"/>
        </w:rPr>
        <w:t>对于应收票据及应收账款，无论是否存在重大融资成分，本公司均按照整个存续期的预期信用损失计量损失准备。</w:t>
      </w:r>
    </w:p>
    <w:p w14:paraId="3F8DD529" w14:textId="77777777" w:rsidR="00AF139E" w:rsidRPr="005B5EC1" w:rsidRDefault="00000000" w:rsidP="000B1262">
      <w:pPr>
        <w:pStyle w:val="a3"/>
        <w:spacing w:before="0" w:beforeAutospacing="0" w:after="0" w:afterAutospacing="0" w:line="276" w:lineRule="auto"/>
        <w:ind w:firstLine="357"/>
        <w:jc w:val="both"/>
        <w:divId w:val="154692916"/>
        <w:rPr>
          <w:rFonts w:ascii="Times New Roman" w:hAnsi="Times New Roman" w:cs="Times New Roman"/>
          <w:sz w:val="18"/>
          <w:szCs w:val="18"/>
        </w:rPr>
      </w:pPr>
      <w:r w:rsidRPr="005B5EC1">
        <w:rPr>
          <w:rFonts w:ascii="Times New Roman" w:hAnsi="Times New Roman" w:cs="Times New Roman"/>
          <w:sz w:val="18"/>
          <w:szCs w:val="18"/>
        </w:rPr>
        <w:t>当单项应收票据及应收账款无法以合理成本评估预期信用损失的信息时，本集团依据信用风险特征将应收票据及应收账款划分为若干组合，在组合基础上计算预期信用损失。如果有客观证据表明某项应收票据及应收账款已经发生信用减值，则本公司对该应收票据及应收账款单项计提坏账准备并确认预期信用损失。对于划分为组合的应收票据及应收账款，本公司参考历史信用损失经验，结合当前状况以及对未来经济状况的预测，通过违约风险敞口和整个存续期预期信用损失率，计算预期信用损失。对于按账龄划分组合的应收账款，账龄自确认之日起计算。</w:t>
      </w:r>
    </w:p>
    <w:p w14:paraId="3F376A73" w14:textId="77777777" w:rsidR="00AF139E" w:rsidRPr="005B5EC1" w:rsidRDefault="00000000" w:rsidP="000B1262">
      <w:pPr>
        <w:pStyle w:val="a3"/>
        <w:spacing w:before="0" w:beforeAutospacing="0" w:after="0" w:afterAutospacing="0" w:line="276" w:lineRule="auto"/>
        <w:ind w:firstLine="357"/>
        <w:jc w:val="both"/>
        <w:divId w:val="154692916"/>
        <w:rPr>
          <w:rFonts w:ascii="Times New Roman" w:hAnsi="Times New Roman" w:cs="Times New Roman"/>
          <w:sz w:val="18"/>
          <w:szCs w:val="18"/>
        </w:rPr>
      </w:pPr>
      <w:r w:rsidRPr="005B5EC1">
        <w:rPr>
          <w:rFonts w:ascii="Times New Roman" w:hAnsi="Times New Roman" w:cs="Times New Roman"/>
          <w:sz w:val="18"/>
          <w:szCs w:val="18"/>
        </w:rPr>
        <w:t>应收票据及应收账款组合：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4"/>
        <w:gridCol w:w="4729"/>
      </w:tblGrid>
      <w:tr w:rsidR="00AF139E" w:rsidRPr="005B5EC1" w14:paraId="64A1C744" w14:textId="77777777" w:rsidTr="000B1262">
        <w:trPr>
          <w:divId w:val="154692916"/>
          <w:trHeight w:val="340"/>
        </w:trPr>
        <w:tc>
          <w:tcPr>
            <w:tcW w:w="2600" w:type="pct"/>
            <w:tcMar>
              <w:top w:w="0" w:type="dxa"/>
              <w:left w:w="108" w:type="dxa"/>
              <w:bottom w:w="0" w:type="dxa"/>
              <w:right w:w="108" w:type="dxa"/>
            </w:tcMar>
            <w:vAlign w:val="center"/>
            <w:hideMark/>
          </w:tcPr>
          <w:p w14:paraId="4BFB8E7A"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2400" w:type="pct"/>
            <w:tcMar>
              <w:top w:w="0" w:type="dxa"/>
              <w:left w:w="108" w:type="dxa"/>
              <w:bottom w:w="0" w:type="dxa"/>
              <w:right w:w="108" w:type="dxa"/>
            </w:tcMar>
            <w:vAlign w:val="center"/>
            <w:hideMark/>
          </w:tcPr>
          <w:p w14:paraId="0C95A9DA"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确定组合的依据</w:t>
            </w:r>
          </w:p>
        </w:tc>
      </w:tr>
      <w:tr w:rsidR="00AF139E" w:rsidRPr="005B5EC1" w14:paraId="234777B2" w14:textId="77777777" w:rsidTr="000B1262">
        <w:trPr>
          <w:divId w:val="154692916"/>
          <w:trHeight w:val="340"/>
        </w:trPr>
        <w:tc>
          <w:tcPr>
            <w:tcW w:w="2600" w:type="pct"/>
            <w:noWrap/>
            <w:tcMar>
              <w:top w:w="0" w:type="dxa"/>
              <w:left w:w="108" w:type="dxa"/>
              <w:bottom w:w="0" w:type="dxa"/>
              <w:right w:w="108" w:type="dxa"/>
            </w:tcMar>
            <w:vAlign w:val="center"/>
            <w:hideMark/>
          </w:tcPr>
          <w:p w14:paraId="2D6668F3"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应收票据组合</w:t>
            </w:r>
            <w:r w:rsidRPr="005B5EC1">
              <w:rPr>
                <w:rFonts w:ascii="Times New Roman" w:hAnsi="Times New Roman" w:cs="Times New Roman"/>
                <w:sz w:val="18"/>
                <w:szCs w:val="18"/>
              </w:rPr>
              <w:t>1</w:t>
            </w:r>
            <w:r w:rsidRPr="005B5EC1">
              <w:rPr>
                <w:rFonts w:ascii="Times New Roman" w:hAnsi="Times New Roman" w:cs="Times New Roman"/>
                <w:sz w:val="18"/>
                <w:szCs w:val="18"/>
              </w:rPr>
              <w:t>：银行承兑汇票</w:t>
            </w:r>
          </w:p>
        </w:tc>
        <w:tc>
          <w:tcPr>
            <w:tcW w:w="2400" w:type="pct"/>
            <w:noWrap/>
            <w:tcMar>
              <w:top w:w="0" w:type="dxa"/>
              <w:left w:w="108" w:type="dxa"/>
              <w:bottom w:w="0" w:type="dxa"/>
              <w:right w:w="108" w:type="dxa"/>
            </w:tcMar>
            <w:vAlign w:val="center"/>
            <w:hideMark/>
          </w:tcPr>
          <w:p w14:paraId="4CD505AC"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银行承兑汇票，承兑人为信用风险较小的银行</w:t>
            </w:r>
          </w:p>
        </w:tc>
      </w:tr>
      <w:tr w:rsidR="00AF139E" w:rsidRPr="005B5EC1" w14:paraId="3ADAEB75" w14:textId="77777777" w:rsidTr="000B1262">
        <w:trPr>
          <w:divId w:val="154692916"/>
          <w:trHeight w:val="340"/>
        </w:trPr>
        <w:tc>
          <w:tcPr>
            <w:tcW w:w="2600" w:type="pct"/>
            <w:noWrap/>
            <w:tcMar>
              <w:top w:w="0" w:type="dxa"/>
              <w:left w:w="108" w:type="dxa"/>
              <w:bottom w:w="0" w:type="dxa"/>
              <w:right w:w="108" w:type="dxa"/>
            </w:tcMar>
            <w:vAlign w:val="center"/>
            <w:hideMark/>
          </w:tcPr>
          <w:p w14:paraId="07C7A3D6"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lastRenderedPageBreak/>
              <w:t>应收票据组合</w:t>
            </w:r>
            <w:r w:rsidRPr="005B5EC1">
              <w:rPr>
                <w:rFonts w:ascii="Times New Roman" w:hAnsi="Times New Roman" w:cs="Times New Roman"/>
                <w:sz w:val="18"/>
                <w:szCs w:val="18"/>
              </w:rPr>
              <w:t>2</w:t>
            </w:r>
            <w:r w:rsidRPr="005B5EC1">
              <w:rPr>
                <w:rFonts w:ascii="Times New Roman" w:hAnsi="Times New Roman" w:cs="Times New Roman"/>
                <w:sz w:val="18"/>
                <w:szCs w:val="18"/>
              </w:rPr>
              <w:t>：商业承兑汇票</w:t>
            </w:r>
          </w:p>
        </w:tc>
        <w:tc>
          <w:tcPr>
            <w:tcW w:w="2400" w:type="pct"/>
            <w:noWrap/>
            <w:tcMar>
              <w:top w:w="0" w:type="dxa"/>
              <w:left w:w="108" w:type="dxa"/>
              <w:bottom w:w="0" w:type="dxa"/>
              <w:right w:w="108" w:type="dxa"/>
            </w:tcMar>
            <w:vAlign w:val="center"/>
            <w:hideMark/>
          </w:tcPr>
          <w:p w14:paraId="10E4F6C0"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评估为正常的、低风险的商业承兑汇票</w:t>
            </w:r>
          </w:p>
        </w:tc>
      </w:tr>
      <w:tr w:rsidR="00AF139E" w:rsidRPr="005B5EC1" w14:paraId="0BE3568F" w14:textId="77777777" w:rsidTr="000B1262">
        <w:trPr>
          <w:divId w:val="154692916"/>
          <w:trHeight w:val="340"/>
        </w:trPr>
        <w:tc>
          <w:tcPr>
            <w:tcW w:w="2600" w:type="pct"/>
            <w:noWrap/>
            <w:tcMar>
              <w:top w:w="0" w:type="dxa"/>
              <w:left w:w="108" w:type="dxa"/>
              <w:bottom w:w="0" w:type="dxa"/>
              <w:right w:w="108" w:type="dxa"/>
            </w:tcMar>
            <w:vAlign w:val="center"/>
            <w:hideMark/>
          </w:tcPr>
          <w:p w14:paraId="7B87BAD2"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应收账款组合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w:t>
            </w:r>
          </w:p>
        </w:tc>
        <w:tc>
          <w:tcPr>
            <w:tcW w:w="2400" w:type="pct"/>
            <w:noWrap/>
            <w:tcMar>
              <w:top w:w="0" w:type="dxa"/>
              <w:left w:w="108" w:type="dxa"/>
              <w:bottom w:w="0" w:type="dxa"/>
              <w:right w:w="108" w:type="dxa"/>
            </w:tcMar>
            <w:vAlign w:val="center"/>
            <w:hideMark/>
          </w:tcPr>
          <w:p w14:paraId="211709E5"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合并范围内各家单位之间的往来款项</w:t>
            </w:r>
          </w:p>
        </w:tc>
      </w:tr>
      <w:tr w:rsidR="00AF139E" w:rsidRPr="005B5EC1" w14:paraId="166226D2" w14:textId="77777777" w:rsidTr="000B1262">
        <w:trPr>
          <w:divId w:val="154692916"/>
          <w:trHeight w:val="340"/>
        </w:trPr>
        <w:tc>
          <w:tcPr>
            <w:tcW w:w="2600" w:type="pct"/>
            <w:noWrap/>
            <w:tcMar>
              <w:top w:w="0" w:type="dxa"/>
              <w:left w:w="108" w:type="dxa"/>
              <w:bottom w:w="0" w:type="dxa"/>
              <w:right w:w="108" w:type="dxa"/>
            </w:tcMar>
            <w:vAlign w:val="center"/>
            <w:hideMark/>
          </w:tcPr>
          <w:p w14:paraId="2B7C608D"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应收账款组合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c>
        <w:tc>
          <w:tcPr>
            <w:tcW w:w="2400" w:type="pct"/>
            <w:noWrap/>
            <w:tcMar>
              <w:top w:w="0" w:type="dxa"/>
              <w:left w:w="108" w:type="dxa"/>
              <w:bottom w:w="0" w:type="dxa"/>
              <w:right w:w="108" w:type="dxa"/>
            </w:tcMar>
            <w:vAlign w:val="center"/>
            <w:hideMark/>
          </w:tcPr>
          <w:p w14:paraId="5D90C854"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本组合以应收款项的账龄作为信用风险特征</w:t>
            </w:r>
          </w:p>
        </w:tc>
      </w:tr>
    </w:tbl>
    <w:p w14:paraId="4E77F3C5" w14:textId="77777777" w:rsidR="00AF139E" w:rsidRPr="005B5EC1" w:rsidRDefault="00000000" w:rsidP="000B1262">
      <w:pPr>
        <w:pStyle w:val="a3"/>
        <w:spacing w:before="0" w:beforeAutospacing="0" w:after="0" w:afterAutospacing="0" w:line="276" w:lineRule="auto"/>
        <w:ind w:firstLine="357"/>
        <w:jc w:val="both"/>
        <w:divId w:val="154692916"/>
        <w:rPr>
          <w:rFonts w:ascii="Times New Roman" w:hAnsi="Times New Roman" w:cs="Times New Roman"/>
          <w:sz w:val="18"/>
          <w:szCs w:val="18"/>
        </w:rPr>
      </w:pPr>
      <w:r w:rsidRPr="005B5EC1">
        <w:rPr>
          <w:rFonts w:ascii="Times New Roman" w:hAnsi="Times New Roman" w:cs="Times New Roman"/>
          <w:sz w:val="18"/>
          <w:szCs w:val="18"/>
        </w:rPr>
        <w:t>各组合预期信用损失率</w:t>
      </w:r>
    </w:p>
    <w:p w14:paraId="6ACFB038" w14:textId="77777777" w:rsidR="00AF139E" w:rsidRPr="005B5EC1" w:rsidRDefault="00000000" w:rsidP="000B1262">
      <w:pPr>
        <w:pStyle w:val="a3"/>
        <w:spacing w:before="0" w:beforeAutospacing="0" w:after="0" w:afterAutospacing="0" w:line="276" w:lineRule="auto"/>
        <w:ind w:firstLine="357"/>
        <w:jc w:val="both"/>
        <w:divId w:val="154692916"/>
        <w:rPr>
          <w:rFonts w:ascii="Times New Roman" w:hAnsi="Times New Roman" w:cs="Times New Roman"/>
          <w:sz w:val="18"/>
          <w:szCs w:val="18"/>
        </w:rPr>
      </w:pPr>
      <w:r w:rsidRPr="005B5EC1">
        <w:rPr>
          <w:rFonts w:ascii="Times New Roman" w:hAnsi="Times New Roman" w:cs="Times New Roman"/>
          <w:sz w:val="18"/>
          <w:szCs w:val="18"/>
        </w:rPr>
        <w:t>应收票据组合</w:t>
      </w:r>
      <w:r w:rsidRPr="005B5EC1">
        <w:rPr>
          <w:rFonts w:ascii="Times New Roman" w:hAnsi="Times New Roman" w:cs="Times New Roman"/>
          <w:sz w:val="18"/>
          <w:szCs w:val="18"/>
        </w:rPr>
        <w:t>1</w:t>
      </w:r>
      <w:r w:rsidRPr="005B5EC1">
        <w:rPr>
          <w:rFonts w:ascii="Times New Roman" w:hAnsi="Times New Roman" w:cs="Times New Roman"/>
          <w:sz w:val="18"/>
          <w:szCs w:val="18"/>
        </w:rPr>
        <w:t>：银行承兑汇票：承兑人具有较高的信用评级，历史上未发生票据违约，一般不计提坏账准备。</w:t>
      </w:r>
    </w:p>
    <w:p w14:paraId="3CA84483" w14:textId="77777777" w:rsidR="00AF139E" w:rsidRPr="005B5EC1" w:rsidRDefault="00000000" w:rsidP="000B1262">
      <w:pPr>
        <w:pStyle w:val="a3"/>
        <w:spacing w:before="0" w:beforeAutospacing="0" w:after="0" w:afterAutospacing="0" w:line="276" w:lineRule="auto"/>
        <w:ind w:firstLine="357"/>
        <w:jc w:val="both"/>
        <w:divId w:val="154692916"/>
        <w:rPr>
          <w:rFonts w:ascii="Times New Roman" w:hAnsi="Times New Roman" w:cs="Times New Roman"/>
          <w:sz w:val="18"/>
          <w:szCs w:val="18"/>
        </w:rPr>
      </w:pPr>
      <w:r w:rsidRPr="005B5EC1">
        <w:rPr>
          <w:rFonts w:ascii="Times New Roman" w:hAnsi="Times New Roman" w:cs="Times New Roman"/>
          <w:sz w:val="18"/>
          <w:szCs w:val="18"/>
        </w:rPr>
        <w:t>应收票据组合</w:t>
      </w:r>
      <w:r w:rsidRPr="005B5EC1">
        <w:rPr>
          <w:rFonts w:ascii="Times New Roman" w:hAnsi="Times New Roman" w:cs="Times New Roman"/>
          <w:sz w:val="18"/>
          <w:szCs w:val="18"/>
        </w:rPr>
        <w:t>2</w:t>
      </w:r>
      <w:r w:rsidRPr="005B5EC1">
        <w:rPr>
          <w:rFonts w:ascii="Times New Roman" w:hAnsi="Times New Roman" w:cs="Times New Roman"/>
          <w:sz w:val="18"/>
          <w:szCs w:val="18"/>
        </w:rPr>
        <w:t>：商业承兑汇票：参照应收账款确定预期信用损失率计提坏账准备。</w:t>
      </w:r>
    </w:p>
    <w:p w14:paraId="1E592C49" w14:textId="77777777" w:rsidR="00E32FE0" w:rsidRPr="005B5EC1" w:rsidRDefault="00000000">
      <w:pPr>
        <w:pStyle w:val="3"/>
        <w:spacing w:line="280" w:lineRule="exact"/>
        <w:jc w:val="left"/>
        <w:rPr>
          <w:rFonts w:ascii="Times New Roman" w:hAnsi="Times New Roman" w:cs="Times New Roman"/>
          <w:b/>
          <w:bCs/>
        </w:rPr>
      </w:pPr>
      <w:bookmarkStart w:id="188" w:name="_Toc989077"/>
      <w:r w:rsidRPr="005B5EC1">
        <w:rPr>
          <w:rFonts w:ascii="Times New Roman" w:hAnsi="Times New Roman" w:cs="Times New Roman"/>
          <w:b/>
          <w:bCs/>
        </w:rPr>
        <w:t>13</w:t>
      </w:r>
      <w:r w:rsidRPr="005B5EC1">
        <w:rPr>
          <w:rFonts w:ascii="Times New Roman" w:hAnsi="Times New Roman" w:cs="Times New Roman"/>
          <w:b/>
          <w:bCs/>
        </w:rPr>
        <w:t>、应收账款</w:t>
      </w:r>
      <w:bookmarkEnd w:id="188"/>
    </w:p>
    <w:p w14:paraId="5E04A610" w14:textId="77777777" w:rsidR="00AF139E" w:rsidRPr="005B5EC1" w:rsidRDefault="00000000" w:rsidP="000B1262">
      <w:pPr>
        <w:pStyle w:val="a3"/>
        <w:spacing w:before="0" w:beforeAutospacing="0" w:after="0" w:afterAutospacing="0" w:line="276" w:lineRule="auto"/>
        <w:ind w:firstLine="357"/>
        <w:jc w:val="both"/>
        <w:divId w:val="531308555"/>
        <w:rPr>
          <w:rFonts w:ascii="Times New Roman" w:hAnsi="Times New Roman" w:cs="Times New Roman"/>
          <w:sz w:val="18"/>
          <w:szCs w:val="18"/>
        </w:rPr>
      </w:pPr>
      <w:r w:rsidRPr="005B5EC1">
        <w:rPr>
          <w:rFonts w:ascii="Times New Roman" w:hAnsi="Times New Roman" w:cs="Times New Roman"/>
          <w:sz w:val="18"/>
          <w:szCs w:val="18"/>
        </w:rPr>
        <w:t>应收账款组合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：应收合并范围内关联方款项组合：合并范围内公司的往来款，一般不计提坏账准备，除非子公司发生明显的大额亏损考虑单项计提坏账准备。</w:t>
      </w:r>
    </w:p>
    <w:p w14:paraId="7363A0D5" w14:textId="77777777" w:rsidR="00AF139E" w:rsidRPr="005B5EC1" w:rsidRDefault="00000000" w:rsidP="000B1262">
      <w:pPr>
        <w:pStyle w:val="a3"/>
        <w:spacing w:before="0" w:beforeAutospacing="0" w:after="0" w:afterAutospacing="0" w:line="276" w:lineRule="auto"/>
        <w:ind w:firstLine="357"/>
        <w:jc w:val="both"/>
        <w:divId w:val="531308555"/>
        <w:rPr>
          <w:rFonts w:ascii="Times New Roman" w:hAnsi="Times New Roman" w:cs="Times New Roman"/>
          <w:sz w:val="18"/>
          <w:szCs w:val="18"/>
        </w:rPr>
      </w:pPr>
      <w:r w:rsidRPr="005B5EC1">
        <w:rPr>
          <w:rFonts w:ascii="Times New Roman" w:hAnsi="Times New Roman" w:cs="Times New Roman"/>
          <w:sz w:val="18"/>
          <w:szCs w:val="18"/>
        </w:rPr>
        <w:t>应收账款组合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4"/>
        <w:gridCol w:w="4729"/>
      </w:tblGrid>
      <w:tr w:rsidR="00AF139E" w:rsidRPr="005B5EC1" w14:paraId="3EC46B83" w14:textId="77777777" w:rsidTr="000B1262">
        <w:trPr>
          <w:divId w:val="531308555"/>
          <w:trHeight w:val="340"/>
          <w:jc w:val="center"/>
        </w:trPr>
        <w:tc>
          <w:tcPr>
            <w:tcW w:w="2600" w:type="pct"/>
            <w:tcMar>
              <w:top w:w="0" w:type="dxa"/>
              <w:left w:w="108" w:type="dxa"/>
              <w:bottom w:w="0" w:type="dxa"/>
              <w:right w:w="108" w:type="dxa"/>
            </w:tcMar>
            <w:vAlign w:val="center"/>
            <w:hideMark/>
          </w:tcPr>
          <w:p w14:paraId="501DF03B"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账龄</w:t>
            </w:r>
          </w:p>
        </w:tc>
        <w:tc>
          <w:tcPr>
            <w:tcW w:w="2400" w:type="pct"/>
            <w:tcMar>
              <w:top w:w="0" w:type="dxa"/>
              <w:left w:w="108" w:type="dxa"/>
              <w:bottom w:w="0" w:type="dxa"/>
              <w:right w:w="108" w:type="dxa"/>
            </w:tcMar>
            <w:vAlign w:val="center"/>
            <w:hideMark/>
          </w:tcPr>
          <w:p w14:paraId="2795F428"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预期信用损失率（</w:t>
            </w:r>
            <w:r w:rsidRPr="005B5EC1">
              <w:rPr>
                <w:rFonts w:ascii="Times New Roman" w:hAnsi="Times New Roman" w:cs="Times New Roman"/>
                <w:sz w:val="18"/>
                <w:szCs w:val="18"/>
              </w:rPr>
              <w:t>%</w:t>
            </w:r>
            <w:r w:rsidRPr="005B5EC1">
              <w:rPr>
                <w:rFonts w:ascii="Times New Roman" w:hAnsi="Times New Roman" w:cs="Times New Roman"/>
                <w:sz w:val="18"/>
                <w:szCs w:val="18"/>
              </w:rPr>
              <w:t>）</w:t>
            </w:r>
          </w:p>
        </w:tc>
      </w:tr>
      <w:tr w:rsidR="00AF139E" w:rsidRPr="005B5EC1" w14:paraId="216863D6" w14:textId="77777777" w:rsidTr="000B1262">
        <w:trPr>
          <w:divId w:val="531308555"/>
          <w:trHeight w:val="340"/>
          <w:jc w:val="center"/>
        </w:trPr>
        <w:tc>
          <w:tcPr>
            <w:tcW w:w="2600" w:type="pct"/>
            <w:noWrap/>
            <w:tcMar>
              <w:top w:w="0" w:type="dxa"/>
              <w:left w:w="108" w:type="dxa"/>
              <w:bottom w:w="0" w:type="dxa"/>
              <w:right w:w="108" w:type="dxa"/>
            </w:tcMar>
            <w:vAlign w:val="center"/>
            <w:hideMark/>
          </w:tcPr>
          <w:p w14:paraId="105D5749"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1-3</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67EA4510"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2.25%</w:t>
            </w:r>
          </w:p>
        </w:tc>
      </w:tr>
      <w:tr w:rsidR="00AF139E" w:rsidRPr="005B5EC1" w14:paraId="162E7AC6" w14:textId="77777777" w:rsidTr="000B1262">
        <w:trPr>
          <w:divId w:val="531308555"/>
          <w:trHeight w:val="340"/>
          <w:jc w:val="center"/>
        </w:trPr>
        <w:tc>
          <w:tcPr>
            <w:tcW w:w="2600" w:type="pct"/>
            <w:noWrap/>
            <w:tcMar>
              <w:top w:w="0" w:type="dxa"/>
              <w:left w:w="108" w:type="dxa"/>
              <w:bottom w:w="0" w:type="dxa"/>
              <w:right w:w="108" w:type="dxa"/>
            </w:tcMar>
            <w:vAlign w:val="center"/>
            <w:hideMark/>
          </w:tcPr>
          <w:p w14:paraId="3CCAC73C"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4-6</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hideMark/>
          </w:tcPr>
          <w:p w14:paraId="4A4A0F01"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2.25%</w:t>
            </w:r>
          </w:p>
        </w:tc>
      </w:tr>
      <w:tr w:rsidR="00AF139E" w:rsidRPr="005B5EC1" w14:paraId="400DC018" w14:textId="77777777" w:rsidTr="000B1262">
        <w:trPr>
          <w:divId w:val="531308555"/>
          <w:trHeight w:val="340"/>
          <w:jc w:val="center"/>
        </w:trPr>
        <w:tc>
          <w:tcPr>
            <w:tcW w:w="2600" w:type="pct"/>
            <w:noWrap/>
            <w:tcMar>
              <w:top w:w="0" w:type="dxa"/>
              <w:left w:w="108" w:type="dxa"/>
              <w:bottom w:w="0" w:type="dxa"/>
              <w:right w:w="108" w:type="dxa"/>
            </w:tcMar>
            <w:vAlign w:val="center"/>
            <w:hideMark/>
          </w:tcPr>
          <w:p w14:paraId="1028B681"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7-9</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hideMark/>
          </w:tcPr>
          <w:p w14:paraId="04EE2BAA"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2.25%</w:t>
            </w:r>
          </w:p>
        </w:tc>
      </w:tr>
      <w:tr w:rsidR="00AF139E" w:rsidRPr="005B5EC1" w14:paraId="6D2A57EC" w14:textId="77777777" w:rsidTr="000B1262">
        <w:trPr>
          <w:divId w:val="531308555"/>
          <w:trHeight w:val="340"/>
          <w:jc w:val="center"/>
        </w:trPr>
        <w:tc>
          <w:tcPr>
            <w:tcW w:w="2600" w:type="pct"/>
            <w:noWrap/>
            <w:tcMar>
              <w:top w:w="0" w:type="dxa"/>
              <w:left w:w="108" w:type="dxa"/>
              <w:bottom w:w="0" w:type="dxa"/>
              <w:right w:w="108" w:type="dxa"/>
            </w:tcMar>
            <w:vAlign w:val="center"/>
            <w:hideMark/>
          </w:tcPr>
          <w:p w14:paraId="6A8F406B"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10-12</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hideMark/>
          </w:tcPr>
          <w:p w14:paraId="14A731B3"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2.25%</w:t>
            </w:r>
          </w:p>
        </w:tc>
      </w:tr>
      <w:tr w:rsidR="00AF139E" w:rsidRPr="005B5EC1" w14:paraId="2B2A00F5" w14:textId="77777777" w:rsidTr="000B1262">
        <w:trPr>
          <w:divId w:val="531308555"/>
          <w:trHeight w:val="340"/>
          <w:jc w:val="center"/>
        </w:trPr>
        <w:tc>
          <w:tcPr>
            <w:tcW w:w="2600" w:type="pct"/>
            <w:noWrap/>
            <w:tcMar>
              <w:top w:w="0" w:type="dxa"/>
              <w:left w:w="108" w:type="dxa"/>
              <w:bottom w:w="0" w:type="dxa"/>
              <w:right w:w="108" w:type="dxa"/>
            </w:tcMar>
            <w:vAlign w:val="center"/>
            <w:hideMark/>
          </w:tcPr>
          <w:p w14:paraId="0C7BE5E9"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w:t>
            </w:r>
            <w:r w:rsidRPr="005B5EC1">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082FC1C9"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25%</w:t>
            </w:r>
          </w:p>
        </w:tc>
      </w:tr>
      <w:tr w:rsidR="00AF139E" w:rsidRPr="005B5EC1" w14:paraId="4B3C2053" w14:textId="77777777" w:rsidTr="000B1262">
        <w:trPr>
          <w:divId w:val="531308555"/>
          <w:trHeight w:val="340"/>
          <w:jc w:val="center"/>
        </w:trPr>
        <w:tc>
          <w:tcPr>
            <w:tcW w:w="2600" w:type="pct"/>
            <w:noWrap/>
            <w:tcMar>
              <w:top w:w="0" w:type="dxa"/>
              <w:left w:w="108" w:type="dxa"/>
              <w:bottom w:w="0" w:type="dxa"/>
              <w:right w:w="108" w:type="dxa"/>
            </w:tcMar>
            <w:vAlign w:val="center"/>
            <w:hideMark/>
          </w:tcPr>
          <w:p w14:paraId="05736EAE"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2-3</w:t>
            </w:r>
            <w:r w:rsidRPr="005B5EC1">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3869BB1D"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50%</w:t>
            </w:r>
          </w:p>
        </w:tc>
      </w:tr>
      <w:tr w:rsidR="00AF139E" w:rsidRPr="005B5EC1" w14:paraId="1C607FA4" w14:textId="77777777" w:rsidTr="000B1262">
        <w:trPr>
          <w:divId w:val="531308555"/>
          <w:trHeight w:val="340"/>
          <w:jc w:val="center"/>
        </w:trPr>
        <w:tc>
          <w:tcPr>
            <w:tcW w:w="2600" w:type="pct"/>
            <w:noWrap/>
            <w:tcMar>
              <w:top w:w="0" w:type="dxa"/>
              <w:left w:w="108" w:type="dxa"/>
              <w:bottom w:w="0" w:type="dxa"/>
              <w:right w:w="108" w:type="dxa"/>
            </w:tcMar>
            <w:vAlign w:val="center"/>
            <w:hideMark/>
          </w:tcPr>
          <w:p w14:paraId="5CB0F35B"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3</w:t>
            </w:r>
            <w:r w:rsidRPr="005B5EC1">
              <w:rPr>
                <w:rFonts w:ascii="Times New Roman" w:hAnsi="Times New Roman" w:cs="Times New Roman"/>
                <w:sz w:val="18"/>
                <w:szCs w:val="18"/>
              </w:rPr>
              <w:t>年以上</w:t>
            </w:r>
          </w:p>
        </w:tc>
        <w:tc>
          <w:tcPr>
            <w:tcW w:w="2400" w:type="pct"/>
            <w:noWrap/>
            <w:tcMar>
              <w:top w:w="0" w:type="dxa"/>
              <w:left w:w="108" w:type="dxa"/>
              <w:bottom w:w="0" w:type="dxa"/>
              <w:right w:w="108" w:type="dxa"/>
            </w:tcMar>
            <w:vAlign w:val="center"/>
            <w:hideMark/>
          </w:tcPr>
          <w:p w14:paraId="0B74D6C8"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80%</w:t>
            </w:r>
          </w:p>
        </w:tc>
      </w:tr>
    </w:tbl>
    <w:p w14:paraId="4631B230" w14:textId="77777777" w:rsidR="00E32FE0" w:rsidRPr="005B5EC1" w:rsidRDefault="00000000">
      <w:pPr>
        <w:pStyle w:val="3"/>
        <w:spacing w:line="280" w:lineRule="exact"/>
        <w:jc w:val="left"/>
        <w:rPr>
          <w:rFonts w:ascii="Times New Roman" w:hAnsi="Times New Roman" w:cs="Times New Roman"/>
          <w:b/>
          <w:bCs/>
        </w:rPr>
      </w:pPr>
      <w:bookmarkStart w:id="189" w:name="_Toc989078"/>
      <w:r w:rsidRPr="005B5EC1">
        <w:rPr>
          <w:rFonts w:ascii="Times New Roman" w:hAnsi="Times New Roman" w:cs="Times New Roman"/>
          <w:b/>
          <w:bCs/>
        </w:rPr>
        <w:t>14</w:t>
      </w:r>
      <w:r w:rsidRPr="005B5EC1">
        <w:rPr>
          <w:rFonts w:ascii="Times New Roman" w:hAnsi="Times New Roman" w:cs="Times New Roman"/>
          <w:b/>
          <w:bCs/>
        </w:rPr>
        <w:t>、应收款项融资</w:t>
      </w:r>
      <w:bookmarkEnd w:id="189"/>
    </w:p>
    <w:p w14:paraId="7B8DC874" w14:textId="77777777" w:rsidR="00AF139E" w:rsidRPr="005B5EC1" w:rsidRDefault="00000000" w:rsidP="000B1262">
      <w:pPr>
        <w:pStyle w:val="a3"/>
        <w:spacing w:before="0" w:beforeAutospacing="0" w:after="0" w:afterAutospacing="0" w:line="276" w:lineRule="auto"/>
        <w:ind w:firstLine="357"/>
        <w:jc w:val="both"/>
        <w:divId w:val="1679648256"/>
        <w:rPr>
          <w:rFonts w:ascii="Times New Roman" w:hAnsi="Times New Roman" w:cs="Times New Roman"/>
          <w:sz w:val="18"/>
          <w:szCs w:val="18"/>
        </w:rPr>
      </w:pPr>
      <w:r w:rsidRPr="005B5EC1">
        <w:rPr>
          <w:rFonts w:ascii="Times New Roman" w:hAnsi="Times New Roman" w:cs="Times New Roman"/>
          <w:sz w:val="18"/>
          <w:szCs w:val="18"/>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参见本附注五、</w:t>
      </w:r>
      <w:r w:rsidRPr="005B5EC1">
        <w:rPr>
          <w:rFonts w:ascii="Times New Roman" w:hAnsi="Times New Roman" w:cs="Times New Roman"/>
          <w:sz w:val="18"/>
          <w:szCs w:val="18"/>
        </w:rPr>
        <w:t>11“</w:t>
      </w:r>
      <w:r w:rsidRPr="005B5EC1">
        <w:rPr>
          <w:rFonts w:ascii="Times New Roman" w:hAnsi="Times New Roman" w:cs="Times New Roman"/>
          <w:sz w:val="18"/>
          <w:szCs w:val="18"/>
        </w:rPr>
        <w:t>金融工具</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w:t>
      </w:r>
    </w:p>
    <w:p w14:paraId="0950155C" w14:textId="77777777" w:rsidR="00E32FE0" w:rsidRPr="005B5EC1" w:rsidRDefault="00000000">
      <w:pPr>
        <w:pStyle w:val="3"/>
        <w:spacing w:line="280" w:lineRule="exact"/>
        <w:jc w:val="left"/>
        <w:rPr>
          <w:rFonts w:ascii="Times New Roman" w:hAnsi="Times New Roman" w:cs="Times New Roman"/>
          <w:b/>
          <w:bCs/>
        </w:rPr>
      </w:pPr>
      <w:bookmarkStart w:id="190" w:name="_Toc989079"/>
      <w:r w:rsidRPr="005B5EC1">
        <w:rPr>
          <w:rFonts w:ascii="Times New Roman" w:hAnsi="Times New Roman" w:cs="Times New Roman"/>
          <w:b/>
          <w:bCs/>
        </w:rPr>
        <w:t>15</w:t>
      </w:r>
      <w:r w:rsidRPr="005B5EC1">
        <w:rPr>
          <w:rFonts w:ascii="Times New Roman" w:hAnsi="Times New Roman" w:cs="Times New Roman"/>
          <w:b/>
          <w:bCs/>
        </w:rPr>
        <w:t>、其他应收款</w:t>
      </w:r>
      <w:bookmarkEnd w:id="190"/>
    </w:p>
    <w:p w14:paraId="605030C7" w14:textId="77777777" w:rsidR="00AF139E" w:rsidRPr="005B5EC1" w:rsidRDefault="00000000" w:rsidP="000B1262">
      <w:pPr>
        <w:pStyle w:val="a3"/>
        <w:spacing w:before="0" w:beforeAutospacing="0" w:after="0" w:afterAutospacing="0" w:line="276" w:lineRule="auto"/>
        <w:ind w:firstLine="357"/>
        <w:jc w:val="both"/>
        <w:divId w:val="1091270893"/>
        <w:rPr>
          <w:rFonts w:ascii="Times New Roman" w:hAnsi="Times New Roman" w:cs="Times New Roman"/>
          <w:sz w:val="18"/>
          <w:szCs w:val="18"/>
        </w:rPr>
      </w:pPr>
      <w:r w:rsidRPr="005B5EC1">
        <w:rPr>
          <w:rFonts w:ascii="Times New Roman" w:hAnsi="Times New Roman" w:cs="Times New Roman"/>
          <w:sz w:val="18"/>
          <w:szCs w:val="18"/>
        </w:rPr>
        <w:t>按照附注五、</w:t>
      </w:r>
      <w:r w:rsidRPr="005B5EC1">
        <w:rPr>
          <w:rFonts w:ascii="Times New Roman" w:hAnsi="Times New Roman" w:cs="Times New Roman"/>
          <w:sz w:val="18"/>
          <w:szCs w:val="18"/>
        </w:rPr>
        <w:t>11</w:t>
      </w: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减值准备的确认和计量中的描述确认和计量减值。当单项其他应收款无法以合理成本评估预期信用损失的信息时，本公司依据信用风险特征将其他应收款划分为若干组合，在组合基础上计算预期信用损失。对于按账龄划分组合的其他应收款，账龄自确认之日起计算。确定组合的依据如下：</w:t>
      </w:r>
    </w:p>
    <w:tbl>
      <w:tblPr>
        <w:tblW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4"/>
        <w:gridCol w:w="8099"/>
      </w:tblGrid>
      <w:tr w:rsidR="00AF139E" w:rsidRPr="005B5EC1" w14:paraId="7ACA7443" w14:textId="77777777" w:rsidTr="000B1262">
        <w:trPr>
          <w:divId w:val="1091270893"/>
          <w:trHeight w:val="378"/>
        </w:trPr>
        <w:tc>
          <w:tcPr>
            <w:tcW w:w="2500" w:type="pct"/>
            <w:tcMar>
              <w:top w:w="0" w:type="dxa"/>
              <w:left w:w="108" w:type="dxa"/>
              <w:bottom w:w="0" w:type="dxa"/>
              <w:right w:w="108" w:type="dxa"/>
            </w:tcMar>
            <w:vAlign w:val="center"/>
            <w:hideMark/>
          </w:tcPr>
          <w:p w14:paraId="7F6C31A2"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2500" w:type="pct"/>
            <w:tcMar>
              <w:top w:w="0" w:type="dxa"/>
              <w:left w:w="108" w:type="dxa"/>
              <w:bottom w:w="0" w:type="dxa"/>
              <w:right w:w="108" w:type="dxa"/>
            </w:tcMar>
            <w:vAlign w:val="center"/>
            <w:hideMark/>
          </w:tcPr>
          <w:p w14:paraId="74B910E7" w14:textId="77777777" w:rsidR="00AF139E" w:rsidRPr="005B5EC1" w:rsidRDefault="00000000" w:rsidP="000B1262">
            <w:pPr>
              <w:pStyle w:val="a3"/>
              <w:spacing w:before="0" w:beforeAutospacing="0" w:after="0" w:afterAutospacing="0" w:line="276" w:lineRule="auto"/>
              <w:ind w:firstLine="360"/>
              <w:jc w:val="center"/>
              <w:rPr>
                <w:rFonts w:ascii="Times New Roman" w:hAnsi="Times New Roman" w:cs="Times New Roman"/>
                <w:sz w:val="21"/>
                <w:szCs w:val="21"/>
              </w:rPr>
            </w:pPr>
            <w:r w:rsidRPr="005B5EC1">
              <w:rPr>
                <w:rFonts w:ascii="Times New Roman" w:hAnsi="Times New Roman" w:cs="Times New Roman"/>
                <w:sz w:val="18"/>
                <w:szCs w:val="18"/>
              </w:rPr>
              <w:t>确定组合的依据</w:t>
            </w:r>
          </w:p>
        </w:tc>
      </w:tr>
      <w:tr w:rsidR="00AF139E" w:rsidRPr="005B5EC1" w14:paraId="16719499" w14:textId="77777777" w:rsidTr="000B1262">
        <w:trPr>
          <w:divId w:val="1091270893"/>
          <w:trHeight w:val="300"/>
        </w:trPr>
        <w:tc>
          <w:tcPr>
            <w:tcW w:w="2500" w:type="pct"/>
            <w:noWrap/>
            <w:tcMar>
              <w:top w:w="0" w:type="dxa"/>
              <w:left w:w="108" w:type="dxa"/>
              <w:bottom w:w="0" w:type="dxa"/>
              <w:right w:w="108" w:type="dxa"/>
            </w:tcMar>
            <w:vAlign w:val="center"/>
            <w:hideMark/>
          </w:tcPr>
          <w:p w14:paraId="43DB2267"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w:t>
            </w:r>
          </w:p>
        </w:tc>
        <w:tc>
          <w:tcPr>
            <w:tcW w:w="2500" w:type="pct"/>
            <w:noWrap/>
            <w:tcMar>
              <w:top w:w="0" w:type="dxa"/>
              <w:left w:w="108" w:type="dxa"/>
              <w:bottom w:w="0" w:type="dxa"/>
              <w:right w:w="108" w:type="dxa"/>
            </w:tcMar>
            <w:vAlign w:val="center"/>
            <w:hideMark/>
          </w:tcPr>
          <w:p w14:paraId="48C3B132"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合并范围内各家单位之间的往来款项</w:t>
            </w:r>
          </w:p>
        </w:tc>
      </w:tr>
      <w:tr w:rsidR="00AF139E" w:rsidRPr="005B5EC1" w14:paraId="48D8A037" w14:textId="77777777" w:rsidTr="000B1262">
        <w:trPr>
          <w:divId w:val="1091270893"/>
          <w:trHeight w:val="300"/>
        </w:trPr>
        <w:tc>
          <w:tcPr>
            <w:tcW w:w="2500" w:type="pct"/>
            <w:noWrap/>
            <w:tcMar>
              <w:top w:w="0" w:type="dxa"/>
              <w:left w:w="108" w:type="dxa"/>
              <w:bottom w:w="0" w:type="dxa"/>
              <w:right w:w="108" w:type="dxa"/>
            </w:tcMar>
            <w:vAlign w:val="center"/>
            <w:hideMark/>
          </w:tcPr>
          <w:p w14:paraId="1E5E655C"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c>
        <w:tc>
          <w:tcPr>
            <w:tcW w:w="2500" w:type="pct"/>
            <w:noWrap/>
            <w:tcMar>
              <w:top w:w="0" w:type="dxa"/>
              <w:left w:w="108" w:type="dxa"/>
              <w:bottom w:w="0" w:type="dxa"/>
              <w:right w:w="108" w:type="dxa"/>
            </w:tcMar>
            <w:vAlign w:val="center"/>
            <w:hideMark/>
          </w:tcPr>
          <w:p w14:paraId="2663419B"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除上述组合外的其他组合，本组合以其他应收款的账龄作为信用风险特征。公司根据账龄段划分的具有类似信用风险特征的其他应收款组合的预期损失率为基础，结合现时情况分析法确定坏账准备计提的比例</w:t>
            </w:r>
          </w:p>
        </w:tc>
      </w:tr>
    </w:tbl>
    <w:p w14:paraId="39872DB4" w14:textId="77777777" w:rsidR="00AF139E" w:rsidRPr="005B5EC1" w:rsidRDefault="00000000" w:rsidP="000B1262">
      <w:pPr>
        <w:pStyle w:val="a3"/>
        <w:spacing w:before="0" w:beforeAutospacing="0" w:after="0" w:afterAutospacing="0" w:line="276" w:lineRule="auto"/>
        <w:ind w:firstLine="357"/>
        <w:jc w:val="both"/>
        <w:divId w:val="1091270893"/>
        <w:rPr>
          <w:rFonts w:ascii="Times New Roman" w:hAnsi="Times New Roman" w:cs="Times New Roman"/>
          <w:sz w:val="18"/>
          <w:szCs w:val="18"/>
        </w:rPr>
      </w:pPr>
      <w:r w:rsidRPr="005B5EC1">
        <w:rPr>
          <w:rFonts w:ascii="Times New Roman" w:hAnsi="Times New Roman" w:cs="Times New Roman"/>
          <w:sz w:val="18"/>
          <w:szCs w:val="18"/>
        </w:rPr>
        <w:t>各组合预期信用损失率：</w:t>
      </w:r>
    </w:p>
    <w:p w14:paraId="11F1366C" w14:textId="77777777" w:rsidR="00AF139E" w:rsidRPr="005B5EC1" w:rsidRDefault="00000000" w:rsidP="000B1262">
      <w:pPr>
        <w:pStyle w:val="a3"/>
        <w:spacing w:before="0" w:beforeAutospacing="0" w:after="0" w:afterAutospacing="0" w:line="276" w:lineRule="auto"/>
        <w:ind w:firstLine="357"/>
        <w:jc w:val="both"/>
        <w:divId w:val="1091270893"/>
        <w:rPr>
          <w:rFonts w:ascii="Times New Roman" w:hAnsi="Times New Roman" w:cs="Times New Roman"/>
          <w:sz w:val="18"/>
          <w:szCs w:val="18"/>
        </w:rPr>
      </w:pPr>
      <w:r w:rsidRPr="005B5EC1">
        <w:rPr>
          <w:rFonts w:ascii="Times New Roman" w:hAnsi="Times New Roman" w:cs="Times New Roman"/>
          <w:sz w:val="18"/>
          <w:szCs w:val="18"/>
        </w:rPr>
        <w:t>其他应收款组合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：应收合并范围内关联方款项组合：合并范围内公司的往来款，一般不计提坏账准备，除非子公司发生明显的大额亏损考虑单项计提坏账准备。</w:t>
      </w:r>
    </w:p>
    <w:p w14:paraId="6DC19384" w14:textId="77777777" w:rsidR="00AF139E" w:rsidRPr="005B5EC1" w:rsidRDefault="00000000" w:rsidP="000B1262">
      <w:pPr>
        <w:pStyle w:val="a3"/>
        <w:spacing w:before="0" w:beforeAutospacing="0" w:after="0" w:afterAutospacing="0" w:line="276" w:lineRule="auto"/>
        <w:ind w:firstLine="357"/>
        <w:jc w:val="both"/>
        <w:divId w:val="1091270893"/>
        <w:rPr>
          <w:rFonts w:ascii="Times New Roman" w:hAnsi="Times New Roman" w:cs="Times New Roman"/>
          <w:sz w:val="18"/>
          <w:szCs w:val="18"/>
        </w:rPr>
      </w:pPr>
      <w:r w:rsidRPr="005B5EC1">
        <w:rPr>
          <w:rFonts w:ascii="Times New Roman" w:hAnsi="Times New Roman" w:cs="Times New Roman"/>
          <w:sz w:val="18"/>
          <w:szCs w:val="18"/>
        </w:rPr>
        <w:lastRenderedPageBreak/>
        <w:t>其他应收款组合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25"/>
        <w:gridCol w:w="4270"/>
      </w:tblGrid>
      <w:tr w:rsidR="00AF139E" w:rsidRPr="005B5EC1" w14:paraId="015A71ED" w14:textId="77777777" w:rsidTr="000B1262">
        <w:trPr>
          <w:divId w:val="1091270893"/>
          <w:trHeight w:val="340"/>
          <w:jc w:val="center"/>
        </w:trPr>
        <w:tc>
          <w:tcPr>
            <w:tcW w:w="2600" w:type="pct"/>
            <w:tcMar>
              <w:top w:w="0" w:type="dxa"/>
              <w:left w:w="108" w:type="dxa"/>
              <w:bottom w:w="0" w:type="dxa"/>
              <w:right w:w="108" w:type="dxa"/>
            </w:tcMar>
            <w:vAlign w:val="center"/>
            <w:hideMark/>
          </w:tcPr>
          <w:p w14:paraId="36451754"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账龄</w:t>
            </w:r>
          </w:p>
        </w:tc>
        <w:tc>
          <w:tcPr>
            <w:tcW w:w="2400" w:type="pct"/>
            <w:tcMar>
              <w:top w:w="0" w:type="dxa"/>
              <w:left w:w="108" w:type="dxa"/>
              <w:bottom w:w="0" w:type="dxa"/>
              <w:right w:w="108" w:type="dxa"/>
            </w:tcMar>
            <w:vAlign w:val="center"/>
            <w:hideMark/>
          </w:tcPr>
          <w:p w14:paraId="139CCC68"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预期信用损失率（</w:t>
            </w:r>
            <w:r w:rsidRPr="005B5EC1">
              <w:rPr>
                <w:rFonts w:ascii="Times New Roman" w:hAnsi="Times New Roman" w:cs="Times New Roman"/>
                <w:sz w:val="18"/>
                <w:szCs w:val="18"/>
              </w:rPr>
              <w:t>%</w:t>
            </w:r>
            <w:r w:rsidRPr="005B5EC1">
              <w:rPr>
                <w:rFonts w:ascii="Times New Roman" w:hAnsi="Times New Roman" w:cs="Times New Roman"/>
                <w:sz w:val="18"/>
                <w:szCs w:val="18"/>
              </w:rPr>
              <w:t>）</w:t>
            </w:r>
          </w:p>
        </w:tc>
      </w:tr>
      <w:tr w:rsidR="00AF139E" w:rsidRPr="005B5EC1" w14:paraId="36D3C3A8" w14:textId="77777777" w:rsidTr="000B1262">
        <w:trPr>
          <w:divId w:val="1091270893"/>
          <w:trHeight w:val="340"/>
          <w:jc w:val="center"/>
        </w:trPr>
        <w:tc>
          <w:tcPr>
            <w:tcW w:w="2600" w:type="pct"/>
            <w:noWrap/>
            <w:tcMar>
              <w:top w:w="0" w:type="dxa"/>
              <w:left w:w="108" w:type="dxa"/>
              <w:bottom w:w="0" w:type="dxa"/>
              <w:right w:w="108" w:type="dxa"/>
            </w:tcMar>
            <w:vAlign w:val="center"/>
            <w:hideMark/>
          </w:tcPr>
          <w:p w14:paraId="05D130CC"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1-3</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4549AF38"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1.23</w:t>
            </w:r>
          </w:p>
        </w:tc>
      </w:tr>
      <w:tr w:rsidR="00AF139E" w:rsidRPr="005B5EC1" w14:paraId="286CB913" w14:textId="77777777" w:rsidTr="000B1262">
        <w:trPr>
          <w:divId w:val="1091270893"/>
          <w:trHeight w:val="340"/>
          <w:jc w:val="center"/>
        </w:trPr>
        <w:tc>
          <w:tcPr>
            <w:tcW w:w="2600" w:type="pct"/>
            <w:noWrap/>
            <w:tcMar>
              <w:top w:w="0" w:type="dxa"/>
              <w:left w:w="108" w:type="dxa"/>
              <w:bottom w:w="0" w:type="dxa"/>
              <w:right w:w="108" w:type="dxa"/>
            </w:tcMar>
            <w:vAlign w:val="center"/>
            <w:hideMark/>
          </w:tcPr>
          <w:p w14:paraId="7505C31E"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4-6</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791B53DA"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1.23</w:t>
            </w:r>
          </w:p>
        </w:tc>
      </w:tr>
      <w:tr w:rsidR="00AF139E" w:rsidRPr="005B5EC1" w14:paraId="6A438CF2" w14:textId="77777777" w:rsidTr="000B1262">
        <w:trPr>
          <w:divId w:val="1091270893"/>
          <w:trHeight w:val="340"/>
          <w:jc w:val="center"/>
        </w:trPr>
        <w:tc>
          <w:tcPr>
            <w:tcW w:w="2600" w:type="pct"/>
            <w:noWrap/>
            <w:tcMar>
              <w:top w:w="0" w:type="dxa"/>
              <w:left w:w="108" w:type="dxa"/>
              <w:bottom w:w="0" w:type="dxa"/>
              <w:right w:w="108" w:type="dxa"/>
            </w:tcMar>
            <w:vAlign w:val="center"/>
            <w:hideMark/>
          </w:tcPr>
          <w:p w14:paraId="6E04D083"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7-9</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49C01DC9"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1.23</w:t>
            </w:r>
          </w:p>
        </w:tc>
      </w:tr>
      <w:tr w:rsidR="00AF139E" w:rsidRPr="005B5EC1" w14:paraId="676502E8" w14:textId="77777777" w:rsidTr="000B1262">
        <w:trPr>
          <w:divId w:val="1091270893"/>
          <w:trHeight w:val="340"/>
          <w:jc w:val="center"/>
        </w:trPr>
        <w:tc>
          <w:tcPr>
            <w:tcW w:w="2600" w:type="pct"/>
            <w:noWrap/>
            <w:tcMar>
              <w:top w:w="0" w:type="dxa"/>
              <w:left w:w="108" w:type="dxa"/>
              <w:bottom w:w="0" w:type="dxa"/>
              <w:right w:w="108" w:type="dxa"/>
            </w:tcMar>
            <w:vAlign w:val="center"/>
            <w:hideMark/>
          </w:tcPr>
          <w:p w14:paraId="3C831374"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10-12</w:t>
            </w:r>
            <w:r w:rsidRPr="005B5EC1">
              <w:rPr>
                <w:rFonts w:ascii="Times New Roman" w:hAnsi="Times New Roman" w:cs="Times New Roman"/>
                <w:sz w:val="18"/>
                <w:szCs w:val="18"/>
              </w:rPr>
              <w:t>个月</w:t>
            </w:r>
          </w:p>
        </w:tc>
        <w:tc>
          <w:tcPr>
            <w:tcW w:w="2400" w:type="pct"/>
            <w:noWrap/>
            <w:tcMar>
              <w:top w:w="0" w:type="dxa"/>
              <w:left w:w="108" w:type="dxa"/>
              <w:bottom w:w="0" w:type="dxa"/>
              <w:right w:w="108" w:type="dxa"/>
            </w:tcMar>
            <w:vAlign w:val="center"/>
            <w:hideMark/>
          </w:tcPr>
          <w:p w14:paraId="0B8E266E"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1.23</w:t>
            </w:r>
          </w:p>
        </w:tc>
      </w:tr>
      <w:tr w:rsidR="00AF139E" w:rsidRPr="005B5EC1" w14:paraId="55388D97" w14:textId="77777777" w:rsidTr="000B1262">
        <w:trPr>
          <w:divId w:val="1091270893"/>
          <w:trHeight w:val="340"/>
          <w:jc w:val="center"/>
        </w:trPr>
        <w:tc>
          <w:tcPr>
            <w:tcW w:w="2600" w:type="pct"/>
            <w:noWrap/>
            <w:tcMar>
              <w:top w:w="0" w:type="dxa"/>
              <w:left w:w="108" w:type="dxa"/>
              <w:bottom w:w="0" w:type="dxa"/>
              <w:right w:w="108" w:type="dxa"/>
            </w:tcMar>
            <w:vAlign w:val="center"/>
            <w:hideMark/>
          </w:tcPr>
          <w:p w14:paraId="292D59EC"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w:t>
            </w:r>
            <w:r w:rsidRPr="005B5EC1">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4BDF6BD4"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22.91</w:t>
            </w:r>
          </w:p>
        </w:tc>
      </w:tr>
      <w:tr w:rsidR="00AF139E" w:rsidRPr="005B5EC1" w14:paraId="56B59388" w14:textId="77777777" w:rsidTr="000B1262">
        <w:trPr>
          <w:divId w:val="1091270893"/>
          <w:trHeight w:val="340"/>
          <w:jc w:val="center"/>
        </w:trPr>
        <w:tc>
          <w:tcPr>
            <w:tcW w:w="2600" w:type="pct"/>
            <w:noWrap/>
            <w:tcMar>
              <w:top w:w="0" w:type="dxa"/>
              <w:left w:w="108" w:type="dxa"/>
              <w:bottom w:w="0" w:type="dxa"/>
              <w:right w:w="108" w:type="dxa"/>
            </w:tcMar>
            <w:vAlign w:val="center"/>
            <w:hideMark/>
          </w:tcPr>
          <w:p w14:paraId="759CB112"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2-3</w:t>
            </w:r>
            <w:r w:rsidRPr="005B5EC1">
              <w:rPr>
                <w:rFonts w:ascii="Times New Roman" w:hAnsi="Times New Roman" w:cs="Times New Roman"/>
                <w:sz w:val="18"/>
                <w:szCs w:val="18"/>
              </w:rPr>
              <w:t>年</w:t>
            </w:r>
          </w:p>
        </w:tc>
        <w:tc>
          <w:tcPr>
            <w:tcW w:w="2400" w:type="pct"/>
            <w:noWrap/>
            <w:tcMar>
              <w:top w:w="0" w:type="dxa"/>
              <w:left w:w="108" w:type="dxa"/>
              <w:bottom w:w="0" w:type="dxa"/>
              <w:right w:w="108" w:type="dxa"/>
            </w:tcMar>
            <w:vAlign w:val="center"/>
            <w:hideMark/>
          </w:tcPr>
          <w:p w14:paraId="1741E9DD"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79.83</w:t>
            </w:r>
          </w:p>
        </w:tc>
      </w:tr>
      <w:tr w:rsidR="00AF139E" w:rsidRPr="005B5EC1" w14:paraId="45B23345" w14:textId="77777777" w:rsidTr="000B1262">
        <w:trPr>
          <w:divId w:val="1091270893"/>
          <w:trHeight w:val="340"/>
          <w:jc w:val="center"/>
        </w:trPr>
        <w:tc>
          <w:tcPr>
            <w:tcW w:w="2600" w:type="pct"/>
            <w:noWrap/>
            <w:tcMar>
              <w:top w:w="0" w:type="dxa"/>
              <w:left w:w="108" w:type="dxa"/>
              <w:bottom w:w="0" w:type="dxa"/>
              <w:right w:w="108" w:type="dxa"/>
            </w:tcMar>
            <w:vAlign w:val="center"/>
            <w:hideMark/>
          </w:tcPr>
          <w:p w14:paraId="0EE9B6DB"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3</w:t>
            </w:r>
            <w:r w:rsidRPr="005B5EC1">
              <w:rPr>
                <w:rFonts w:ascii="Times New Roman" w:hAnsi="Times New Roman" w:cs="Times New Roman"/>
                <w:sz w:val="18"/>
                <w:szCs w:val="18"/>
              </w:rPr>
              <w:t>年以上</w:t>
            </w:r>
          </w:p>
        </w:tc>
        <w:tc>
          <w:tcPr>
            <w:tcW w:w="2400" w:type="pct"/>
            <w:noWrap/>
            <w:tcMar>
              <w:top w:w="0" w:type="dxa"/>
              <w:left w:w="108" w:type="dxa"/>
              <w:bottom w:w="0" w:type="dxa"/>
              <w:right w:w="108" w:type="dxa"/>
            </w:tcMar>
            <w:vAlign w:val="center"/>
            <w:hideMark/>
          </w:tcPr>
          <w:p w14:paraId="371898FF"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100.00</w:t>
            </w:r>
          </w:p>
        </w:tc>
      </w:tr>
    </w:tbl>
    <w:p w14:paraId="3B80779B" w14:textId="77777777" w:rsidR="00E32FE0" w:rsidRPr="005B5EC1" w:rsidRDefault="00000000">
      <w:pPr>
        <w:pStyle w:val="3"/>
        <w:spacing w:line="280" w:lineRule="exact"/>
        <w:jc w:val="left"/>
        <w:rPr>
          <w:rFonts w:ascii="Times New Roman" w:hAnsi="Times New Roman" w:cs="Times New Roman"/>
          <w:b/>
          <w:bCs/>
        </w:rPr>
      </w:pPr>
      <w:bookmarkStart w:id="191" w:name="_Toc989080"/>
      <w:r w:rsidRPr="005B5EC1">
        <w:rPr>
          <w:rFonts w:ascii="Times New Roman" w:hAnsi="Times New Roman" w:cs="Times New Roman"/>
          <w:b/>
          <w:bCs/>
        </w:rPr>
        <w:t>16</w:t>
      </w:r>
      <w:r w:rsidRPr="005B5EC1">
        <w:rPr>
          <w:rFonts w:ascii="Times New Roman" w:hAnsi="Times New Roman" w:cs="Times New Roman"/>
          <w:b/>
          <w:bCs/>
        </w:rPr>
        <w:t>、合同资产</w:t>
      </w:r>
      <w:bookmarkEnd w:id="191"/>
    </w:p>
    <w:p w14:paraId="4A794C9A" w14:textId="77777777" w:rsidR="00AF139E" w:rsidRPr="005B5EC1" w:rsidRDefault="00000000" w:rsidP="000B1262">
      <w:pPr>
        <w:pStyle w:val="a3"/>
        <w:spacing w:before="0" w:beforeAutospacing="0" w:after="0" w:afterAutospacing="0" w:line="276" w:lineRule="auto"/>
        <w:ind w:firstLine="357"/>
        <w:jc w:val="both"/>
        <w:divId w:val="248319020"/>
        <w:rPr>
          <w:rFonts w:ascii="Times New Roman" w:hAnsi="Times New Roman" w:cs="Times New Roman"/>
          <w:sz w:val="18"/>
          <w:szCs w:val="18"/>
        </w:rPr>
      </w:pPr>
      <w:r w:rsidRPr="005B5EC1">
        <w:rPr>
          <w:rFonts w:ascii="Times New Roman" w:hAnsi="Times New Roman" w:cs="Times New Roman"/>
          <w:sz w:val="18"/>
          <w:szCs w:val="18"/>
        </w:rPr>
        <w:t>当单项合同资产无法以合理成本评估预期信用损失的信息时，本公司依据信用风险特征将合同资产划分为若干组合，在组合基础上计算预期信用损失。对于按账龄划分组合的合同资产，账龄自确认之日起计算。</w:t>
      </w:r>
    </w:p>
    <w:p w14:paraId="2A7C7AE0" w14:textId="77777777" w:rsidR="00AF139E" w:rsidRPr="005B5EC1" w:rsidRDefault="00000000" w:rsidP="000B1262">
      <w:pPr>
        <w:pStyle w:val="a3"/>
        <w:spacing w:before="0" w:beforeAutospacing="0" w:after="0" w:afterAutospacing="0" w:line="276" w:lineRule="auto"/>
        <w:ind w:firstLine="357"/>
        <w:jc w:val="both"/>
        <w:divId w:val="248319020"/>
        <w:rPr>
          <w:rFonts w:ascii="Times New Roman" w:hAnsi="Times New Roman" w:cs="Times New Roman"/>
          <w:sz w:val="18"/>
          <w:szCs w:val="18"/>
        </w:rPr>
      </w:pPr>
      <w:r w:rsidRPr="005B5EC1">
        <w:rPr>
          <w:rFonts w:ascii="Times New Roman" w:hAnsi="Times New Roman" w:cs="Times New Roman"/>
          <w:sz w:val="18"/>
          <w:szCs w:val="18"/>
        </w:rPr>
        <w:t>确定组合的依据如下：</w:t>
      </w:r>
    </w:p>
    <w:tbl>
      <w:tblPr>
        <w:tblW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4"/>
        <w:gridCol w:w="8099"/>
      </w:tblGrid>
      <w:tr w:rsidR="00AF139E" w:rsidRPr="005B5EC1" w14:paraId="62999C2C" w14:textId="77777777" w:rsidTr="000B1262">
        <w:trPr>
          <w:divId w:val="248319020"/>
          <w:trHeight w:val="340"/>
        </w:trPr>
        <w:tc>
          <w:tcPr>
            <w:tcW w:w="2500" w:type="pct"/>
            <w:tcMar>
              <w:top w:w="0" w:type="dxa"/>
              <w:left w:w="108" w:type="dxa"/>
              <w:bottom w:w="0" w:type="dxa"/>
              <w:right w:w="108" w:type="dxa"/>
            </w:tcMar>
            <w:vAlign w:val="center"/>
            <w:hideMark/>
          </w:tcPr>
          <w:p w14:paraId="0482AF6E"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2500" w:type="pct"/>
            <w:tcMar>
              <w:top w:w="0" w:type="dxa"/>
              <w:left w:w="108" w:type="dxa"/>
              <w:bottom w:w="0" w:type="dxa"/>
              <w:right w:w="108" w:type="dxa"/>
            </w:tcMar>
            <w:vAlign w:val="center"/>
            <w:hideMark/>
          </w:tcPr>
          <w:p w14:paraId="2490D073" w14:textId="77777777" w:rsidR="00AF139E" w:rsidRPr="005B5EC1" w:rsidRDefault="00000000" w:rsidP="000B1262">
            <w:pPr>
              <w:pStyle w:val="a3"/>
              <w:spacing w:before="0" w:beforeAutospacing="0" w:after="0" w:afterAutospacing="0" w:line="276" w:lineRule="auto"/>
              <w:ind w:firstLine="360"/>
              <w:jc w:val="center"/>
              <w:rPr>
                <w:rFonts w:ascii="Times New Roman" w:hAnsi="Times New Roman" w:cs="Times New Roman"/>
                <w:sz w:val="21"/>
                <w:szCs w:val="21"/>
              </w:rPr>
            </w:pPr>
            <w:r w:rsidRPr="005B5EC1">
              <w:rPr>
                <w:rFonts w:ascii="Times New Roman" w:hAnsi="Times New Roman" w:cs="Times New Roman"/>
                <w:sz w:val="18"/>
                <w:szCs w:val="18"/>
              </w:rPr>
              <w:t>确定组合的依据</w:t>
            </w:r>
          </w:p>
        </w:tc>
      </w:tr>
      <w:tr w:rsidR="00AF139E" w:rsidRPr="005B5EC1" w14:paraId="163B6E24" w14:textId="77777777" w:rsidTr="000B1262">
        <w:trPr>
          <w:divId w:val="248319020"/>
          <w:trHeight w:val="340"/>
        </w:trPr>
        <w:tc>
          <w:tcPr>
            <w:tcW w:w="2500" w:type="pct"/>
            <w:noWrap/>
            <w:tcMar>
              <w:top w:w="0" w:type="dxa"/>
              <w:left w:w="108" w:type="dxa"/>
              <w:bottom w:w="0" w:type="dxa"/>
              <w:right w:w="108" w:type="dxa"/>
            </w:tcMar>
            <w:vAlign w:val="center"/>
            <w:hideMark/>
          </w:tcPr>
          <w:p w14:paraId="3A09405E"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1</w:t>
            </w:r>
            <w:r w:rsidRPr="005B5EC1">
              <w:rPr>
                <w:rFonts w:ascii="Times New Roman" w:hAnsi="Times New Roman" w:cs="Times New Roman"/>
                <w:sz w:val="18"/>
                <w:szCs w:val="18"/>
              </w:rPr>
              <w:t>：应收合并范围内关联方款项组合</w:t>
            </w:r>
          </w:p>
        </w:tc>
        <w:tc>
          <w:tcPr>
            <w:tcW w:w="2500" w:type="pct"/>
            <w:noWrap/>
            <w:tcMar>
              <w:top w:w="0" w:type="dxa"/>
              <w:left w:w="108" w:type="dxa"/>
              <w:bottom w:w="0" w:type="dxa"/>
              <w:right w:w="108" w:type="dxa"/>
            </w:tcMar>
            <w:vAlign w:val="center"/>
            <w:hideMark/>
          </w:tcPr>
          <w:p w14:paraId="0FF71DB5"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合并范围内各家单位之间的往来款项</w:t>
            </w:r>
          </w:p>
        </w:tc>
      </w:tr>
      <w:tr w:rsidR="00AF139E" w:rsidRPr="005B5EC1" w14:paraId="05EF7490" w14:textId="77777777" w:rsidTr="000B1262">
        <w:trPr>
          <w:divId w:val="248319020"/>
          <w:trHeight w:val="340"/>
        </w:trPr>
        <w:tc>
          <w:tcPr>
            <w:tcW w:w="2500" w:type="pct"/>
            <w:noWrap/>
            <w:tcMar>
              <w:top w:w="0" w:type="dxa"/>
              <w:left w:w="108" w:type="dxa"/>
              <w:bottom w:w="0" w:type="dxa"/>
              <w:right w:w="108" w:type="dxa"/>
            </w:tcMar>
            <w:vAlign w:val="center"/>
            <w:hideMark/>
          </w:tcPr>
          <w:p w14:paraId="00FD1633"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组合</w:t>
            </w:r>
            <w:r w:rsidRPr="005B5EC1">
              <w:rPr>
                <w:rFonts w:ascii="Times New Roman" w:hAnsi="Times New Roman" w:cs="Times New Roman"/>
                <w:sz w:val="18"/>
                <w:szCs w:val="18"/>
              </w:rPr>
              <w:t>2</w:t>
            </w:r>
            <w:r w:rsidRPr="005B5EC1">
              <w:rPr>
                <w:rFonts w:ascii="Times New Roman" w:hAnsi="Times New Roman" w:cs="Times New Roman"/>
                <w:sz w:val="18"/>
                <w:szCs w:val="18"/>
              </w:rPr>
              <w:t>：账龄组合</w:t>
            </w:r>
          </w:p>
          <w:p w14:paraId="08496212"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21"/>
                <w:szCs w:val="21"/>
              </w:rPr>
              <w:t> </w:t>
            </w:r>
          </w:p>
        </w:tc>
        <w:tc>
          <w:tcPr>
            <w:tcW w:w="2500" w:type="pct"/>
            <w:noWrap/>
            <w:tcMar>
              <w:top w:w="0" w:type="dxa"/>
              <w:left w:w="108" w:type="dxa"/>
              <w:bottom w:w="0" w:type="dxa"/>
              <w:right w:w="108" w:type="dxa"/>
            </w:tcMar>
            <w:vAlign w:val="center"/>
            <w:hideMark/>
          </w:tcPr>
          <w:p w14:paraId="02440138" w14:textId="77777777" w:rsidR="00AF139E" w:rsidRPr="005B5EC1" w:rsidRDefault="00000000" w:rsidP="000B1262">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除上述组合外的其他组合，本组合以长期应收款的账龄作为信用风险特征。公司根据账龄段划分的具有类似信用风险特征的长期应收款组合的预期损失率为基础，结合现时情况分析法确定坏账准备计提的比例</w:t>
            </w:r>
          </w:p>
        </w:tc>
      </w:tr>
    </w:tbl>
    <w:p w14:paraId="08CDF423" w14:textId="77777777" w:rsidR="00AF139E" w:rsidRPr="005B5EC1" w:rsidRDefault="00000000" w:rsidP="000B1262">
      <w:pPr>
        <w:pStyle w:val="a3"/>
        <w:spacing w:before="0" w:beforeAutospacing="0" w:after="0" w:afterAutospacing="0" w:line="276" w:lineRule="auto"/>
        <w:ind w:firstLine="357"/>
        <w:jc w:val="both"/>
        <w:divId w:val="1827234703"/>
        <w:rPr>
          <w:rFonts w:ascii="Times New Roman" w:hAnsi="Times New Roman" w:cs="Times New Roman"/>
          <w:sz w:val="18"/>
          <w:szCs w:val="18"/>
        </w:rPr>
      </w:pPr>
      <w:r w:rsidRPr="005B5EC1">
        <w:rPr>
          <w:rFonts w:ascii="Times New Roman" w:hAnsi="Times New Roman" w:cs="Times New Roman"/>
          <w:sz w:val="18"/>
          <w:szCs w:val="18"/>
        </w:rPr>
        <w:t>合同资产预期信用损失的确定方法和会计处理方法参见附注五、</w:t>
      </w:r>
      <w:r w:rsidRPr="005B5EC1">
        <w:rPr>
          <w:rFonts w:ascii="Times New Roman" w:hAnsi="Times New Roman" w:cs="Times New Roman"/>
          <w:sz w:val="18"/>
          <w:szCs w:val="18"/>
        </w:rPr>
        <w:t>11</w:t>
      </w:r>
      <w:r w:rsidRPr="005B5EC1">
        <w:rPr>
          <w:rFonts w:ascii="Times New Roman" w:hAnsi="Times New Roman" w:cs="Times New Roman"/>
          <w:sz w:val="18"/>
          <w:szCs w:val="18"/>
        </w:rPr>
        <w:t>、金融工具。</w:t>
      </w:r>
    </w:p>
    <w:p w14:paraId="601B9750" w14:textId="77777777" w:rsidR="00E32FE0" w:rsidRPr="005B5EC1" w:rsidRDefault="00000000">
      <w:pPr>
        <w:pStyle w:val="3"/>
        <w:spacing w:line="280" w:lineRule="exact"/>
        <w:jc w:val="left"/>
        <w:rPr>
          <w:rFonts w:ascii="Times New Roman" w:hAnsi="Times New Roman" w:cs="Times New Roman"/>
          <w:b/>
          <w:bCs/>
        </w:rPr>
      </w:pPr>
      <w:bookmarkStart w:id="192" w:name="_Toc989081"/>
      <w:r w:rsidRPr="005B5EC1">
        <w:rPr>
          <w:rFonts w:ascii="Times New Roman" w:hAnsi="Times New Roman" w:cs="Times New Roman"/>
          <w:b/>
          <w:bCs/>
        </w:rPr>
        <w:t>17</w:t>
      </w:r>
      <w:r w:rsidRPr="005B5EC1">
        <w:rPr>
          <w:rFonts w:ascii="Times New Roman" w:hAnsi="Times New Roman" w:cs="Times New Roman"/>
          <w:b/>
          <w:bCs/>
        </w:rPr>
        <w:t>、存货</w:t>
      </w:r>
      <w:bookmarkEnd w:id="192"/>
    </w:p>
    <w:p w14:paraId="1D88C589"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存货的分类</w:t>
      </w:r>
    </w:p>
    <w:p w14:paraId="230EDAB5"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存货主要包括原材料、库存商品、在产品、消耗性生物资产、低值易耗品和包装物等，摊销期限不超过一年或一个营业周期的合同履约成本也列报为存货。</w:t>
      </w:r>
    </w:p>
    <w:p w14:paraId="0BE9259A"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存货取得和发出的计价方法</w:t>
      </w:r>
    </w:p>
    <w:p w14:paraId="0A54423E"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存货在取得时按实际成本计价，存货成本包括采购成本、加工成本和其他成本。领用和发出时按加权平均法计价</w:t>
      </w:r>
      <w:r w:rsidRPr="005B5EC1">
        <w:rPr>
          <w:i/>
          <w:iCs/>
        </w:rPr>
        <w:t>。</w:t>
      </w:r>
    </w:p>
    <w:p w14:paraId="5D7DE7F7"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存货可变现净值的确认和跌价准备的计提方法</w:t>
      </w:r>
    </w:p>
    <w:p w14:paraId="4238C559"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16F7C046"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在资产负债表日，存货按照成本与可变现净值孰低计量。当其可变现净值低于成本时，提取存货跌价准备。存货跌价准备通常按单个存货项目的成本高于其可变现净值的差额提取。对于数量繁多、单价较低的存货，按存货类别计提存货跌价准备；对在同一地区生产和销售的产品系列相关、具有相同或类似最终用途或目的，且难以与其他项目分开计量的存货，可合并计提存货跌价准备。</w:t>
      </w:r>
    </w:p>
    <w:p w14:paraId="39980835"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计提存货跌价准备后，如果以前减记存货价值的影响因素已经消失，导致存货的可变现净值高于其账面价值的，在原已计提的存货跌价准备金额内予以转回，转回的金额计入当期损益。</w:t>
      </w:r>
    </w:p>
    <w:p w14:paraId="187FBDBC"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lastRenderedPageBreak/>
        <w:t>存货的盘存制度为永续盘存制。</w:t>
      </w:r>
    </w:p>
    <w:p w14:paraId="779E9F06"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低值易耗品和包装物的摊销方法</w:t>
      </w:r>
    </w:p>
    <w:p w14:paraId="1B479F32" w14:textId="77777777" w:rsidR="00AF139E" w:rsidRPr="005B5EC1" w:rsidRDefault="00000000" w:rsidP="000B1262">
      <w:pPr>
        <w:pStyle w:val="a3"/>
        <w:spacing w:before="0" w:beforeAutospacing="0" w:after="0" w:afterAutospacing="0" w:line="276" w:lineRule="auto"/>
        <w:ind w:firstLine="357"/>
        <w:jc w:val="both"/>
        <w:divId w:val="1448310488"/>
        <w:rPr>
          <w:rFonts w:ascii="Times New Roman" w:hAnsi="Times New Roman" w:cs="Times New Roman"/>
          <w:sz w:val="18"/>
          <w:szCs w:val="18"/>
        </w:rPr>
      </w:pPr>
      <w:r w:rsidRPr="005B5EC1">
        <w:rPr>
          <w:rFonts w:ascii="Times New Roman" w:hAnsi="Times New Roman" w:cs="Times New Roman"/>
          <w:sz w:val="18"/>
          <w:szCs w:val="18"/>
        </w:rPr>
        <w:t>低值易耗品于领用时按一次摊销法摊销；包装物于领用时按一次摊销法摊销。</w:t>
      </w:r>
    </w:p>
    <w:p w14:paraId="25B2F7F0" w14:textId="77777777" w:rsidR="00E32FE0" w:rsidRPr="005B5EC1" w:rsidRDefault="00000000">
      <w:pPr>
        <w:pStyle w:val="3"/>
        <w:spacing w:line="280" w:lineRule="exact"/>
        <w:jc w:val="left"/>
        <w:rPr>
          <w:rFonts w:ascii="Times New Roman" w:hAnsi="Times New Roman" w:cs="Times New Roman"/>
          <w:b/>
          <w:bCs/>
        </w:rPr>
      </w:pPr>
      <w:bookmarkStart w:id="193" w:name="_Toc989082"/>
      <w:r w:rsidRPr="005B5EC1">
        <w:rPr>
          <w:rFonts w:ascii="Times New Roman" w:hAnsi="Times New Roman" w:cs="Times New Roman"/>
          <w:b/>
          <w:bCs/>
        </w:rPr>
        <w:t>18</w:t>
      </w:r>
      <w:r w:rsidRPr="005B5EC1">
        <w:rPr>
          <w:rFonts w:ascii="Times New Roman" w:hAnsi="Times New Roman" w:cs="Times New Roman"/>
          <w:b/>
          <w:bCs/>
        </w:rPr>
        <w:t>、持有待售资产</w:t>
      </w:r>
      <w:bookmarkEnd w:id="193"/>
    </w:p>
    <w:p w14:paraId="5DDE838F" w14:textId="77777777" w:rsidR="00AF139E" w:rsidRPr="005B5EC1" w:rsidRDefault="00000000" w:rsidP="000B1262">
      <w:pPr>
        <w:pStyle w:val="a3"/>
        <w:spacing w:before="0" w:beforeAutospacing="0" w:after="0" w:afterAutospacing="0" w:line="276" w:lineRule="auto"/>
        <w:ind w:firstLine="357"/>
        <w:jc w:val="both"/>
        <w:divId w:val="2071807376"/>
        <w:rPr>
          <w:rFonts w:ascii="Times New Roman" w:hAnsi="Times New Roman" w:cs="Times New Roman"/>
          <w:sz w:val="18"/>
          <w:szCs w:val="18"/>
        </w:rPr>
      </w:pPr>
      <w:r w:rsidRPr="005B5EC1">
        <w:rPr>
          <w:rFonts w:ascii="Times New Roman" w:hAnsi="Times New Roman" w:cs="Times New Roman"/>
          <w:sz w:val="18"/>
          <w:szCs w:val="18"/>
        </w:rPr>
        <w:t>本集团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可立即出售；本集团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w:t>
      </w:r>
      <w:r w:rsidRPr="005B5EC1">
        <w:rPr>
          <w:rFonts w:ascii="Times New Roman" w:hAnsi="Times New Roman" w:cs="Times New Roman"/>
          <w:sz w:val="18"/>
          <w:szCs w:val="18"/>
        </w:rPr>
        <w:t>8</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资产减值》分摊了企业合并中取得的商誉的，该处置组应当包含分摊至处置组的商誉。</w:t>
      </w:r>
    </w:p>
    <w:p w14:paraId="3C69E8D4" w14:textId="77777777" w:rsidR="00AF139E" w:rsidRPr="005B5EC1" w:rsidRDefault="00000000" w:rsidP="000B1262">
      <w:pPr>
        <w:pStyle w:val="a3"/>
        <w:spacing w:before="0" w:beforeAutospacing="0" w:after="0" w:afterAutospacing="0" w:line="276" w:lineRule="auto"/>
        <w:ind w:firstLine="357"/>
        <w:jc w:val="both"/>
        <w:divId w:val="2071807376"/>
        <w:rPr>
          <w:rFonts w:ascii="Times New Roman" w:hAnsi="Times New Roman" w:cs="Times New Roman"/>
          <w:sz w:val="18"/>
          <w:szCs w:val="18"/>
        </w:rPr>
      </w:pPr>
      <w:r w:rsidRPr="005B5EC1">
        <w:rPr>
          <w:rFonts w:ascii="Times New Roman" w:hAnsi="Times New Roman" w:cs="Times New Roman"/>
          <w:sz w:val="18"/>
          <w:szCs w:val="18"/>
        </w:rPr>
        <w:t>本集团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w:t>
      </w:r>
      <w:r w:rsidRPr="005B5EC1">
        <w:rPr>
          <w:rFonts w:ascii="Times New Roman" w:hAnsi="Times New Roman" w:cs="Times New Roman"/>
          <w:sz w:val="18"/>
          <w:szCs w:val="18"/>
        </w:rPr>
        <w:t>42</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持有待售的非流动资产、处置组和终止经营》（以下简称</w:t>
      </w:r>
      <w:r w:rsidRPr="005B5EC1">
        <w:rPr>
          <w:rFonts w:ascii="Times New Roman" w:hAnsi="Times New Roman" w:cs="Times New Roman"/>
          <w:sz w:val="18"/>
          <w:szCs w:val="18"/>
        </w:rPr>
        <w:t>“</w:t>
      </w:r>
      <w:r w:rsidRPr="005B5EC1">
        <w:rPr>
          <w:rFonts w:ascii="Times New Roman" w:hAnsi="Times New Roman" w:cs="Times New Roman"/>
          <w:sz w:val="18"/>
          <w:szCs w:val="18"/>
        </w:rPr>
        <w:t>持有待售准则</w:t>
      </w:r>
      <w:r w:rsidRPr="005B5EC1">
        <w:rPr>
          <w:rFonts w:ascii="Times New Roman" w:hAnsi="Times New Roman" w:cs="Times New Roman"/>
          <w:sz w:val="18"/>
          <w:szCs w:val="18"/>
        </w:rPr>
        <w:t>”</w:t>
      </w:r>
      <w:r w:rsidRPr="005B5EC1">
        <w:rPr>
          <w:rFonts w:ascii="Times New Roman" w:hAnsi="Times New Roman" w:cs="Times New Roman"/>
          <w:sz w:val="18"/>
          <w:szCs w:val="18"/>
        </w:rPr>
        <w:t>）的计量规定的各项非流动资产的账面价值。后续资产负债表日持有待售的处置组公允价值减去出售费用后的净额增加的，以前减记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14:paraId="4615EBBA" w14:textId="77777777" w:rsidR="00AF139E" w:rsidRPr="005B5EC1" w:rsidRDefault="00000000" w:rsidP="000B1262">
      <w:pPr>
        <w:pStyle w:val="a3"/>
        <w:spacing w:before="0" w:beforeAutospacing="0" w:after="0" w:afterAutospacing="0" w:line="276" w:lineRule="auto"/>
        <w:ind w:firstLine="357"/>
        <w:jc w:val="both"/>
        <w:divId w:val="2071807376"/>
        <w:rPr>
          <w:rFonts w:ascii="Times New Roman" w:hAnsi="Times New Roman" w:cs="Times New Roman"/>
          <w:sz w:val="18"/>
          <w:szCs w:val="18"/>
        </w:rPr>
      </w:pPr>
      <w:r w:rsidRPr="005B5EC1">
        <w:rPr>
          <w:rFonts w:ascii="Times New Roman" w:hAnsi="Times New Roman" w:cs="Times New Roman"/>
          <w:sz w:val="18"/>
          <w:szCs w:val="18"/>
        </w:rPr>
        <w:t>持有待售的非流动资产或处置组中的非流动资产不计提折旧或摊销，持有待售的处置组中负债的利息和其他费用继续予以确认。</w:t>
      </w:r>
    </w:p>
    <w:p w14:paraId="520108D3" w14:textId="77777777" w:rsidR="00AF139E" w:rsidRPr="005B5EC1" w:rsidRDefault="00000000" w:rsidP="000B1262">
      <w:pPr>
        <w:pStyle w:val="a3"/>
        <w:spacing w:before="0" w:beforeAutospacing="0" w:after="0" w:afterAutospacing="0" w:line="276" w:lineRule="auto"/>
        <w:ind w:firstLine="357"/>
        <w:jc w:val="both"/>
        <w:divId w:val="2071807376"/>
        <w:rPr>
          <w:rFonts w:ascii="Times New Roman" w:hAnsi="Times New Roman" w:cs="Times New Roman"/>
          <w:sz w:val="18"/>
          <w:szCs w:val="18"/>
        </w:rPr>
      </w:pPr>
      <w:r w:rsidRPr="005B5EC1">
        <w:rPr>
          <w:rFonts w:ascii="Times New Roman" w:hAnsi="Times New Roman" w:cs="Times New Roman"/>
          <w:sz w:val="18"/>
          <w:szCs w:val="18"/>
        </w:rPr>
        <w:t>非流动资产或处置组不再满足持有待售类别的划分条件时，本集团不再将其继续划分为持有待售类别或将非流动资产从持有待售的处置组中移除，并按照以下两者孰低计量：（</w:t>
      </w:r>
      <w:r w:rsidRPr="005B5EC1">
        <w:rPr>
          <w:rFonts w:ascii="Times New Roman" w:hAnsi="Times New Roman" w:cs="Times New Roman"/>
          <w:sz w:val="18"/>
          <w:szCs w:val="18"/>
        </w:rPr>
        <w:t>1</w:t>
      </w:r>
      <w:r w:rsidRPr="005B5EC1">
        <w:rPr>
          <w:rFonts w:ascii="Times New Roman" w:hAnsi="Times New Roman" w:cs="Times New Roman"/>
          <w:sz w:val="18"/>
          <w:szCs w:val="18"/>
        </w:rPr>
        <w:t>）划分为持有待售类别前的账面价值，按照假定不划分为持有待售类别情况下本应确认的折旧、摊销或减值等进行调整后的金额；（</w:t>
      </w:r>
      <w:r w:rsidRPr="005B5EC1">
        <w:rPr>
          <w:rFonts w:ascii="Times New Roman" w:hAnsi="Times New Roman" w:cs="Times New Roman"/>
          <w:sz w:val="18"/>
          <w:szCs w:val="18"/>
        </w:rPr>
        <w:t>2</w:t>
      </w:r>
      <w:r w:rsidRPr="005B5EC1">
        <w:rPr>
          <w:rFonts w:ascii="Times New Roman" w:hAnsi="Times New Roman" w:cs="Times New Roman"/>
          <w:sz w:val="18"/>
          <w:szCs w:val="18"/>
        </w:rPr>
        <w:t>）可收回金额。</w:t>
      </w:r>
    </w:p>
    <w:p w14:paraId="0CBC60B8" w14:textId="77777777" w:rsidR="00E32FE0" w:rsidRPr="005B5EC1" w:rsidRDefault="00000000">
      <w:pPr>
        <w:pStyle w:val="3"/>
        <w:spacing w:line="280" w:lineRule="exact"/>
        <w:jc w:val="left"/>
        <w:rPr>
          <w:rFonts w:ascii="Times New Roman" w:hAnsi="Times New Roman" w:cs="Times New Roman"/>
          <w:b/>
          <w:bCs/>
        </w:rPr>
      </w:pPr>
      <w:bookmarkStart w:id="194" w:name="_Toc989083"/>
      <w:r w:rsidRPr="005B5EC1">
        <w:rPr>
          <w:rFonts w:ascii="Times New Roman" w:hAnsi="Times New Roman" w:cs="Times New Roman"/>
          <w:b/>
          <w:bCs/>
        </w:rPr>
        <w:t>19</w:t>
      </w:r>
      <w:r w:rsidRPr="005B5EC1">
        <w:rPr>
          <w:rFonts w:ascii="Times New Roman" w:hAnsi="Times New Roman" w:cs="Times New Roman"/>
          <w:b/>
          <w:bCs/>
        </w:rPr>
        <w:t>、债权投资</w:t>
      </w:r>
      <w:bookmarkEnd w:id="194"/>
    </w:p>
    <w:p w14:paraId="31D7330F" w14:textId="77777777" w:rsidR="00AF139E" w:rsidRPr="005B5EC1" w:rsidRDefault="00000000">
      <w:pPr>
        <w:pStyle w:val="a3"/>
        <w:divId w:val="505824371"/>
        <w:rPr>
          <w:rFonts w:ascii="Times New Roman" w:hAnsi="Times New Roman" w:cs="Times New Roman"/>
          <w:sz w:val="18"/>
          <w:szCs w:val="18"/>
        </w:rPr>
      </w:pPr>
      <w:r w:rsidRPr="005B5EC1">
        <w:rPr>
          <w:rFonts w:ascii="Times New Roman" w:hAnsi="Times New Roman" w:cs="Times New Roman"/>
          <w:sz w:val="18"/>
          <w:szCs w:val="18"/>
        </w:rPr>
        <w:t>无</w:t>
      </w:r>
    </w:p>
    <w:p w14:paraId="27CE937A" w14:textId="77777777" w:rsidR="00E32FE0" w:rsidRPr="005B5EC1" w:rsidRDefault="00000000">
      <w:pPr>
        <w:pStyle w:val="3"/>
        <w:spacing w:line="280" w:lineRule="exact"/>
        <w:jc w:val="left"/>
        <w:rPr>
          <w:rFonts w:ascii="Times New Roman" w:hAnsi="Times New Roman" w:cs="Times New Roman"/>
          <w:b/>
          <w:bCs/>
        </w:rPr>
      </w:pPr>
      <w:bookmarkStart w:id="195" w:name="_Toc989084"/>
      <w:r w:rsidRPr="005B5EC1">
        <w:rPr>
          <w:rFonts w:ascii="Times New Roman" w:hAnsi="Times New Roman" w:cs="Times New Roman"/>
          <w:b/>
          <w:bCs/>
        </w:rPr>
        <w:t>20</w:t>
      </w:r>
      <w:r w:rsidRPr="005B5EC1">
        <w:rPr>
          <w:rFonts w:ascii="Times New Roman" w:hAnsi="Times New Roman" w:cs="Times New Roman"/>
          <w:b/>
          <w:bCs/>
        </w:rPr>
        <w:t>、其他债权投资</w:t>
      </w:r>
      <w:bookmarkEnd w:id="195"/>
    </w:p>
    <w:p w14:paraId="3AFC7EAC" w14:textId="77777777" w:rsidR="00AF139E" w:rsidRPr="005B5EC1" w:rsidRDefault="00000000">
      <w:pPr>
        <w:pStyle w:val="a3"/>
        <w:divId w:val="1461336527"/>
        <w:rPr>
          <w:rFonts w:ascii="Times New Roman" w:hAnsi="Times New Roman" w:cs="Times New Roman"/>
          <w:sz w:val="18"/>
          <w:szCs w:val="18"/>
        </w:rPr>
      </w:pPr>
      <w:r w:rsidRPr="005B5EC1">
        <w:rPr>
          <w:rFonts w:ascii="Times New Roman" w:hAnsi="Times New Roman" w:cs="Times New Roman"/>
          <w:sz w:val="18"/>
          <w:szCs w:val="18"/>
        </w:rPr>
        <w:t>无</w:t>
      </w:r>
    </w:p>
    <w:p w14:paraId="03944DAD" w14:textId="77777777" w:rsidR="00E32FE0" w:rsidRPr="005B5EC1" w:rsidRDefault="00000000">
      <w:pPr>
        <w:pStyle w:val="3"/>
        <w:spacing w:line="280" w:lineRule="exact"/>
        <w:jc w:val="left"/>
        <w:rPr>
          <w:rFonts w:ascii="Times New Roman" w:hAnsi="Times New Roman" w:cs="Times New Roman"/>
          <w:b/>
          <w:bCs/>
        </w:rPr>
      </w:pPr>
      <w:bookmarkStart w:id="196" w:name="_Toc989085"/>
      <w:r w:rsidRPr="005B5EC1">
        <w:rPr>
          <w:rFonts w:ascii="Times New Roman" w:hAnsi="Times New Roman" w:cs="Times New Roman"/>
          <w:b/>
          <w:bCs/>
        </w:rPr>
        <w:t>21</w:t>
      </w:r>
      <w:r w:rsidRPr="005B5EC1">
        <w:rPr>
          <w:rFonts w:ascii="Times New Roman" w:hAnsi="Times New Roman" w:cs="Times New Roman"/>
          <w:b/>
          <w:bCs/>
        </w:rPr>
        <w:t>、长期应收款</w:t>
      </w:r>
      <w:bookmarkEnd w:id="196"/>
    </w:p>
    <w:p w14:paraId="6B749A5F" w14:textId="77777777" w:rsidR="00AF139E" w:rsidRPr="005B5EC1" w:rsidRDefault="00000000">
      <w:pPr>
        <w:pStyle w:val="a3"/>
        <w:divId w:val="1509326165"/>
        <w:rPr>
          <w:rFonts w:ascii="Times New Roman" w:hAnsi="Times New Roman" w:cs="Times New Roman"/>
          <w:sz w:val="18"/>
          <w:szCs w:val="18"/>
        </w:rPr>
      </w:pPr>
      <w:r w:rsidRPr="005B5EC1">
        <w:rPr>
          <w:rFonts w:ascii="Times New Roman" w:hAnsi="Times New Roman" w:cs="Times New Roman"/>
          <w:sz w:val="18"/>
          <w:szCs w:val="18"/>
        </w:rPr>
        <w:t>无</w:t>
      </w:r>
    </w:p>
    <w:p w14:paraId="73531503" w14:textId="77777777" w:rsidR="00E32FE0" w:rsidRPr="005B5EC1" w:rsidRDefault="00000000">
      <w:pPr>
        <w:pStyle w:val="3"/>
        <w:spacing w:line="280" w:lineRule="exact"/>
        <w:jc w:val="left"/>
        <w:rPr>
          <w:rFonts w:ascii="Times New Roman" w:hAnsi="Times New Roman" w:cs="Times New Roman"/>
          <w:b/>
          <w:bCs/>
        </w:rPr>
      </w:pPr>
      <w:bookmarkStart w:id="197" w:name="_Toc989086"/>
      <w:r w:rsidRPr="005B5EC1">
        <w:rPr>
          <w:rFonts w:ascii="Times New Roman" w:hAnsi="Times New Roman" w:cs="Times New Roman"/>
          <w:b/>
          <w:bCs/>
        </w:rPr>
        <w:lastRenderedPageBreak/>
        <w:t>22</w:t>
      </w:r>
      <w:r w:rsidRPr="005B5EC1">
        <w:rPr>
          <w:rFonts w:ascii="Times New Roman" w:hAnsi="Times New Roman" w:cs="Times New Roman"/>
          <w:b/>
          <w:bCs/>
        </w:rPr>
        <w:t>、长期股权投资</w:t>
      </w:r>
      <w:bookmarkEnd w:id="197"/>
    </w:p>
    <w:p w14:paraId="555A0083"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本部分所指的长期股权投资是指本集团对被投资单位具有控制、共同控制或重大影响的长期股权投资。本集团对被投资单位不具有控制、共同控制或重大影响的长期股权投资，作为以公允价值计量且其变动计入当期损益的金融资产核算，其中如果属于非交易性的，本集团在初始确认时可选择将其指定为以公允价值计量且其变动计入其他综合收益的金融资产核算，其会计政策详见附注五、</w:t>
      </w:r>
      <w:r w:rsidRPr="005B5EC1">
        <w:rPr>
          <w:rFonts w:ascii="Times New Roman" w:hAnsi="Times New Roman" w:cs="Times New Roman"/>
          <w:sz w:val="18"/>
          <w:szCs w:val="18"/>
        </w:rPr>
        <w:t>11“</w:t>
      </w:r>
      <w:r w:rsidRPr="005B5EC1">
        <w:rPr>
          <w:rFonts w:ascii="Times New Roman" w:hAnsi="Times New Roman" w:cs="Times New Roman"/>
          <w:sz w:val="18"/>
          <w:szCs w:val="18"/>
        </w:rPr>
        <w:t>金融工具</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w:t>
      </w:r>
    </w:p>
    <w:p w14:paraId="78D27522"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共同控制，是指本集团按照相关约定对某项安排所共有的控制，并且该安排的相关活动必须经过分享控制权的参与方一致同意后才能决策。重大影响，是指本集团对被投资单位的财务和经营政策有参与决策的权力，但并不能够控制或者与其他方一起共同控制这些政策的制定。</w:t>
      </w:r>
    </w:p>
    <w:p w14:paraId="3CE4877F"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投资成本的确定</w:t>
      </w:r>
    </w:p>
    <w:p w14:paraId="262EED94"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对于同一控制下的企业合并取得的长期股权投资，在合并日按照被合并方股东权益</w:t>
      </w:r>
      <w:r w:rsidRPr="005B5EC1">
        <w:rPr>
          <w:rFonts w:ascii="Times New Roman" w:hAnsi="Times New Roman" w:cs="Times New Roman"/>
          <w:sz w:val="18"/>
          <w:szCs w:val="18"/>
        </w:rPr>
        <w:t>/</w:t>
      </w:r>
      <w:r w:rsidRPr="005B5EC1">
        <w:rPr>
          <w:rFonts w:ascii="Times New Roman" w:hAnsi="Times New Roman" w:cs="Times New Roman"/>
          <w:sz w:val="18"/>
          <w:szCs w:val="18"/>
        </w:rPr>
        <w:t>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w:t>
      </w:r>
      <w:r w:rsidRPr="005B5EC1">
        <w:rPr>
          <w:rFonts w:ascii="Times New Roman" w:hAnsi="Times New Roman" w:cs="Times New Roman"/>
          <w:sz w:val="18"/>
          <w:szCs w:val="18"/>
        </w:rPr>
        <w:t>/</w:t>
      </w:r>
      <w:r w:rsidRPr="005B5EC1">
        <w:rPr>
          <w:rFonts w:ascii="Times New Roman" w:hAnsi="Times New Roman" w:cs="Times New Roman"/>
          <w:sz w:val="18"/>
          <w:szCs w:val="18"/>
        </w:rPr>
        <w:t>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进行处理：属于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的，将各项交易作为一项取得控制权的交易进行会计处理。不属于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的，在合并日按照应享有被合并方股东权益</w:t>
      </w:r>
      <w:r w:rsidRPr="005B5EC1">
        <w:rPr>
          <w:rFonts w:ascii="Times New Roman" w:hAnsi="Times New Roman" w:cs="Times New Roman"/>
          <w:sz w:val="18"/>
          <w:szCs w:val="18"/>
        </w:rPr>
        <w:t>/</w:t>
      </w:r>
      <w:r w:rsidRPr="005B5EC1">
        <w:rPr>
          <w:rFonts w:ascii="Times New Roman" w:hAnsi="Times New Roman" w:cs="Times New Roman"/>
          <w:sz w:val="18"/>
          <w:szCs w:val="18"/>
        </w:rPr>
        <w:t>所有者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14:paraId="715D0374"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进行处理：属于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的，将各项交易作为一项取得控制权的交易进行会计处理。不属于</w:t>
      </w:r>
      <w:r w:rsidRPr="005B5EC1">
        <w:rPr>
          <w:rFonts w:ascii="Times New Roman" w:hAnsi="Times New Roman" w:cs="Times New Roman"/>
          <w:sz w:val="18"/>
          <w:szCs w:val="18"/>
        </w:rPr>
        <w:t>“</w:t>
      </w:r>
      <w:r w:rsidRPr="005B5EC1">
        <w:rPr>
          <w:rFonts w:ascii="Times New Roman" w:hAnsi="Times New Roman" w:cs="Times New Roman"/>
          <w:sz w:val="18"/>
          <w:szCs w:val="18"/>
        </w:rPr>
        <w:t>一揽子交易</w:t>
      </w:r>
      <w:r w:rsidRPr="005B5EC1">
        <w:rPr>
          <w:rFonts w:ascii="Times New Roman" w:hAnsi="Times New Roman" w:cs="Times New Roman"/>
          <w:sz w:val="18"/>
          <w:szCs w:val="18"/>
        </w:rPr>
        <w:t>”</w:t>
      </w:r>
      <w:r w:rsidRPr="005B5EC1">
        <w:rPr>
          <w:rFonts w:ascii="Times New Roman" w:hAnsi="Times New Roman" w:cs="Times New Roman"/>
          <w:sz w:val="18"/>
          <w:szCs w:val="18"/>
        </w:rPr>
        <w:t>的，按照原持有被购买方的股权投资账面价值加上新增投资成本之和，作为改按成本法核算的长期股权投资的初始投资成本。原持有的股权采用权益法核算的，相关其他综合收益暂不进行会计处理。</w:t>
      </w:r>
    </w:p>
    <w:p w14:paraId="185A7E4A"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合并方或购买方为企业合并发生的审计、法律服务、评估咨询等中介费用以及其他相关管理费用，于发生时计入当期损益。</w:t>
      </w:r>
    </w:p>
    <w:p w14:paraId="62ABAE2E"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除企业合并形成的长期股权投资外的其他股权投资，按成本进行初始计量，该成本视长期股权投资取得方式的不同，分别按照本集团实际支付的现金购买价款、本集团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sidRPr="005B5EC1">
        <w:rPr>
          <w:rFonts w:ascii="Times New Roman" w:hAnsi="Times New Roman" w:cs="Times New Roman"/>
          <w:sz w:val="18"/>
          <w:szCs w:val="18"/>
        </w:rPr>
        <w:t>22</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金融工具确认和计量》确定的原持有股权投资的公允价值加上新增投资成本之和。</w:t>
      </w:r>
    </w:p>
    <w:p w14:paraId="6F45F79F"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后续计量及损益确认方法</w:t>
      </w:r>
    </w:p>
    <w:p w14:paraId="6A397197"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对被投资单位具有共同控制（构成共同经营者除外）或重大影响的长期股权投资，采用权益法核算。此外，公司财务报表采用成本法核算能够对被投资单位实施控制的长期股权投资。</w:t>
      </w:r>
    </w:p>
    <w:p w14:paraId="38C79E2C"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Cambria Math" w:hAnsi="Cambria Math" w:cs="Cambria Math"/>
          <w:sz w:val="18"/>
          <w:szCs w:val="18"/>
        </w:rPr>
        <w:lastRenderedPageBreak/>
        <w:t>①</w:t>
      </w:r>
      <w:r w:rsidRPr="005B5EC1">
        <w:rPr>
          <w:rFonts w:ascii="Times New Roman" w:hAnsi="Times New Roman" w:cs="Times New Roman"/>
          <w:sz w:val="18"/>
          <w:szCs w:val="18"/>
        </w:rPr>
        <w:t>成本法核算的长期股权投资</w:t>
      </w:r>
    </w:p>
    <w:p w14:paraId="5D0BE289"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14:paraId="2BFE98D5"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权益法核算的长期股权投资</w:t>
      </w:r>
    </w:p>
    <w:p w14:paraId="6139EEE8"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14:paraId="068F17B8"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集团不一致的，按照本集团的会计政策及会计期间对被投资单位的财务报表进行调整，并据以确认投资收益和其他综合收益。对于本集团与联营企业及合营企业之间发生的交易，投出或出售的资产不构成业务的，未实现内部交易损益按照享有的比例计算归属于本集团的部分予以抵销，在此基础上确认投资损益。但本集团与被投资单位发生的未实现内部交易损失，属于所转让资产减值损失的，不予以抵销。本集团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集团向合营企业或联营企业出售的资产构成业务的，取得的对价与业务的账面价值之差，全额计入当期损益。本集团自联营企业及合营企业购入的资产构成业务的，按《企业会计准则第</w:t>
      </w:r>
      <w:r w:rsidRPr="005B5EC1">
        <w:rPr>
          <w:rFonts w:ascii="Times New Roman" w:hAnsi="Times New Roman" w:cs="Times New Roman"/>
          <w:sz w:val="18"/>
          <w:szCs w:val="18"/>
        </w:rPr>
        <w:t>20</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企业合并》的规定进行会计处理，全额确认与交易相关的利得或损失。</w:t>
      </w:r>
    </w:p>
    <w:p w14:paraId="3A8DB4BA"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在确认应分担被投资单位发生的净亏损时，以长期股权投资的账面价值和其他实质上构成对被投资单位净投资的长期权益减记至零为限。此外，如本集团对被投资单位负有承担额外损失的义务，则按预计承担的义务确认预计负债，计入当期投资损失。被投资单位以后期间实现净利润的，本集团在收益分享额弥补未确认的亏损分担额后，恢复确认收益分享额。</w:t>
      </w:r>
    </w:p>
    <w:p w14:paraId="695B16F7"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Cambria Math" w:hAnsi="Cambria Math" w:cs="Cambria Math"/>
          <w:sz w:val="18"/>
          <w:szCs w:val="18"/>
        </w:rPr>
        <w:t>③</w:t>
      </w:r>
      <w:r w:rsidRPr="005B5EC1">
        <w:rPr>
          <w:rFonts w:ascii="Times New Roman" w:hAnsi="Times New Roman" w:cs="Times New Roman"/>
          <w:sz w:val="18"/>
          <w:szCs w:val="18"/>
        </w:rPr>
        <w:t>收购少数股权</w:t>
      </w:r>
    </w:p>
    <w:p w14:paraId="668CE1F0"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14:paraId="45C496B8"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Cambria Math" w:hAnsi="Cambria Math" w:cs="Cambria Math"/>
          <w:sz w:val="18"/>
          <w:szCs w:val="18"/>
        </w:rPr>
        <w:t>④</w:t>
      </w:r>
      <w:r w:rsidRPr="005B5EC1">
        <w:rPr>
          <w:rFonts w:ascii="Times New Roman" w:hAnsi="Times New Roman" w:cs="Times New Roman"/>
          <w:sz w:val="18"/>
          <w:szCs w:val="18"/>
        </w:rPr>
        <w:t>处置长期股权投资</w:t>
      </w:r>
    </w:p>
    <w:p w14:paraId="21D6E537"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五、</w:t>
      </w:r>
      <w:r w:rsidRPr="005B5EC1">
        <w:rPr>
          <w:rFonts w:ascii="Times New Roman" w:hAnsi="Times New Roman" w:cs="Times New Roman"/>
          <w:sz w:val="18"/>
          <w:szCs w:val="18"/>
        </w:rPr>
        <w:t>6</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同一控制下和非同一控制下企业合并的会计处理方法</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）中所述的相关会计政策处理。</w:t>
      </w:r>
    </w:p>
    <w:p w14:paraId="4C2436B0"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其他情形下的长期股权投资处置，对于处置的股权，其账面价值与实际取得价款的差额，计入当期损益。</w:t>
      </w:r>
    </w:p>
    <w:p w14:paraId="2452D143"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14:paraId="1832AA38"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w:t>
      </w:r>
      <w:r w:rsidRPr="005B5EC1">
        <w:rPr>
          <w:rFonts w:ascii="Times New Roman" w:hAnsi="Times New Roman" w:cs="Times New Roman"/>
          <w:sz w:val="18"/>
          <w:szCs w:val="18"/>
        </w:rPr>
        <w:lastRenderedPageBreak/>
        <w:t>基础进行会计处理，并按比例结转当期损益；因采用权益法核算而确认的被投资单位净资产中除净损益、其他综合收益和利润分配以外的其他所有者权益变动按比例结转当期损益。</w:t>
      </w:r>
    </w:p>
    <w:p w14:paraId="6AB8E6A1"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本集团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集团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14:paraId="5274A8D8"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本集团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14:paraId="607E580F" w14:textId="77777777" w:rsidR="00AF139E" w:rsidRPr="005B5EC1" w:rsidRDefault="00000000" w:rsidP="000B1262">
      <w:pPr>
        <w:pStyle w:val="a3"/>
        <w:spacing w:before="0" w:beforeAutospacing="0" w:after="0" w:afterAutospacing="0" w:line="276" w:lineRule="auto"/>
        <w:ind w:firstLine="357"/>
        <w:jc w:val="both"/>
        <w:divId w:val="502210502"/>
        <w:rPr>
          <w:rFonts w:ascii="Times New Roman" w:hAnsi="Times New Roman" w:cs="Times New Roman"/>
          <w:sz w:val="18"/>
          <w:szCs w:val="18"/>
        </w:rPr>
      </w:pPr>
      <w:r w:rsidRPr="005B5EC1">
        <w:rPr>
          <w:rFonts w:ascii="Times New Roman" w:hAnsi="Times New Roman" w:cs="Times New Roman"/>
          <w:sz w:val="18"/>
          <w:szCs w:val="18"/>
        </w:rPr>
        <w:t>本集团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14:paraId="6A051F5F" w14:textId="77777777" w:rsidR="00E32FE0" w:rsidRPr="005B5EC1" w:rsidRDefault="00000000">
      <w:pPr>
        <w:pStyle w:val="3"/>
        <w:spacing w:line="280" w:lineRule="exact"/>
        <w:jc w:val="left"/>
        <w:rPr>
          <w:rFonts w:ascii="Times New Roman" w:hAnsi="Times New Roman" w:cs="Times New Roman"/>
          <w:b/>
          <w:bCs/>
        </w:rPr>
      </w:pPr>
      <w:bookmarkStart w:id="198" w:name="_Toc989087"/>
      <w:r w:rsidRPr="005B5EC1">
        <w:rPr>
          <w:rFonts w:ascii="Times New Roman" w:hAnsi="Times New Roman" w:cs="Times New Roman"/>
          <w:b/>
          <w:bCs/>
        </w:rPr>
        <w:t>23</w:t>
      </w:r>
      <w:r w:rsidRPr="005B5EC1">
        <w:rPr>
          <w:rFonts w:ascii="Times New Roman" w:hAnsi="Times New Roman" w:cs="Times New Roman"/>
          <w:b/>
          <w:bCs/>
        </w:rPr>
        <w:t>、投资性房地产</w:t>
      </w:r>
      <w:bookmarkEnd w:id="198"/>
    </w:p>
    <w:p w14:paraId="61917D3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投资性房地产计量模式</w:t>
      </w:r>
    </w:p>
    <w:p w14:paraId="257E856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p w14:paraId="01D1482B" w14:textId="77777777" w:rsidR="00E32FE0" w:rsidRPr="005B5EC1" w:rsidRDefault="00000000">
      <w:pPr>
        <w:pStyle w:val="3"/>
        <w:spacing w:line="280" w:lineRule="exact"/>
        <w:jc w:val="left"/>
        <w:rPr>
          <w:rFonts w:ascii="Times New Roman" w:hAnsi="Times New Roman" w:cs="Times New Roman"/>
          <w:b/>
          <w:bCs/>
        </w:rPr>
      </w:pPr>
      <w:bookmarkStart w:id="199" w:name="_Toc989088"/>
      <w:r w:rsidRPr="005B5EC1">
        <w:rPr>
          <w:rFonts w:ascii="Times New Roman" w:hAnsi="Times New Roman" w:cs="Times New Roman"/>
          <w:b/>
          <w:bCs/>
        </w:rPr>
        <w:t>24</w:t>
      </w:r>
      <w:r w:rsidRPr="005B5EC1">
        <w:rPr>
          <w:rFonts w:ascii="Times New Roman" w:hAnsi="Times New Roman" w:cs="Times New Roman"/>
          <w:b/>
          <w:bCs/>
        </w:rPr>
        <w:t>、固定资产</w:t>
      </w:r>
      <w:bookmarkEnd w:id="199"/>
    </w:p>
    <w:p w14:paraId="54CA5B7B"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bookmarkStart w:id="200" w:name="_Toc989089"/>
      <w:r w:rsidRPr="005B5EC1">
        <w:rPr>
          <w:rFonts w:ascii="Times New Roman" w:hAnsi="Times New Roman" w:cs="Times New Roman"/>
          <w:sz w:val="18"/>
          <w:szCs w:val="18"/>
        </w:rPr>
        <w:t>（</w:t>
      </w:r>
      <w:r w:rsidRPr="005B5EC1">
        <w:rPr>
          <w:rFonts w:ascii="Times New Roman" w:hAnsi="Times New Roman" w:cs="Times New Roman"/>
          <w:sz w:val="18"/>
          <w:szCs w:val="18"/>
        </w:rPr>
        <w:t>1</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确认条件</w:t>
      </w:r>
      <w:bookmarkEnd w:id="200"/>
    </w:p>
    <w:p w14:paraId="722470EC" w14:textId="77777777" w:rsidR="00AF139E" w:rsidRPr="005B5EC1" w:rsidRDefault="00000000" w:rsidP="000B1262">
      <w:pPr>
        <w:pStyle w:val="a3"/>
        <w:spacing w:before="0" w:beforeAutospacing="0" w:after="0" w:afterAutospacing="0" w:line="276" w:lineRule="auto"/>
        <w:ind w:firstLine="357"/>
        <w:jc w:val="both"/>
        <w:divId w:val="1950771038"/>
        <w:rPr>
          <w:rFonts w:ascii="Times New Roman" w:hAnsi="Times New Roman" w:cs="Times New Roman"/>
          <w:sz w:val="18"/>
          <w:szCs w:val="18"/>
        </w:rPr>
      </w:pPr>
      <w:r w:rsidRPr="005B5EC1">
        <w:rPr>
          <w:rFonts w:ascii="Times New Roman" w:hAnsi="Times New Roman" w:cs="Times New Roman"/>
          <w:sz w:val="18"/>
          <w:szCs w:val="18"/>
        </w:rPr>
        <w:t>固定资产是指为生产商品、提供劳务、出租或经营管理而持有的，使用寿命超过一个会计年度的有形资产。固定资产仅在与其有关的经济利益很可能流入本集团，且其成本能够可靠地计量时才予以确认。固定资产按成本并考虑预计弃置费用因素的影响进行初始计量。</w:t>
      </w:r>
    </w:p>
    <w:p w14:paraId="7B0D0C82"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bookmarkStart w:id="201" w:name="_Toc989090"/>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折旧方法</w:t>
      </w:r>
      <w:bookmarkEnd w:id="201"/>
    </w:p>
    <w:p w14:paraId="3EA5E451" w14:textId="77777777" w:rsidR="00E32FE0" w:rsidRPr="005B5EC1" w:rsidRDefault="00E32FE0">
      <w:pPr>
        <w:spacing w:after="0" w:line="0" w:lineRule="atLeast"/>
        <w:rPr>
          <w:rFonts w:ascii="Times New Roman" w:hAnsi="Times New Roman" w:cs="Times New Roman"/>
        </w:rPr>
      </w:pP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0C6DB9B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34D27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E7AED4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EEADA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8934F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C2ACD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年折旧率</w:t>
            </w:r>
          </w:p>
        </w:tc>
      </w:tr>
      <w:tr w:rsidR="00E32FE0" w:rsidRPr="005B5EC1" w14:paraId="43EADF1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87A030F"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14:paraId="2BD43A08"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07C307BF"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20-40</w:t>
            </w:r>
          </w:p>
        </w:tc>
        <w:tc>
          <w:tcPr>
            <w:tcW w:w="1928" w:type="dxa"/>
            <w:tcBorders>
              <w:top w:val="single" w:sz="2" w:space="0" w:color="auto"/>
              <w:left w:val="single" w:sz="2" w:space="0" w:color="auto"/>
              <w:bottom w:val="single" w:sz="2" w:space="0" w:color="auto"/>
              <w:right w:val="single" w:sz="2" w:space="0" w:color="auto"/>
            </w:tcBorders>
            <w:vAlign w:val="center"/>
          </w:tcPr>
          <w:p w14:paraId="600CDEC3"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68CAB767"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2.38-4.75</w:t>
            </w:r>
          </w:p>
        </w:tc>
      </w:tr>
      <w:tr w:rsidR="00E32FE0" w:rsidRPr="005B5EC1" w14:paraId="3A8489F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47CFB5A"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14:paraId="69C3738D"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0A34C97C"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8-14</w:t>
            </w:r>
          </w:p>
        </w:tc>
        <w:tc>
          <w:tcPr>
            <w:tcW w:w="1928" w:type="dxa"/>
            <w:tcBorders>
              <w:top w:val="single" w:sz="2" w:space="0" w:color="auto"/>
              <w:left w:val="single" w:sz="2" w:space="0" w:color="auto"/>
              <w:bottom w:val="single" w:sz="2" w:space="0" w:color="auto"/>
              <w:right w:val="single" w:sz="2" w:space="0" w:color="auto"/>
            </w:tcBorders>
            <w:vAlign w:val="center"/>
          </w:tcPr>
          <w:p w14:paraId="262244AF"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0BB1AE9E"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6.79-12.50</w:t>
            </w:r>
          </w:p>
        </w:tc>
      </w:tr>
      <w:tr w:rsidR="00E32FE0" w:rsidRPr="005B5EC1" w14:paraId="4DCAA98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9AE774B"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运输工具</w:t>
            </w:r>
          </w:p>
        </w:tc>
        <w:tc>
          <w:tcPr>
            <w:tcW w:w="1928" w:type="dxa"/>
            <w:tcBorders>
              <w:top w:val="single" w:sz="2" w:space="0" w:color="auto"/>
              <w:left w:val="single" w:sz="2" w:space="0" w:color="auto"/>
              <w:bottom w:val="single" w:sz="2" w:space="0" w:color="auto"/>
              <w:right w:val="single" w:sz="2" w:space="0" w:color="auto"/>
            </w:tcBorders>
            <w:vAlign w:val="center"/>
          </w:tcPr>
          <w:p w14:paraId="05233D8F"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33FD4B1A"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4-5</w:t>
            </w:r>
          </w:p>
        </w:tc>
        <w:tc>
          <w:tcPr>
            <w:tcW w:w="1928" w:type="dxa"/>
            <w:tcBorders>
              <w:top w:val="single" w:sz="2" w:space="0" w:color="auto"/>
              <w:left w:val="single" w:sz="2" w:space="0" w:color="auto"/>
              <w:bottom w:val="single" w:sz="2" w:space="0" w:color="auto"/>
              <w:right w:val="single" w:sz="2" w:space="0" w:color="auto"/>
            </w:tcBorders>
            <w:vAlign w:val="center"/>
          </w:tcPr>
          <w:p w14:paraId="1736E81C"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30732E79"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19.00-25.00</w:t>
            </w:r>
          </w:p>
        </w:tc>
      </w:tr>
      <w:tr w:rsidR="00E32FE0" w:rsidRPr="005B5EC1" w14:paraId="0471E46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2D77F01"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14:paraId="50304212"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66639E5A"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3-5</w:t>
            </w:r>
          </w:p>
        </w:tc>
        <w:tc>
          <w:tcPr>
            <w:tcW w:w="1928" w:type="dxa"/>
            <w:tcBorders>
              <w:top w:val="single" w:sz="2" w:space="0" w:color="auto"/>
              <w:left w:val="single" w:sz="2" w:space="0" w:color="auto"/>
              <w:bottom w:val="single" w:sz="2" w:space="0" w:color="auto"/>
              <w:right w:val="single" w:sz="2" w:space="0" w:color="auto"/>
            </w:tcBorders>
            <w:vAlign w:val="center"/>
          </w:tcPr>
          <w:p w14:paraId="16BEDF87"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3392090C"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19.00-33.33</w:t>
            </w:r>
          </w:p>
        </w:tc>
      </w:tr>
      <w:tr w:rsidR="00E32FE0" w:rsidRPr="005B5EC1" w14:paraId="3F2B222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05340F8"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14:paraId="34F03ADE"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7F0F2924"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4-8</w:t>
            </w:r>
          </w:p>
        </w:tc>
        <w:tc>
          <w:tcPr>
            <w:tcW w:w="1928" w:type="dxa"/>
            <w:tcBorders>
              <w:top w:val="single" w:sz="2" w:space="0" w:color="auto"/>
              <w:left w:val="single" w:sz="2" w:space="0" w:color="auto"/>
              <w:bottom w:val="single" w:sz="2" w:space="0" w:color="auto"/>
              <w:right w:val="single" w:sz="2" w:space="0" w:color="auto"/>
            </w:tcBorders>
            <w:vAlign w:val="center"/>
          </w:tcPr>
          <w:p w14:paraId="03AA49C3"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14:paraId="36DC5EBC" w14:textId="77777777" w:rsidR="00E32FE0" w:rsidRPr="005B5EC1" w:rsidRDefault="00000000" w:rsidP="000B126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11.88-25.00</w:t>
            </w:r>
          </w:p>
        </w:tc>
      </w:tr>
    </w:tbl>
    <w:p w14:paraId="74CABD96" w14:textId="77777777" w:rsidR="00AF139E" w:rsidRPr="005B5EC1" w:rsidRDefault="00000000" w:rsidP="000B1262">
      <w:pPr>
        <w:pStyle w:val="a3"/>
        <w:spacing w:before="0" w:beforeAutospacing="0" w:after="0" w:afterAutospacing="0" w:line="276" w:lineRule="auto"/>
        <w:ind w:firstLine="357"/>
        <w:jc w:val="both"/>
        <w:divId w:val="2061901279"/>
        <w:rPr>
          <w:rFonts w:ascii="Times New Roman" w:hAnsi="Times New Roman" w:cs="Times New Roman"/>
          <w:sz w:val="18"/>
          <w:szCs w:val="18"/>
        </w:rPr>
      </w:pPr>
      <w:r w:rsidRPr="005B5EC1">
        <w:rPr>
          <w:rFonts w:ascii="Times New Roman" w:hAnsi="Times New Roman" w:cs="Times New Roman"/>
          <w:sz w:val="18"/>
          <w:szCs w:val="18"/>
        </w:rPr>
        <w:t>预计净残值是指假定固定资产预计使用寿命已满并处于使用寿命终了时的预期状态，本集团目前从该项资产处置中获得的扣除预计处置费用后的金额。</w:t>
      </w:r>
    </w:p>
    <w:p w14:paraId="20D807E6" w14:textId="77777777" w:rsidR="00AF139E" w:rsidRPr="005B5EC1" w:rsidRDefault="00000000" w:rsidP="000B1262">
      <w:pPr>
        <w:pStyle w:val="a3"/>
        <w:spacing w:before="0" w:beforeAutospacing="0" w:after="0" w:afterAutospacing="0" w:line="276" w:lineRule="auto"/>
        <w:ind w:firstLine="357"/>
        <w:jc w:val="both"/>
        <w:divId w:val="2061901279"/>
        <w:rPr>
          <w:rFonts w:ascii="Times New Roman" w:hAnsi="Times New Roman" w:cs="Times New Roman"/>
          <w:sz w:val="18"/>
          <w:szCs w:val="18"/>
        </w:rPr>
      </w:pPr>
      <w:r w:rsidRPr="005B5EC1">
        <w:rPr>
          <w:rFonts w:ascii="Times New Roman" w:hAnsi="Times New Roman" w:cs="Times New Roman"/>
          <w:sz w:val="18"/>
          <w:szCs w:val="18"/>
        </w:rPr>
        <w:t>固定资产的减值测试方法和减值准备计提方法详见附注五、</w:t>
      </w:r>
      <w:r w:rsidRPr="005B5EC1">
        <w:rPr>
          <w:rFonts w:ascii="Times New Roman" w:hAnsi="Times New Roman" w:cs="Times New Roman"/>
          <w:sz w:val="18"/>
          <w:szCs w:val="18"/>
        </w:rPr>
        <w:t>30“</w:t>
      </w:r>
      <w:r w:rsidRPr="005B5EC1">
        <w:rPr>
          <w:rFonts w:ascii="Times New Roman" w:hAnsi="Times New Roman" w:cs="Times New Roman"/>
          <w:sz w:val="18"/>
          <w:szCs w:val="18"/>
        </w:rPr>
        <w:t>长期资产减值</w:t>
      </w:r>
      <w:r w:rsidRPr="005B5EC1">
        <w:rPr>
          <w:rFonts w:ascii="Times New Roman" w:hAnsi="Times New Roman" w:cs="Times New Roman"/>
          <w:sz w:val="18"/>
          <w:szCs w:val="18"/>
        </w:rPr>
        <w:t>”</w:t>
      </w:r>
      <w:r w:rsidRPr="005B5EC1">
        <w:rPr>
          <w:rFonts w:ascii="Times New Roman" w:hAnsi="Times New Roman" w:cs="Times New Roman"/>
          <w:sz w:val="18"/>
          <w:szCs w:val="18"/>
        </w:rPr>
        <w:t>。</w:t>
      </w:r>
    </w:p>
    <w:p w14:paraId="1AB3C552" w14:textId="77777777" w:rsidR="00AF139E" w:rsidRPr="005B5EC1" w:rsidRDefault="00000000" w:rsidP="000B1262">
      <w:pPr>
        <w:pStyle w:val="a3"/>
        <w:spacing w:before="0" w:beforeAutospacing="0" w:after="0" w:afterAutospacing="0" w:line="276" w:lineRule="auto"/>
        <w:ind w:firstLine="357"/>
        <w:jc w:val="both"/>
        <w:divId w:val="2061901279"/>
        <w:rPr>
          <w:rFonts w:ascii="Times New Roman" w:hAnsi="Times New Roman" w:cs="Times New Roman"/>
          <w:sz w:val="18"/>
          <w:szCs w:val="18"/>
        </w:rPr>
      </w:pPr>
      <w:r w:rsidRPr="005B5EC1">
        <w:rPr>
          <w:rFonts w:ascii="Times New Roman" w:hAnsi="Times New Roman" w:cs="Times New Roman"/>
          <w:sz w:val="18"/>
          <w:szCs w:val="18"/>
        </w:rPr>
        <w:lastRenderedPageBreak/>
        <w:t>与固定资产有关的后续支出，如果与该固定资产有关的经济利益很可能流入且其成本能可靠地计量，则计入固定资产成本，并终止确认被替换部分的账面价值。除此以外的其他后续支出，在发生时计入当期损益。</w:t>
      </w:r>
    </w:p>
    <w:p w14:paraId="7DA58831" w14:textId="77777777" w:rsidR="00AF139E" w:rsidRPr="005B5EC1" w:rsidRDefault="00000000" w:rsidP="000B1262">
      <w:pPr>
        <w:pStyle w:val="a3"/>
        <w:spacing w:before="0" w:beforeAutospacing="0" w:after="0" w:afterAutospacing="0" w:line="276" w:lineRule="auto"/>
        <w:ind w:firstLine="357"/>
        <w:jc w:val="both"/>
        <w:divId w:val="2061901279"/>
        <w:rPr>
          <w:rFonts w:ascii="Times New Roman" w:hAnsi="Times New Roman" w:cs="Times New Roman"/>
          <w:sz w:val="18"/>
          <w:szCs w:val="18"/>
        </w:rPr>
      </w:pPr>
      <w:r w:rsidRPr="005B5EC1">
        <w:rPr>
          <w:rFonts w:ascii="Times New Roman" w:hAnsi="Times New Roman" w:cs="Times New Roman"/>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14:paraId="5266C2D9" w14:textId="77777777" w:rsidR="00AF139E" w:rsidRPr="005B5EC1" w:rsidRDefault="00000000" w:rsidP="000B1262">
      <w:pPr>
        <w:pStyle w:val="a3"/>
        <w:spacing w:before="0" w:beforeAutospacing="0" w:after="0" w:afterAutospacing="0" w:line="276" w:lineRule="auto"/>
        <w:ind w:firstLine="357"/>
        <w:jc w:val="both"/>
        <w:divId w:val="2061901279"/>
        <w:rPr>
          <w:rFonts w:ascii="Times New Roman" w:hAnsi="Times New Roman" w:cs="Times New Roman"/>
          <w:sz w:val="18"/>
          <w:szCs w:val="18"/>
        </w:rPr>
      </w:pP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本集团至少于年度终了对固定资产的使用寿命、预计净残值和折旧方法进行复核，如发生改变则作为会计估计变更处理。</w:t>
      </w:r>
    </w:p>
    <w:p w14:paraId="4B4DF332" w14:textId="77777777" w:rsidR="00E32FE0" w:rsidRPr="005B5EC1" w:rsidRDefault="00000000">
      <w:pPr>
        <w:pStyle w:val="3"/>
        <w:spacing w:line="280" w:lineRule="exact"/>
        <w:jc w:val="left"/>
        <w:rPr>
          <w:rFonts w:ascii="Times New Roman" w:hAnsi="Times New Roman" w:cs="Times New Roman"/>
          <w:b/>
          <w:bCs/>
        </w:rPr>
      </w:pPr>
      <w:bookmarkStart w:id="202" w:name="_Toc989091"/>
      <w:r w:rsidRPr="005B5EC1">
        <w:rPr>
          <w:rFonts w:ascii="Times New Roman" w:hAnsi="Times New Roman" w:cs="Times New Roman"/>
          <w:b/>
          <w:bCs/>
        </w:rPr>
        <w:t>25</w:t>
      </w:r>
      <w:r w:rsidRPr="005B5EC1">
        <w:rPr>
          <w:rFonts w:ascii="Times New Roman" w:hAnsi="Times New Roman" w:cs="Times New Roman"/>
          <w:b/>
          <w:bCs/>
        </w:rPr>
        <w:t>、在建工程</w:t>
      </w:r>
      <w:bookmarkEnd w:id="202"/>
    </w:p>
    <w:p w14:paraId="0877A261" w14:textId="77777777" w:rsidR="00AF139E" w:rsidRPr="005B5EC1" w:rsidRDefault="00000000" w:rsidP="000B1262">
      <w:pPr>
        <w:pStyle w:val="a3"/>
        <w:spacing w:before="0" w:beforeAutospacing="0" w:after="0" w:afterAutospacing="0" w:line="276" w:lineRule="auto"/>
        <w:ind w:firstLine="357"/>
        <w:jc w:val="both"/>
        <w:divId w:val="855122393"/>
        <w:rPr>
          <w:rFonts w:ascii="Times New Roman" w:hAnsi="Times New Roman" w:cs="Times New Roman"/>
          <w:sz w:val="18"/>
          <w:szCs w:val="18"/>
        </w:rPr>
      </w:pPr>
      <w:r w:rsidRPr="005B5EC1">
        <w:rPr>
          <w:rFonts w:ascii="Times New Roman" w:hAnsi="Times New Roman" w:cs="Times New Roman"/>
          <w:sz w:val="18"/>
          <w:szCs w:val="18"/>
        </w:rPr>
        <w:t>在建工程成本按实际工程支出确定，包括在建期间发生的各项工程支出、工程达到预定可使用状态前的资本化的借款费用以及其他相关费用等。在建工程在达到预定可使用状态后结转为固定资产。</w:t>
      </w:r>
    </w:p>
    <w:p w14:paraId="709D1536" w14:textId="77777777" w:rsidR="00AF139E" w:rsidRPr="005B5EC1" w:rsidRDefault="00000000" w:rsidP="000B1262">
      <w:pPr>
        <w:pStyle w:val="a3"/>
        <w:spacing w:before="0" w:beforeAutospacing="0" w:after="0" w:afterAutospacing="0" w:line="276" w:lineRule="auto"/>
        <w:ind w:firstLine="357"/>
        <w:jc w:val="both"/>
        <w:divId w:val="855122393"/>
        <w:rPr>
          <w:rFonts w:ascii="Times New Roman" w:hAnsi="Times New Roman" w:cs="Times New Roman"/>
          <w:sz w:val="18"/>
          <w:szCs w:val="18"/>
        </w:rPr>
      </w:pPr>
      <w:r w:rsidRPr="005B5EC1">
        <w:rPr>
          <w:rFonts w:ascii="Times New Roman" w:hAnsi="Times New Roman" w:cs="Times New Roman"/>
          <w:sz w:val="18"/>
          <w:szCs w:val="18"/>
        </w:rPr>
        <w:t>在建工程的减值测试方法和减值准备计提方法详见附注五、</w:t>
      </w:r>
      <w:r w:rsidRPr="005B5EC1">
        <w:rPr>
          <w:rFonts w:ascii="Times New Roman" w:hAnsi="Times New Roman" w:cs="Times New Roman"/>
          <w:sz w:val="18"/>
          <w:szCs w:val="18"/>
        </w:rPr>
        <w:t>30“</w:t>
      </w:r>
      <w:r w:rsidRPr="005B5EC1">
        <w:rPr>
          <w:rFonts w:ascii="Times New Roman" w:hAnsi="Times New Roman" w:cs="Times New Roman"/>
          <w:sz w:val="18"/>
          <w:szCs w:val="18"/>
        </w:rPr>
        <w:t>长期资产减值</w:t>
      </w:r>
      <w:r w:rsidRPr="005B5EC1">
        <w:rPr>
          <w:rFonts w:ascii="Times New Roman" w:hAnsi="Times New Roman" w:cs="Times New Roman"/>
          <w:sz w:val="18"/>
          <w:szCs w:val="18"/>
        </w:rPr>
        <w:t>”</w:t>
      </w:r>
      <w:r w:rsidRPr="005B5EC1">
        <w:rPr>
          <w:rFonts w:ascii="Times New Roman" w:hAnsi="Times New Roman" w:cs="Times New Roman"/>
          <w:sz w:val="18"/>
          <w:szCs w:val="18"/>
        </w:rPr>
        <w:t>。</w:t>
      </w:r>
    </w:p>
    <w:p w14:paraId="5543BEBD" w14:textId="77777777" w:rsidR="00E32FE0" w:rsidRPr="005B5EC1" w:rsidRDefault="00000000">
      <w:pPr>
        <w:pStyle w:val="3"/>
        <w:spacing w:line="280" w:lineRule="exact"/>
        <w:jc w:val="left"/>
        <w:rPr>
          <w:rFonts w:ascii="Times New Roman" w:hAnsi="Times New Roman" w:cs="Times New Roman"/>
          <w:b/>
          <w:bCs/>
        </w:rPr>
      </w:pPr>
      <w:bookmarkStart w:id="203" w:name="_Toc989092"/>
      <w:r w:rsidRPr="005B5EC1">
        <w:rPr>
          <w:rFonts w:ascii="Times New Roman" w:hAnsi="Times New Roman" w:cs="Times New Roman"/>
          <w:b/>
          <w:bCs/>
        </w:rPr>
        <w:t>26</w:t>
      </w:r>
      <w:r w:rsidRPr="005B5EC1">
        <w:rPr>
          <w:rFonts w:ascii="Times New Roman" w:hAnsi="Times New Roman" w:cs="Times New Roman"/>
          <w:b/>
          <w:bCs/>
        </w:rPr>
        <w:t>、借款费用</w:t>
      </w:r>
      <w:bookmarkEnd w:id="203"/>
    </w:p>
    <w:p w14:paraId="22F937E5" w14:textId="77777777" w:rsidR="00AF139E" w:rsidRPr="005B5EC1" w:rsidRDefault="00000000" w:rsidP="000B1262">
      <w:pPr>
        <w:pStyle w:val="a3"/>
        <w:spacing w:before="0" w:beforeAutospacing="0" w:after="0" w:afterAutospacing="0" w:line="276" w:lineRule="auto"/>
        <w:ind w:firstLine="357"/>
        <w:jc w:val="both"/>
        <w:divId w:val="485557591"/>
        <w:rPr>
          <w:rFonts w:ascii="Times New Roman" w:hAnsi="Times New Roman" w:cs="Times New Roman"/>
          <w:sz w:val="18"/>
          <w:szCs w:val="18"/>
        </w:rPr>
      </w:pPr>
      <w:r w:rsidRPr="005B5EC1">
        <w:rPr>
          <w:rFonts w:ascii="Times New Roman" w:hAnsi="Times New Roman" w:cs="Times New Roman"/>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购建或者生产的符合资本化条件的资产达到预定可使用状态或者可销售状态时，停止资本化。其余借款费用在发生当期确认为费用。</w:t>
      </w:r>
    </w:p>
    <w:p w14:paraId="4DE220DC" w14:textId="77777777" w:rsidR="00AF139E" w:rsidRPr="005B5EC1" w:rsidRDefault="00000000" w:rsidP="000B1262">
      <w:pPr>
        <w:pStyle w:val="a3"/>
        <w:spacing w:before="0" w:beforeAutospacing="0" w:after="0" w:afterAutospacing="0" w:line="276" w:lineRule="auto"/>
        <w:ind w:firstLine="357"/>
        <w:jc w:val="both"/>
        <w:divId w:val="485557591"/>
        <w:rPr>
          <w:rFonts w:ascii="Times New Roman" w:hAnsi="Times New Roman" w:cs="Times New Roman"/>
          <w:sz w:val="18"/>
          <w:szCs w:val="18"/>
        </w:rPr>
      </w:pPr>
      <w:r w:rsidRPr="005B5EC1">
        <w:rPr>
          <w:rFonts w:ascii="Times New Roman" w:hAnsi="Times New Roman" w:cs="Times New Roman"/>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14:paraId="77137B80" w14:textId="77777777" w:rsidR="00AF139E" w:rsidRPr="005B5EC1" w:rsidRDefault="00000000" w:rsidP="000B1262">
      <w:pPr>
        <w:pStyle w:val="a3"/>
        <w:spacing w:before="0" w:beforeAutospacing="0" w:after="0" w:afterAutospacing="0" w:line="276" w:lineRule="auto"/>
        <w:ind w:firstLine="357"/>
        <w:jc w:val="both"/>
        <w:divId w:val="485557591"/>
        <w:rPr>
          <w:rFonts w:ascii="Times New Roman" w:hAnsi="Times New Roman" w:cs="Times New Roman"/>
          <w:sz w:val="18"/>
          <w:szCs w:val="18"/>
        </w:rPr>
      </w:pPr>
      <w:r w:rsidRPr="005B5EC1">
        <w:rPr>
          <w:rFonts w:ascii="Times New Roman" w:hAnsi="Times New Roman" w:cs="Times New Roman"/>
          <w:sz w:val="18"/>
          <w:szCs w:val="18"/>
        </w:rPr>
        <w:t>资本化期间内，外币专门借款的汇兑差额全部予以资本化；外币一般借款的汇兑差额计入当期损益。</w:t>
      </w:r>
    </w:p>
    <w:p w14:paraId="4175C6B3" w14:textId="77777777" w:rsidR="00AF139E" w:rsidRPr="005B5EC1" w:rsidRDefault="00000000" w:rsidP="000B1262">
      <w:pPr>
        <w:pStyle w:val="a3"/>
        <w:spacing w:before="0" w:beforeAutospacing="0" w:after="0" w:afterAutospacing="0" w:line="276" w:lineRule="auto"/>
        <w:ind w:firstLine="357"/>
        <w:jc w:val="both"/>
        <w:divId w:val="485557591"/>
        <w:rPr>
          <w:rFonts w:ascii="Times New Roman" w:hAnsi="Times New Roman" w:cs="Times New Roman"/>
          <w:sz w:val="18"/>
          <w:szCs w:val="18"/>
        </w:rPr>
      </w:pPr>
      <w:r w:rsidRPr="005B5EC1">
        <w:rPr>
          <w:rFonts w:ascii="Times New Roman" w:hAnsi="Times New Roman" w:cs="Times New Roman"/>
          <w:sz w:val="18"/>
          <w:szCs w:val="18"/>
        </w:rPr>
        <w:t>符合资本化条件的资产指需要经过相当长时间的购建或者生产活动才能达到预定可使用或可销售状态的固定资产、投资性房地产和存货等资产。</w:t>
      </w:r>
    </w:p>
    <w:p w14:paraId="5E549BC4" w14:textId="77777777" w:rsidR="00AF139E" w:rsidRPr="005B5EC1" w:rsidRDefault="00000000" w:rsidP="000B1262">
      <w:pPr>
        <w:pStyle w:val="a3"/>
        <w:spacing w:before="0" w:beforeAutospacing="0" w:after="0" w:afterAutospacing="0" w:line="276" w:lineRule="auto"/>
        <w:ind w:firstLine="357"/>
        <w:jc w:val="both"/>
        <w:divId w:val="485557591"/>
        <w:rPr>
          <w:rFonts w:ascii="Times New Roman" w:hAnsi="Times New Roman" w:cs="Times New Roman"/>
          <w:sz w:val="18"/>
          <w:szCs w:val="18"/>
        </w:rPr>
      </w:pPr>
      <w:r w:rsidRPr="005B5EC1">
        <w:rPr>
          <w:rFonts w:ascii="Times New Roman" w:hAnsi="Times New Roman" w:cs="Times New Roman"/>
          <w:sz w:val="18"/>
          <w:szCs w:val="18"/>
        </w:rPr>
        <w:t>如果符合资本化条件的资产在购建或生产过程中发生非正常中断、并且中断时间连续超过</w:t>
      </w:r>
      <w:r w:rsidRPr="005B5EC1">
        <w:rPr>
          <w:rFonts w:ascii="Times New Roman" w:hAnsi="Times New Roman" w:cs="Times New Roman"/>
          <w:sz w:val="18"/>
          <w:szCs w:val="18"/>
        </w:rPr>
        <w:t>3</w:t>
      </w:r>
      <w:r w:rsidRPr="005B5EC1">
        <w:rPr>
          <w:rFonts w:ascii="Times New Roman" w:hAnsi="Times New Roman" w:cs="Times New Roman"/>
          <w:sz w:val="18"/>
          <w:szCs w:val="18"/>
        </w:rPr>
        <w:t>个月的，暂停借款费用的资本化，直至资产的购建或生产活动重新开始。</w:t>
      </w:r>
    </w:p>
    <w:p w14:paraId="6EE886C4" w14:textId="77777777" w:rsidR="00E32FE0" w:rsidRPr="005B5EC1" w:rsidRDefault="00000000">
      <w:pPr>
        <w:pStyle w:val="3"/>
        <w:spacing w:line="280" w:lineRule="exact"/>
        <w:jc w:val="left"/>
        <w:rPr>
          <w:rFonts w:ascii="Times New Roman" w:hAnsi="Times New Roman" w:cs="Times New Roman"/>
          <w:b/>
          <w:bCs/>
        </w:rPr>
      </w:pPr>
      <w:bookmarkStart w:id="204" w:name="_Toc989093"/>
      <w:r w:rsidRPr="005B5EC1">
        <w:rPr>
          <w:rFonts w:ascii="Times New Roman" w:hAnsi="Times New Roman" w:cs="Times New Roman"/>
          <w:b/>
          <w:bCs/>
        </w:rPr>
        <w:t>27</w:t>
      </w:r>
      <w:r w:rsidRPr="005B5EC1">
        <w:rPr>
          <w:rFonts w:ascii="Times New Roman" w:hAnsi="Times New Roman" w:cs="Times New Roman"/>
          <w:b/>
          <w:bCs/>
        </w:rPr>
        <w:t>、生物资产</w:t>
      </w:r>
      <w:bookmarkEnd w:id="204"/>
    </w:p>
    <w:p w14:paraId="698701DD"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1</w:t>
      </w:r>
      <w:r w:rsidRPr="005B5EC1">
        <w:rPr>
          <w:rFonts w:ascii="Times New Roman" w:hAnsi="Times New Roman" w:cs="Times New Roman"/>
          <w:sz w:val="18"/>
          <w:szCs w:val="18"/>
        </w:rPr>
        <w:t>）消耗性生物资产</w:t>
      </w:r>
    </w:p>
    <w:p w14:paraId="7B5F7471"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消耗性生物资产是指为出售而持有的、或在将来收获为农产品的生物资产，包括生长中的大田作物、蔬菜、用材林以及存栏待售的牲畜等。消耗性生物资产按照成本进行初始计量。自行栽培、营造、繁殖或养殖的消耗性生物资产的成本，为该资产在出售或入库前发生的可直接归属于该资产的必要支出，包括符合资本化条件的借款费用。消耗性生物资产在入库后发生的管护、饲养费用等后续支出，计入当期损益。</w:t>
      </w:r>
    </w:p>
    <w:p w14:paraId="1803083E"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消耗性生物资产在收获或出售时，采用加权平均法按账面价值结转成本。</w:t>
      </w:r>
    </w:p>
    <w:p w14:paraId="475FE94C"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资产负债表日，消耗性生物资产按照成本与可变现净值孰低计量，并采用与确认存货跌价准备一致的方法计算确认消耗性生物资产的跌价准备。如果减值的影响因素已经消失的，减记的金额应当予以恢复，并在原已计提的跌价准备金额内转回，转回金额计入当期损益。</w:t>
      </w:r>
    </w:p>
    <w:p w14:paraId="4585D9FB"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lastRenderedPageBreak/>
        <w:t>如果消耗性生物资产改变用途，作为生产性生物资产，改变用途后的成本按改变用途时的账面价值确定。如果消耗性生物资产改变用途，作为公益性生物资产，则按照《企业会计准则第</w:t>
      </w:r>
      <w:r w:rsidRPr="005B5EC1">
        <w:rPr>
          <w:rFonts w:ascii="Times New Roman" w:hAnsi="Times New Roman" w:cs="Times New Roman"/>
          <w:sz w:val="18"/>
          <w:szCs w:val="18"/>
        </w:rPr>
        <w:t>8</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资产减值》规定考虑是否发生减值，发生减值时先计提减值准备，再按计提减值准备后的账面价值确定。</w:t>
      </w:r>
    </w:p>
    <w:p w14:paraId="3B085610"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）生产性生物资产</w:t>
      </w:r>
    </w:p>
    <w:p w14:paraId="49DA8286"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生产性生物资产是指为产出农产品、提供劳务或出租等目的而持有的生物资产，包括经济林、薪炭林、产畜和役畜等。生产性生物资产按照成本进行初始计量。自行营造或繁殖的生产性生物资产的成本，为该资产在达到预定生产经营目的前发生的可直接归属于该资产的必要支出，包括符合资本化条件的借款费用。</w:t>
      </w:r>
    </w:p>
    <w:p w14:paraId="5ECE18EF"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生产性生物资产在达到预定生产经营目的后采用年限平均法在使用寿命内计提折旧。各类生产性生物资产的使用寿命、预计净残值率和年折旧率列示如下：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9"/>
        <w:gridCol w:w="2260"/>
        <w:gridCol w:w="2258"/>
        <w:gridCol w:w="2256"/>
      </w:tblGrid>
      <w:tr w:rsidR="00AF139E" w:rsidRPr="005B5EC1" w14:paraId="0448C799" w14:textId="77777777" w:rsidTr="000B1262">
        <w:trPr>
          <w:divId w:val="445077522"/>
          <w:trHeight w:val="340"/>
        </w:trPr>
        <w:tc>
          <w:tcPr>
            <w:tcW w:w="1562" w:type="pct"/>
            <w:tcMar>
              <w:top w:w="0" w:type="dxa"/>
              <w:left w:w="108" w:type="dxa"/>
              <w:bottom w:w="0" w:type="dxa"/>
              <w:right w:w="108" w:type="dxa"/>
            </w:tcMar>
            <w:vAlign w:val="center"/>
            <w:hideMark/>
          </w:tcPr>
          <w:p w14:paraId="239F62E4"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类别</w:t>
            </w:r>
          </w:p>
        </w:tc>
        <w:tc>
          <w:tcPr>
            <w:tcW w:w="1147" w:type="pct"/>
            <w:tcMar>
              <w:top w:w="0" w:type="dxa"/>
              <w:left w:w="108" w:type="dxa"/>
              <w:bottom w:w="0" w:type="dxa"/>
              <w:right w:w="108" w:type="dxa"/>
            </w:tcMar>
            <w:vAlign w:val="center"/>
            <w:hideMark/>
          </w:tcPr>
          <w:p w14:paraId="34A1850B"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使用年限（年）</w:t>
            </w:r>
          </w:p>
        </w:tc>
        <w:tc>
          <w:tcPr>
            <w:tcW w:w="1146" w:type="pct"/>
            <w:tcMar>
              <w:top w:w="0" w:type="dxa"/>
              <w:left w:w="108" w:type="dxa"/>
              <w:bottom w:w="0" w:type="dxa"/>
              <w:right w:w="108" w:type="dxa"/>
            </w:tcMar>
            <w:vAlign w:val="center"/>
            <w:hideMark/>
          </w:tcPr>
          <w:p w14:paraId="3379C406"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残值率（</w:t>
            </w:r>
            <w:r w:rsidRPr="005B5EC1">
              <w:rPr>
                <w:rFonts w:ascii="Times New Roman" w:hAnsi="Times New Roman" w:cs="Times New Roman"/>
                <w:sz w:val="18"/>
                <w:szCs w:val="18"/>
              </w:rPr>
              <w:t>%</w:t>
            </w:r>
            <w:r w:rsidRPr="005B5EC1">
              <w:rPr>
                <w:rFonts w:ascii="Times New Roman" w:hAnsi="Times New Roman" w:cs="Times New Roman"/>
                <w:sz w:val="18"/>
                <w:szCs w:val="18"/>
              </w:rPr>
              <w:t>）</w:t>
            </w:r>
          </w:p>
        </w:tc>
        <w:tc>
          <w:tcPr>
            <w:tcW w:w="1145" w:type="pct"/>
            <w:tcMar>
              <w:top w:w="0" w:type="dxa"/>
              <w:left w:w="108" w:type="dxa"/>
              <w:bottom w:w="0" w:type="dxa"/>
              <w:right w:w="108" w:type="dxa"/>
            </w:tcMar>
            <w:vAlign w:val="center"/>
            <w:hideMark/>
          </w:tcPr>
          <w:p w14:paraId="6161E987"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年折旧率（</w:t>
            </w:r>
            <w:r w:rsidRPr="005B5EC1">
              <w:rPr>
                <w:rFonts w:ascii="Times New Roman" w:hAnsi="Times New Roman" w:cs="Times New Roman"/>
                <w:sz w:val="18"/>
                <w:szCs w:val="18"/>
              </w:rPr>
              <w:t>%</w:t>
            </w:r>
            <w:r w:rsidRPr="005B5EC1">
              <w:rPr>
                <w:rFonts w:ascii="Times New Roman" w:hAnsi="Times New Roman" w:cs="Times New Roman"/>
                <w:sz w:val="18"/>
                <w:szCs w:val="18"/>
              </w:rPr>
              <w:t>）</w:t>
            </w:r>
          </w:p>
        </w:tc>
      </w:tr>
      <w:tr w:rsidR="00AF139E" w:rsidRPr="005B5EC1" w14:paraId="37E7D71C" w14:textId="77777777" w:rsidTr="000B1262">
        <w:trPr>
          <w:divId w:val="445077522"/>
          <w:trHeight w:val="340"/>
        </w:trPr>
        <w:tc>
          <w:tcPr>
            <w:tcW w:w="1562" w:type="pct"/>
            <w:tcMar>
              <w:top w:w="0" w:type="dxa"/>
              <w:left w:w="108" w:type="dxa"/>
              <w:bottom w:w="0" w:type="dxa"/>
              <w:right w:w="108" w:type="dxa"/>
            </w:tcMar>
            <w:vAlign w:val="center"/>
            <w:hideMark/>
          </w:tcPr>
          <w:p w14:paraId="771DED1B"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种猪</w:t>
            </w:r>
          </w:p>
        </w:tc>
        <w:tc>
          <w:tcPr>
            <w:tcW w:w="1147" w:type="pct"/>
            <w:tcMar>
              <w:top w:w="0" w:type="dxa"/>
              <w:left w:w="108" w:type="dxa"/>
              <w:bottom w:w="0" w:type="dxa"/>
              <w:right w:w="108" w:type="dxa"/>
            </w:tcMar>
            <w:vAlign w:val="center"/>
            <w:hideMark/>
          </w:tcPr>
          <w:p w14:paraId="521E0B4F"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3</w:t>
            </w:r>
          </w:p>
        </w:tc>
        <w:tc>
          <w:tcPr>
            <w:tcW w:w="1146" w:type="pct"/>
            <w:tcMar>
              <w:top w:w="0" w:type="dxa"/>
              <w:left w:w="108" w:type="dxa"/>
              <w:bottom w:w="0" w:type="dxa"/>
              <w:right w:w="108" w:type="dxa"/>
            </w:tcMar>
            <w:vAlign w:val="center"/>
            <w:hideMark/>
          </w:tcPr>
          <w:p w14:paraId="65A4C21E"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0</w:t>
            </w:r>
          </w:p>
        </w:tc>
        <w:tc>
          <w:tcPr>
            <w:tcW w:w="1145" w:type="pct"/>
            <w:tcMar>
              <w:top w:w="0" w:type="dxa"/>
              <w:left w:w="108" w:type="dxa"/>
              <w:bottom w:w="0" w:type="dxa"/>
              <w:right w:w="108" w:type="dxa"/>
            </w:tcMar>
            <w:vAlign w:val="center"/>
            <w:hideMark/>
          </w:tcPr>
          <w:p w14:paraId="7CB7F2BA"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33.33</w:t>
            </w:r>
          </w:p>
        </w:tc>
      </w:tr>
    </w:tbl>
    <w:p w14:paraId="54342BA8"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本集团至少于年度终了对生产性生物资产的使用寿命、预计净残值和折旧方法进行复核，如发生改变则作为会计估计变更处理。</w:t>
      </w:r>
    </w:p>
    <w:p w14:paraId="707BA7BE"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生产性生物资产出售、盘亏、死亡或毁损的处置收入扣除其账面价值和相关税费后的差额计入当期损益。</w:t>
      </w:r>
    </w:p>
    <w:p w14:paraId="52DF0A73"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本集团在每一个资产负债表日检查生产性生物资产是否存在可能发生减值的迹象。如果该资产存在减值迹象，则估计其可收回金额。估计资产的可收回金额以单项资产为基础，如果难以对单项资产的可收回金额进行估计的，则以该资产所属的资产组为基础确定资产组的可收回金额。如果资产的可收回金额低于其账面价值，按其差额计提资产减值准备，并计入当期损益。</w:t>
      </w:r>
    </w:p>
    <w:p w14:paraId="51A0C34E"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上述资产减值损失一经确认，在以后会计期间不予转回。</w:t>
      </w:r>
    </w:p>
    <w:p w14:paraId="1F7165E6" w14:textId="77777777" w:rsidR="00AF139E" w:rsidRPr="005B5EC1" w:rsidRDefault="00000000" w:rsidP="000B1262">
      <w:pPr>
        <w:pStyle w:val="a3"/>
        <w:spacing w:before="0" w:beforeAutospacing="0" w:after="0" w:afterAutospacing="0" w:line="276" w:lineRule="auto"/>
        <w:ind w:firstLine="357"/>
        <w:jc w:val="both"/>
        <w:divId w:val="445077522"/>
        <w:rPr>
          <w:rFonts w:ascii="Times New Roman" w:hAnsi="Times New Roman" w:cs="Times New Roman"/>
          <w:sz w:val="18"/>
          <w:szCs w:val="18"/>
        </w:rPr>
      </w:pPr>
      <w:r w:rsidRPr="005B5EC1">
        <w:rPr>
          <w:rFonts w:ascii="Times New Roman" w:hAnsi="Times New Roman" w:cs="Times New Roman"/>
          <w:sz w:val="18"/>
          <w:szCs w:val="18"/>
        </w:rPr>
        <w:t>如果生产性生物资产改变用途，作为消耗性生物资产，其改变用途后的成本按改变用途时的账面价值确定；若生产性生物资产改变用途作为公益性生物资产，则按照《企业会计准则第</w:t>
      </w:r>
      <w:r w:rsidRPr="005B5EC1">
        <w:rPr>
          <w:rFonts w:ascii="Times New Roman" w:hAnsi="Times New Roman" w:cs="Times New Roman"/>
          <w:sz w:val="18"/>
          <w:szCs w:val="18"/>
        </w:rPr>
        <w:t>8</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资产减值》规定考虑是否发生减值，发生减值时先计提减值准备，再按计提减值准备后的账面价值确定。</w:t>
      </w:r>
    </w:p>
    <w:p w14:paraId="5C5EE4DF" w14:textId="77777777" w:rsidR="00E32FE0" w:rsidRPr="005B5EC1" w:rsidRDefault="00000000">
      <w:pPr>
        <w:pStyle w:val="3"/>
        <w:spacing w:line="280" w:lineRule="exact"/>
        <w:jc w:val="left"/>
        <w:rPr>
          <w:rFonts w:ascii="Times New Roman" w:hAnsi="Times New Roman" w:cs="Times New Roman"/>
          <w:b/>
          <w:bCs/>
        </w:rPr>
      </w:pPr>
      <w:bookmarkStart w:id="205" w:name="_Toc989094"/>
      <w:r w:rsidRPr="005B5EC1">
        <w:rPr>
          <w:rFonts w:ascii="Times New Roman" w:hAnsi="Times New Roman" w:cs="Times New Roman"/>
          <w:b/>
          <w:bCs/>
        </w:rPr>
        <w:t>28</w:t>
      </w:r>
      <w:r w:rsidRPr="005B5EC1">
        <w:rPr>
          <w:rFonts w:ascii="Times New Roman" w:hAnsi="Times New Roman" w:cs="Times New Roman"/>
          <w:b/>
          <w:bCs/>
        </w:rPr>
        <w:t>、油气资产</w:t>
      </w:r>
      <w:bookmarkEnd w:id="205"/>
    </w:p>
    <w:p w14:paraId="3F7F2151" w14:textId="77777777" w:rsidR="00AF139E" w:rsidRPr="005B5EC1" w:rsidRDefault="00000000" w:rsidP="000B1262">
      <w:pPr>
        <w:pStyle w:val="a3"/>
        <w:ind w:firstLineChars="200" w:firstLine="360"/>
        <w:divId w:val="1101610605"/>
        <w:rPr>
          <w:rFonts w:ascii="Times New Roman" w:hAnsi="Times New Roman" w:cs="Times New Roman"/>
          <w:sz w:val="18"/>
          <w:szCs w:val="18"/>
        </w:rPr>
      </w:pPr>
      <w:r w:rsidRPr="005B5EC1">
        <w:rPr>
          <w:rFonts w:ascii="Times New Roman" w:hAnsi="Times New Roman" w:cs="Times New Roman"/>
          <w:sz w:val="18"/>
          <w:szCs w:val="18"/>
        </w:rPr>
        <w:t>无</w:t>
      </w:r>
    </w:p>
    <w:p w14:paraId="0B2E0642" w14:textId="77777777" w:rsidR="00E32FE0" w:rsidRPr="005B5EC1" w:rsidRDefault="00000000">
      <w:pPr>
        <w:pStyle w:val="3"/>
        <w:spacing w:line="280" w:lineRule="exact"/>
        <w:jc w:val="left"/>
        <w:rPr>
          <w:rFonts w:ascii="Times New Roman" w:hAnsi="Times New Roman" w:cs="Times New Roman"/>
          <w:b/>
          <w:bCs/>
        </w:rPr>
      </w:pPr>
      <w:bookmarkStart w:id="206" w:name="_Toc989095"/>
      <w:r w:rsidRPr="005B5EC1">
        <w:rPr>
          <w:rFonts w:ascii="Times New Roman" w:hAnsi="Times New Roman" w:cs="Times New Roman"/>
          <w:b/>
          <w:bCs/>
        </w:rPr>
        <w:t>29</w:t>
      </w:r>
      <w:r w:rsidRPr="005B5EC1">
        <w:rPr>
          <w:rFonts w:ascii="Times New Roman" w:hAnsi="Times New Roman" w:cs="Times New Roman"/>
          <w:b/>
          <w:bCs/>
        </w:rPr>
        <w:t>、无形资产</w:t>
      </w:r>
      <w:bookmarkEnd w:id="206"/>
    </w:p>
    <w:p w14:paraId="7FB2BFAE"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bookmarkStart w:id="207" w:name="_Toc989096"/>
      <w:r w:rsidRPr="005B5EC1">
        <w:rPr>
          <w:rFonts w:ascii="Times New Roman" w:hAnsi="Times New Roman" w:cs="Times New Roman"/>
          <w:sz w:val="18"/>
          <w:szCs w:val="18"/>
        </w:rPr>
        <w:t>（</w:t>
      </w:r>
      <w:r w:rsidRPr="005B5EC1">
        <w:rPr>
          <w:rFonts w:ascii="Times New Roman" w:hAnsi="Times New Roman" w:cs="Times New Roman"/>
          <w:sz w:val="18"/>
          <w:szCs w:val="18"/>
        </w:rPr>
        <w:t>1</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使用寿命及其确定依据、估计情况、摊销方法或复核程序</w:t>
      </w:r>
      <w:bookmarkEnd w:id="207"/>
    </w:p>
    <w:p w14:paraId="07706EC6" w14:textId="77777777" w:rsidR="00AF139E" w:rsidRPr="005B5EC1" w:rsidRDefault="00000000" w:rsidP="000B1262">
      <w:pPr>
        <w:pStyle w:val="a3"/>
        <w:spacing w:before="0" w:beforeAutospacing="0" w:after="0" w:afterAutospacing="0" w:line="276" w:lineRule="auto"/>
        <w:ind w:firstLine="357"/>
        <w:jc w:val="both"/>
        <w:divId w:val="592975336"/>
        <w:rPr>
          <w:rFonts w:ascii="Times New Roman" w:hAnsi="Times New Roman" w:cs="Times New Roman"/>
          <w:sz w:val="18"/>
          <w:szCs w:val="18"/>
        </w:rPr>
      </w:pPr>
      <w:r w:rsidRPr="005B5EC1">
        <w:rPr>
          <w:rFonts w:ascii="Times New Roman" w:hAnsi="Times New Roman" w:cs="Times New Roman"/>
          <w:sz w:val="18"/>
          <w:szCs w:val="18"/>
        </w:rPr>
        <w:t>无形资产是指本集团拥有或者控制的没有实物形态的可辨认非货币性资产。</w:t>
      </w:r>
    </w:p>
    <w:p w14:paraId="7F565F71" w14:textId="77777777" w:rsidR="00AF139E" w:rsidRPr="005B5EC1" w:rsidRDefault="00000000" w:rsidP="000B1262">
      <w:pPr>
        <w:pStyle w:val="a3"/>
        <w:spacing w:before="0" w:beforeAutospacing="0" w:after="0" w:afterAutospacing="0" w:line="276" w:lineRule="auto"/>
        <w:ind w:firstLine="357"/>
        <w:jc w:val="both"/>
        <w:divId w:val="592975336"/>
        <w:rPr>
          <w:rFonts w:ascii="Times New Roman" w:hAnsi="Times New Roman" w:cs="Times New Roman"/>
          <w:sz w:val="18"/>
          <w:szCs w:val="18"/>
        </w:rPr>
      </w:pPr>
      <w:r w:rsidRPr="005B5EC1">
        <w:rPr>
          <w:rFonts w:ascii="Times New Roman" w:hAnsi="Times New Roman" w:cs="Times New Roman"/>
          <w:sz w:val="18"/>
          <w:szCs w:val="18"/>
        </w:rPr>
        <w:t>无形资产按成本进行初始计量。与无形资产有关的支出，如果相关的经济利益很可能流入本集团且其成本能可靠地计量，则计入无形资产成本。除此以外的其他项目的支出，在发生时计入当期损益。</w:t>
      </w:r>
    </w:p>
    <w:p w14:paraId="2F987720" w14:textId="77777777" w:rsidR="00AF139E" w:rsidRPr="005B5EC1" w:rsidRDefault="00000000" w:rsidP="000B1262">
      <w:pPr>
        <w:pStyle w:val="a3"/>
        <w:spacing w:before="0" w:beforeAutospacing="0" w:after="0" w:afterAutospacing="0" w:line="276" w:lineRule="auto"/>
        <w:ind w:firstLine="357"/>
        <w:jc w:val="both"/>
        <w:divId w:val="592975336"/>
        <w:rPr>
          <w:rFonts w:ascii="Times New Roman" w:hAnsi="Times New Roman" w:cs="Times New Roman"/>
          <w:sz w:val="18"/>
          <w:szCs w:val="18"/>
        </w:rPr>
      </w:pPr>
      <w:r w:rsidRPr="005B5EC1">
        <w:rPr>
          <w:rFonts w:ascii="Times New Roman" w:hAnsi="Times New Roman" w:cs="Times New Roman"/>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14:paraId="071ED0E2" w14:textId="77777777" w:rsidR="00AF139E" w:rsidRPr="005B5EC1" w:rsidRDefault="00000000" w:rsidP="000B1262">
      <w:pPr>
        <w:pStyle w:val="a3"/>
        <w:spacing w:before="0" w:beforeAutospacing="0" w:after="0" w:afterAutospacing="0" w:line="276" w:lineRule="auto"/>
        <w:ind w:firstLine="357"/>
        <w:jc w:val="both"/>
        <w:divId w:val="592975336"/>
        <w:rPr>
          <w:rFonts w:ascii="Times New Roman" w:hAnsi="Times New Roman" w:cs="Times New Roman"/>
          <w:sz w:val="18"/>
          <w:szCs w:val="18"/>
        </w:rPr>
      </w:pPr>
      <w:r w:rsidRPr="005B5EC1">
        <w:rPr>
          <w:rFonts w:ascii="Times New Roman" w:hAnsi="Times New Roman" w:cs="Times New Roman"/>
          <w:sz w:val="18"/>
          <w:szCs w:val="18"/>
        </w:rPr>
        <w:t>使用寿命有限的无形资产自可供使用时起，对其原值减去预计净残值和已计提的减值准备累计金额在其预计使用寿命内采用直线法分期平均摊销。使用寿命不确定的无形资产不予摊销。</w:t>
      </w:r>
    </w:p>
    <w:p w14:paraId="444021CD" w14:textId="77777777" w:rsidR="00AF139E" w:rsidRPr="005B5EC1" w:rsidRDefault="00000000" w:rsidP="000B1262">
      <w:pPr>
        <w:pStyle w:val="a3"/>
        <w:spacing w:before="0" w:beforeAutospacing="0" w:after="0" w:afterAutospacing="0" w:line="276" w:lineRule="auto"/>
        <w:ind w:firstLine="357"/>
        <w:jc w:val="both"/>
        <w:divId w:val="592975336"/>
        <w:rPr>
          <w:rFonts w:ascii="Times New Roman" w:hAnsi="Times New Roman" w:cs="Times New Roman"/>
          <w:sz w:val="18"/>
          <w:szCs w:val="18"/>
        </w:rPr>
      </w:pPr>
      <w:r w:rsidRPr="005B5EC1">
        <w:rPr>
          <w:rFonts w:ascii="Times New Roman" w:hAnsi="Times New Roman" w:cs="Times New Roman"/>
          <w:sz w:val="18"/>
          <w:szCs w:val="18"/>
        </w:rPr>
        <w:t>其中，知识产权类无形资产项目的使用寿命及摊销方法如下：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3"/>
        <w:gridCol w:w="2930"/>
        <w:gridCol w:w="2930"/>
      </w:tblGrid>
      <w:tr w:rsidR="00AF139E" w:rsidRPr="005B5EC1" w14:paraId="1694CAA3" w14:textId="77777777" w:rsidTr="000B1262">
        <w:trPr>
          <w:divId w:val="592975336"/>
          <w:trHeight w:val="340"/>
        </w:trPr>
        <w:tc>
          <w:tcPr>
            <w:tcW w:w="2026" w:type="pct"/>
            <w:tcMar>
              <w:top w:w="0" w:type="dxa"/>
              <w:left w:w="108" w:type="dxa"/>
              <w:bottom w:w="0" w:type="dxa"/>
              <w:right w:w="108" w:type="dxa"/>
            </w:tcMar>
            <w:vAlign w:val="center"/>
            <w:hideMark/>
          </w:tcPr>
          <w:p w14:paraId="6B5D9C0C"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1487" w:type="pct"/>
            <w:tcMar>
              <w:top w:w="0" w:type="dxa"/>
              <w:left w:w="108" w:type="dxa"/>
              <w:bottom w:w="0" w:type="dxa"/>
              <w:right w:w="108" w:type="dxa"/>
            </w:tcMar>
            <w:vAlign w:val="center"/>
            <w:hideMark/>
          </w:tcPr>
          <w:p w14:paraId="01386BC1"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使用寿命（年）</w:t>
            </w:r>
          </w:p>
        </w:tc>
        <w:tc>
          <w:tcPr>
            <w:tcW w:w="1487" w:type="pct"/>
            <w:tcMar>
              <w:top w:w="0" w:type="dxa"/>
              <w:left w:w="108" w:type="dxa"/>
              <w:bottom w:w="0" w:type="dxa"/>
              <w:right w:w="108" w:type="dxa"/>
            </w:tcMar>
            <w:vAlign w:val="center"/>
            <w:hideMark/>
          </w:tcPr>
          <w:p w14:paraId="6C8A7419"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摊销方法</w:t>
            </w:r>
          </w:p>
        </w:tc>
      </w:tr>
      <w:tr w:rsidR="00AF139E" w:rsidRPr="005B5EC1" w14:paraId="5427B31F" w14:textId="77777777" w:rsidTr="000B1262">
        <w:trPr>
          <w:divId w:val="592975336"/>
          <w:trHeight w:val="340"/>
        </w:trPr>
        <w:tc>
          <w:tcPr>
            <w:tcW w:w="2026" w:type="pct"/>
            <w:tcMar>
              <w:top w:w="0" w:type="dxa"/>
              <w:left w:w="108" w:type="dxa"/>
              <w:bottom w:w="0" w:type="dxa"/>
              <w:right w:w="108" w:type="dxa"/>
            </w:tcMar>
            <w:vAlign w:val="center"/>
            <w:hideMark/>
          </w:tcPr>
          <w:p w14:paraId="652E8F47"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lastRenderedPageBreak/>
              <w:t>软件使用权</w:t>
            </w:r>
          </w:p>
        </w:tc>
        <w:tc>
          <w:tcPr>
            <w:tcW w:w="1487" w:type="pct"/>
            <w:tcMar>
              <w:top w:w="0" w:type="dxa"/>
              <w:left w:w="108" w:type="dxa"/>
              <w:bottom w:w="0" w:type="dxa"/>
              <w:right w:w="108" w:type="dxa"/>
            </w:tcMar>
            <w:vAlign w:val="center"/>
            <w:hideMark/>
          </w:tcPr>
          <w:p w14:paraId="463B7C3F"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2-10</w:t>
            </w:r>
          </w:p>
        </w:tc>
        <w:tc>
          <w:tcPr>
            <w:tcW w:w="1487" w:type="pct"/>
            <w:tcMar>
              <w:top w:w="0" w:type="dxa"/>
              <w:left w:w="108" w:type="dxa"/>
              <w:bottom w:w="0" w:type="dxa"/>
              <w:right w:w="108" w:type="dxa"/>
            </w:tcMar>
            <w:vAlign w:val="center"/>
            <w:hideMark/>
          </w:tcPr>
          <w:p w14:paraId="731A547A"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直线法分期平均摊销</w:t>
            </w:r>
          </w:p>
        </w:tc>
      </w:tr>
      <w:tr w:rsidR="00AF139E" w:rsidRPr="005B5EC1" w14:paraId="74DF0014" w14:textId="77777777" w:rsidTr="000B1262">
        <w:trPr>
          <w:divId w:val="592975336"/>
          <w:trHeight w:val="340"/>
        </w:trPr>
        <w:tc>
          <w:tcPr>
            <w:tcW w:w="2026" w:type="pct"/>
            <w:tcMar>
              <w:top w:w="0" w:type="dxa"/>
              <w:left w:w="108" w:type="dxa"/>
              <w:bottom w:w="0" w:type="dxa"/>
              <w:right w:w="108" w:type="dxa"/>
            </w:tcMar>
            <w:vAlign w:val="center"/>
            <w:hideMark/>
          </w:tcPr>
          <w:p w14:paraId="120F8E32"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商标使用权</w:t>
            </w:r>
          </w:p>
        </w:tc>
        <w:tc>
          <w:tcPr>
            <w:tcW w:w="1487" w:type="pct"/>
            <w:tcMar>
              <w:top w:w="0" w:type="dxa"/>
              <w:left w:w="108" w:type="dxa"/>
              <w:bottom w:w="0" w:type="dxa"/>
              <w:right w:w="108" w:type="dxa"/>
            </w:tcMar>
            <w:vAlign w:val="center"/>
            <w:hideMark/>
          </w:tcPr>
          <w:p w14:paraId="79CED726"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10</w:t>
            </w:r>
          </w:p>
        </w:tc>
        <w:tc>
          <w:tcPr>
            <w:tcW w:w="1487" w:type="pct"/>
            <w:tcMar>
              <w:top w:w="0" w:type="dxa"/>
              <w:left w:w="108" w:type="dxa"/>
              <w:bottom w:w="0" w:type="dxa"/>
              <w:right w:w="108" w:type="dxa"/>
            </w:tcMar>
            <w:vAlign w:val="center"/>
            <w:hideMark/>
          </w:tcPr>
          <w:p w14:paraId="0F20B57C" w14:textId="77777777" w:rsidR="00AF139E" w:rsidRPr="005B5EC1" w:rsidRDefault="00000000" w:rsidP="000B1262">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直线法分期平均摊销</w:t>
            </w:r>
          </w:p>
        </w:tc>
      </w:tr>
    </w:tbl>
    <w:p w14:paraId="2A12FBA6" w14:textId="77777777" w:rsidR="00AF139E" w:rsidRPr="005B5EC1" w:rsidRDefault="00000000" w:rsidP="000B1262">
      <w:pPr>
        <w:pStyle w:val="a3"/>
        <w:spacing w:before="0" w:beforeAutospacing="0" w:after="0" w:afterAutospacing="0" w:line="276" w:lineRule="auto"/>
        <w:ind w:firstLine="357"/>
        <w:jc w:val="both"/>
        <w:divId w:val="592975336"/>
        <w:rPr>
          <w:rFonts w:ascii="Times New Roman" w:hAnsi="Times New Roman" w:cs="Times New Roman"/>
          <w:sz w:val="18"/>
          <w:szCs w:val="18"/>
        </w:rPr>
      </w:pPr>
      <w:r w:rsidRPr="005B5EC1">
        <w:rPr>
          <w:rFonts w:ascii="Times New Roman" w:hAnsi="Times New Roman" w:cs="Times New Roman"/>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14:paraId="354CD6DD"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bookmarkStart w:id="208" w:name="_Toc989097"/>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研发支出的归集范围及相关会计处理方法</w:t>
      </w:r>
      <w:bookmarkEnd w:id="208"/>
    </w:p>
    <w:p w14:paraId="5FDBA1AB"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Times New Roman" w:hAnsi="Times New Roman" w:cs="Times New Roman"/>
          <w:sz w:val="18"/>
          <w:szCs w:val="18"/>
        </w:rPr>
        <w:t>本集团内部研究开发项目的支出分为研究阶段支出与开发阶段支出。</w:t>
      </w:r>
    </w:p>
    <w:p w14:paraId="07D5FE9B"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Times New Roman" w:hAnsi="Times New Roman" w:cs="Times New Roman"/>
          <w:sz w:val="18"/>
          <w:szCs w:val="18"/>
        </w:rPr>
        <w:t>研究阶段的支出，于发生时计入当期损益。</w:t>
      </w:r>
    </w:p>
    <w:p w14:paraId="37953FD9"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Times New Roman" w:hAnsi="Times New Roman" w:cs="Times New Roman"/>
          <w:sz w:val="18"/>
          <w:szCs w:val="18"/>
        </w:rPr>
        <w:t>开发阶段的支出同时满足下列条件的，确认为无形资产，不能满足下述条件的开发阶段的支出计入当期损益：</w:t>
      </w:r>
    </w:p>
    <w:p w14:paraId="73BF42DE"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Cambria Math" w:hAnsi="Cambria Math" w:cs="Cambria Math"/>
          <w:sz w:val="18"/>
          <w:szCs w:val="18"/>
        </w:rPr>
        <w:t>①</w:t>
      </w:r>
      <w:r w:rsidRPr="005B5EC1">
        <w:rPr>
          <w:rFonts w:ascii="Times New Roman" w:hAnsi="Times New Roman" w:cs="Times New Roman"/>
          <w:sz w:val="18"/>
          <w:szCs w:val="18"/>
        </w:rPr>
        <w:t>完成该无形资产以使其能够使用或出售在技术上具有可行性；</w:t>
      </w:r>
    </w:p>
    <w:p w14:paraId="0B753317"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具有完成该无形资产并使用或出售的意图；</w:t>
      </w:r>
    </w:p>
    <w:p w14:paraId="2A35B753"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Cambria Math" w:hAnsi="Cambria Math" w:cs="Cambria Math"/>
          <w:sz w:val="18"/>
          <w:szCs w:val="18"/>
        </w:rPr>
        <w:t>③</w:t>
      </w:r>
      <w:r w:rsidRPr="005B5EC1">
        <w:rPr>
          <w:rFonts w:ascii="Times New Roman" w:hAnsi="Times New Roman" w:cs="Times New Roman"/>
          <w:sz w:val="18"/>
          <w:szCs w:val="18"/>
        </w:rPr>
        <w:t>无形资产产生经济利益的方式，包括能够证明运用该无形资产生产的产品存在市场或无形资产自身存在市场，无形资产将在内部使用的，能够证明其有用性；</w:t>
      </w:r>
    </w:p>
    <w:p w14:paraId="69C6A6F1"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Cambria Math" w:hAnsi="Cambria Math" w:cs="Cambria Math"/>
          <w:sz w:val="18"/>
          <w:szCs w:val="18"/>
        </w:rPr>
        <w:t>④</w:t>
      </w:r>
      <w:r w:rsidRPr="005B5EC1">
        <w:rPr>
          <w:rFonts w:ascii="Times New Roman" w:hAnsi="Times New Roman" w:cs="Times New Roman"/>
          <w:sz w:val="18"/>
          <w:szCs w:val="18"/>
        </w:rPr>
        <w:t>有足够的技术、财务资源和其他资源支持，以完成该无形资产的开发，并有能力使用或出售该无形资产；</w:t>
      </w:r>
    </w:p>
    <w:p w14:paraId="04FF69CF"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Cambria Math" w:hAnsi="Cambria Math" w:cs="Cambria Math"/>
          <w:sz w:val="18"/>
          <w:szCs w:val="18"/>
        </w:rPr>
        <w:t>⑤</w:t>
      </w:r>
      <w:r w:rsidRPr="005B5EC1">
        <w:rPr>
          <w:rFonts w:ascii="Times New Roman" w:hAnsi="Times New Roman" w:cs="Times New Roman"/>
          <w:sz w:val="18"/>
          <w:szCs w:val="18"/>
        </w:rPr>
        <w:t>归属于该无形资产开发阶段的支出能够可靠地计量。</w:t>
      </w:r>
    </w:p>
    <w:p w14:paraId="558AE026"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Times New Roman" w:hAnsi="Times New Roman" w:cs="Times New Roman"/>
          <w:sz w:val="18"/>
          <w:szCs w:val="18"/>
        </w:rPr>
        <w:t>无法区分研究阶段支出和开发阶段支出的，将发生的研发支出全部计入当期损益。</w:t>
      </w:r>
    </w:p>
    <w:p w14:paraId="4BC5E340"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Times New Roman" w:hAnsi="Times New Roman" w:cs="Times New Roman"/>
          <w:sz w:val="18"/>
          <w:szCs w:val="18"/>
        </w:rPr>
        <w:t>无形资产的减值测试方法及减值准备计提方法</w:t>
      </w:r>
    </w:p>
    <w:p w14:paraId="01ABF91A" w14:textId="77777777" w:rsidR="00AF139E" w:rsidRPr="005B5EC1" w:rsidRDefault="00000000" w:rsidP="000B1262">
      <w:pPr>
        <w:pStyle w:val="a3"/>
        <w:spacing w:before="0" w:beforeAutospacing="0" w:after="0" w:afterAutospacing="0" w:line="276" w:lineRule="auto"/>
        <w:ind w:firstLine="357"/>
        <w:jc w:val="both"/>
        <w:divId w:val="567157722"/>
        <w:rPr>
          <w:rFonts w:ascii="Times New Roman" w:hAnsi="Times New Roman" w:cs="Times New Roman"/>
          <w:sz w:val="18"/>
          <w:szCs w:val="18"/>
        </w:rPr>
      </w:pPr>
      <w:r w:rsidRPr="005B5EC1">
        <w:rPr>
          <w:rFonts w:ascii="Times New Roman" w:hAnsi="Times New Roman" w:cs="Times New Roman"/>
          <w:sz w:val="18"/>
          <w:szCs w:val="18"/>
        </w:rPr>
        <w:t>无形资产的减值测试方法和减值准备计提方法详见附注五、</w:t>
      </w:r>
      <w:r w:rsidRPr="005B5EC1">
        <w:rPr>
          <w:rFonts w:ascii="Times New Roman" w:hAnsi="Times New Roman" w:cs="Times New Roman"/>
          <w:sz w:val="18"/>
          <w:szCs w:val="18"/>
        </w:rPr>
        <w:t>30“</w:t>
      </w:r>
      <w:r w:rsidRPr="005B5EC1">
        <w:rPr>
          <w:rFonts w:ascii="Times New Roman" w:hAnsi="Times New Roman" w:cs="Times New Roman"/>
          <w:sz w:val="18"/>
          <w:szCs w:val="18"/>
        </w:rPr>
        <w:t>长期资产减值</w:t>
      </w:r>
      <w:r w:rsidRPr="005B5EC1">
        <w:rPr>
          <w:rFonts w:ascii="Times New Roman" w:hAnsi="Times New Roman" w:cs="Times New Roman"/>
          <w:sz w:val="18"/>
          <w:szCs w:val="18"/>
        </w:rPr>
        <w:t>”</w:t>
      </w:r>
      <w:r w:rsidRPr="005B5EC1">
        <w:rPr>
          <w:rFonts w:ascii="Times New Roman" w:hAnsi="Times New Roman" w:cs="Times New Roman"/>
          <w:sz w:val="18"/>
          <w:szCs w:val="18"/>
        </w:rPr>
        <w:t>。</w:t>
      </w:r>
    </w:p>
    <w:p w14:paraId="3D800EAC" w14:textId="77777777" w:rsidR="00E32FE0" w:rsidRPr="005B5EC1" w:rsidRDefault="00000000">
      <w:pPr>
        <w:pStyle w:val="3"/>
        <w:spacing w:line="280" w:lineRule="exact"/>
        <w:jc w:val="left"/>
        <w:rPr>
          <w:rFonts w:ascii="Times New Roman" w:hAnsi="Times New Roman" w:cs="Times New Roman"/>
          <w:b/>
          <w:bCs/>
        </w:rPr>
      </w:pPr>
      <w:bookmarkStart w:id="209" w:name="_Toc989098"/>
      <w:r w:rsidRPr="005B5EC1">
        <w:rPr>
          <w:rFonts w:ascii="Times New Roman" w:hAnsi="Times New Roman" w:cs="Times New Roman"/>
          <w:b/>
          <w:bCs/>
        </w:rPr>
        <w:t>30</w:t>
      </w:r>
      <w:r w:rsidRPr="005B5EC1">
        <w:rPr>
          <w:rFonts w:ascii="Times New Roman" w:hAnsi="Times New Roman" w:cs="Times New Roman"/>
          <w:b/>
          <w:bCs/>
        </w:rPr>
        <w:t>、长期资产减值</w:t>
      </w:r>
      <w:bookmarkEnd w:id="209"/>
    </w:p>
    <w:p w14:paraId="74BFA71D" w14:textId="77777777" w:rsidR="00AF139E" w:rsidRPr="005B5EC1" w:rsidRDefault="00000000" w:rsidP="000B1262">
      <w:pPr>
        <w:pStyle w:val="a3"/>
        <w:spacing w:before="0" w:beforeAutospacing="0" w:after="0" w:afterAutospacing="0" w:line="276" w:lineRule="auto"/>
        <w:ind w:firstLine="357"/>
        <w:jc w:val="both"/>
        <w:divId w:val="845024185"/>
        <w:rPr>
          <w:rFonts w:ascii="Times New Roman" w:hAnsi="Times New Roman" w:cs="Times New Roman"/>
          <w:sz w:val="18"/>
          <w:szCs w:val="18"/>
        </w:rPr>
      </w:pPr>
      <w:r w:rsidRPr="005B5EC1">
        <w:rPr>
          <w:rFonts w:ascii="Times New Roman" w:hAnsi="Times New Roman" w:cs="Times New Roman"/>
          <w:sz w:val="18"/>
          <w:szCs w:val="18"/>
        </w:rPr>
        <w:t>对于固定资产、在建工程、使用权资产、使用寿命有限的无形资产、以成本模式计量的投资性房地产及对子公司、合营企业、联营企业的长期股权投资等非流动非金融资产，本集团于资产负债表日判断是否存在减值迹象。如存在减值迹象的，则估计其可收回金额，进行减值测试。商誉、使用寿命不确定的无形资产和尚未达到可使用状态的无形资产，无论是否存在减值迹象，每年均进行减值测试。</w:t>
      </w:r>
    </w:p>
    <w:p w14:paraId="777AF114" w14:textId="77777777" w:rsidR="00AF139E" w:rsidRPr="005B5EC1" w:rsidRDefault="00000000" w:rsidP="000B1262">
      <w:pPr>
        <w:pStyle w:val="a3"/>
        <w:spacing w:before="0" w:beforeAutospacing="0" w:after="0" w:afterAutospacing="0" w:line="276" w:lineRule="auto"/>
        <w:ind w:firstLine="357"/>
        <w:jc w:val="both"/>
        <w:divId w:val="845024185"/>
        <w:rPr>
          <w:rFonts w:ascii="Times New Roman" w:hAnsi="Times New Roman" w:cs="Times New Roman"/>
          <w:sz w:val="18"/>
          <w:szCs w:val="18"/>
        </w:rPr>
      </w:pPr>
      <w:r w:rsidRPr="005B5EC1">
        <w:rPr>
          <w:rFonts w:ascii="Times New Roman" w:hAnsi="Times New Roman" w:cs="Times New Roman"/>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14:paraId="427F7BAF" w14:textId="77777777" w:rsidR="00AF139E" w:rsidRPr="005B5EC1" w:rsidRDefault="00000000" w:rsidP="000B1262">
      <w:pPr>
        <w:pStyle w:val="a3"/>
        <w:spacing w:before="0" w:beforeAutospacing="0" w:after="0" w:afterAutospacing="0" w:line="276" w:lineRule="auto"/>
        <w:ind w:firstLine="357"/>
        <w:jc w:val="both"/>
        <w:divId w:val="845024185"/>
        <w:rPr>
          <w:rFonts w:ascii="Times New Roman" w:hAnsi="Times New Roman" w:cs="Times New Roman"/>
          <w:sz w:val="18"/>
          <w:szCs w:val="18"/>
        </w:rPr>
      </w:pPr>
      <w:r w:rsidRPr="005B5EC1">
        <w:rPr>
          <w:rFonts w:ascii="Times New Roman" w:hAnsi="Times New Roman" w:cs="Times New Roman"/>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14:paraId="2FB8C650" w14:textId="77777777" w:rsidR="00AF139E" w:rsidRPr="005B5EC1" w:rsidRDefault="00000000" w:rsidP="000B1262">
      <w:pPr>
        <w:pStyle w:val="a3"/>
        <w:spacing w:before="0" w:beforeAutospacing="0" w:after="0" w:afterAutospacing="0" w:line="276" w:lineRule="auto"/>
        <w:ind w:firstLine="357"/>
        <w:jc w:val="both"/>
        <w:divId w:val="845024185"/>
        <w:rPr>
          <w:rFonts w:ascii="Times New Roman" w:hAnsi="Times New Roman" w:cs="Times New Roman"/>
          <w:sz w:val="18"/>
          <w:szCs w:val="18"/>
        </w:rPr>
      </w:pPr>
      <w:r w:rsidRPr="005B5EC1">
        <w:rPr>
          <w:rFonts w:ascii="Times New Roman" w:hAnsi="Times New Roman" w:cs="Times New Roman"/>
          <w:sz w:val="18"/>
          <w:szCs w:val="18"/>
        </w:rPr>
        <w:t>上述资产减值损失一经确认，以后期间不予转回价值得以恢复的部分。</w:t>
      </w:r>
    </w:p>
    <w:p w14:paraId="5E9CA774" w14:textId="77777777" w:rsidR="00E32FE0" w:rsidRPr="005B5EC1" w:rsidRDefault="00000000">
      <w:pPr>
        <w:pStyle w:val="3"/>
        <w:spacing w:line="280" w:lineRule="exact"/>
        <w:jc w:val="left"/>
        <w:rPr>
          <w:rFonts w:ascii="Times New Roman" w:hAnsi="Times New Roman" w:cs="Times New Roman"/>
          <w:b/>
          <w:bCs/>
        </w:rPr>
      </w:pPr>
      <w:bookmarkStart w:id="210" w:name="_Toc989099"/>
      <w:r w:rsidRPr="005B5EC1">
        <w:rPr>
          <w:rFonts w:ascii="Times New Roman" w:hAnsi="Times New Roman" w:cs="Times New Roman"/>
          <w:b/>
          <w:bCs/>
        </w:rPr>
        <w:lastRenderedPageBreak/>
        <w:t>31</w:t>
      </w:r>
      <w:r w:rsidRPr="005B5EC1">
        <w:rPr>
          <w:rFonts w:ascii="Times New Roman" w:hAnsi="Times New Roman" w:cs="Times New Roman"/>
          <w:b/>
          <w:bCs/>
        </w:rPr>
        <w:t>、长期待摊费用</w:t>
      </w:r>
      <w:bookmarkEnd w:id="210"/>
    </w:p>
    <w:p w14:paraId="3AD0F66A" w14:textId="77777777" w:rsidR="00AF139E" w:rsidRPr="005B5EC1" w:rsidRDefault="00000000" w:rsidP="000B1262">
      <w:pPr>
        <w:pStyle w:val="a3"/>
        <w:spacing w:before="0" w:beforeAutospacing="0" w:after="0" w:afterAutospacing="0" w:line="276" w:lineRule="auto"/>
        <w:ind w:firstLine="357"/>
        <w:jc w:val="both"/>
        <w:divId w:val="543951189"/>
        <w:rPr>
          <w:rFonts w:ascii="Times New Roman" w:hAnsi="Times New Roman" w:cs="Times New Roman"/>
          <w:sz w:val="18"/>
          <w:szCs w:val="18"/>
        </w:rPr>
      </w:pPr>
      <w:r w:rsidRPr="005B5EC1">
        <w:rPr>
          <w:rFonts w:ascii="Times New Roman" w:hAnsi="Times New Roman" w:cs="Times New Roman"/>
          <w:sz w:val="18"/>
          <w:szCs w:val="18"/>
        </w:rPr>
        <w:t>长期待摊费用为已经发生但应由报告期和以后各期负担的分摊期限在一年以上的各项费用。长期待摊费用在预计受益期间按直线法摊销。</w:t>
      </w:r>
    </w:p>
    <w:p w14:paraId="7D8A2236" w14:textId="77777777" w:rsidR="00E32FE0" w:rsidRPr="005B5EC1" w:rsidRDefault="00000000">
      <w:pPr>
        <w:pStyle w:val="3"/>
        <w:spacing w:line="280" w:lineRule="exact"/>
        <w:jc w:val="left"/>
        <w:rPr>
          <w:rFonts w:ascii="Times New Roman" w:hAnsi="Times New Roman" w:cs="Times New Roman"/>
          <w:b/>
          <w:bCs/>
        </w:rPr>
      </w:pPr>
      <w:bookmarkStart w:id="211" w:name="_Toc989100"/>
      <w:r w:rsidRPr="005B5EC1">
        <w:rPr>
          <w:rFonts w:ascii="Times New Roman" w:hAnsi="Times New Roman" w:cs="Times New Roman"/>
          <w:b/>
          <w:bCs/>
        </w:rPr>
        <w:t>32</w:t>
      </w:r>
      <w:r w:rsidRPr="005B5EC1">
        <w:rPr>
          <w:rFonts w:ascii="Times New Roman" w:hAnsi="Times New Roman" w:cs="Times New Roman"/>
          <w:b/>
          <w:bCs/>
        </w:rPr>
        <w:t>、合同负债</w:t>
      </w:r>
      <w:bookmarkEnd w:id="211"/>
    </w:p>
    <w:p w14:paraId="374F6C6D" w14:textId="77777777" w:rsidR="00AF139E" w:rsidRPr="005B5EC1" w:rsidRDefault="00000000" w:rsidP="000B1262">
      <w:pPr>
        <w:pStyle w:val="a3"/>
        <w:spacing w:before="0" w:beforeAutospacing="0" w:after="0" w:afterAutospacing="0" w:line="276" w:lineRule="auto"/>
        <w:ind w:firstLine="357"/>
        <w:jc w:val="both"/>
        <w:divId w:val="1073311113"/>
        <w:rPr>
          <w:rFonts w:ascii="Times New Roman" w:hAnsi="Times New Roman" w:cs="Times New Roman"/>
          <w:sz w:val="18"/>
          <w:szCs w:val="18"/>
        </w:rPr>
      </w:pPr>
      <w:r w:rsidRPr="005B5EC1">
        <w:rPr>
          <w:rFonts w:ascii="Times New Roman" w:hAnsi="Times New Roman" w:cs="Times New Roman"/>
          <w:sz w:val="18"/>
          <w:szCs w:val="18"/>
        </w:rPr>
        <w:t>合同负债，是指本集团已收或应收客户对价而应向客户转让商品的义务。如果在本集团向客户转让商品之前，客户已经支付了合同对价或本集团已经取得了无条件收款权，本集团在客户实际支付款项和到期应支付款项孰早时点，将该已收或应收款项列示为合同负债。同一合同下的合同资产和合同负债以净额列示，不同合同下的合同资产和合同负债不予抵销。</w:t>
      </w:r>
    </w:p>
    <w:p w14:paraId="7CFF6058" w14:textId="77777777" w:rsidR="00E32FE0" w:rsidRPr="005B5EC1" w:rsidRDefault="00000000">
      <w:pPr>
        <w:pStyle w:val="3"/>
        <w:spacing w:line="280" w:lineRule="exact"/>
        <w:jc w:val="left"/>
        <w:rPr>
          <w:rFonts w:ascii="Times New Roman" w:hAnsi="Times New Roman" w:cs="Times New Roman"/>
          <w:b/>
          <w:bCs/>
        </w:rPr>
      </w:pPr>
      <w:bookmarkStart w:id="212" w:name="_Toc989101"/>
      <w:r w:rsidRPr="005B5EC1">
        <w:rPr>
          <w:rFonts w:ascii="Times New Roman" w:hAnsi="Times New Roman" w:cs="Times New Roman"/>
          <w:b/>
          <w:bCs/>
        </w:rPr>
        <w:t>33</w:t>
      </w:r>
      <w:r w:rsidRPr="005B5EC1">
        <w:rPr>
          <w:rFonts w:ascii="Times New Roman" w:hAnsi="Times New Roman" w:cs="Times New Roman"/>
          <w:b/>
          <w:bCs/>
        </w:rPr>
        <w:t>、职工薪酬</w:t>
      </w:r>
      <w:bookmarkEnd w:id="212"/>
    </w:p>
    <w:p w14:paraId="6C200C7F"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bookmarkStart w:id="213" w:name="_Toc989102"/>
      <w:r w:rsidRPr="005B5EC1">
        <w:rPr>
          <w:rFonts w:ascii="Times New Roman" w:hAnsi="Times New Roman" w:cs="Times New Roman"/>
          <w:sz w:val="18"/>
          <w:szCs w:val="18"/>
        </w:rPr>
        <w:t>（</w:t>
      </w:r>
      <w:r w:rsidRPr="005B5EC1">
        <w:rPr>
          <w:rFonts w:ascii="Times New Roman" w:hAnsi="Times New Roman" w:cs="Times New Roman"/>
          <w:sz w:val="18"/>
          <w:szCs w:val="18"/>
        </w:rPr>
        <w:t>1</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短期薪酬的会计处理方法</w:t>
      </w:r>
      <w:bookmarkEnd w:id="213"/>
    </w:p>
    <w:p w14:paraId="248C6025" w14:textId="77777777" w:rsidR="00AF139E" w:rsidRPr="005B5EC1" w:rsidRDefault="00000000" w:rsidP="000B1262">
      <w:pPr>
        <w:pStyle w:val="a3"/>
        <w:spacing w:before="0" w:beforeAutospacing="0" w:after="0" w:afterAutospacing="0" w:line="276" w:lineRule="auto"/>
        <w:ind w:firstLine="357"/>
        <w:jc w:val="both"/>
        <w:divId w:val="1143698265"/>
        <w:rPr>
          <w:rFonts w:ascii="Times New Roman" w:hAnsi="Times New Roman" w:cs="Times New Roman"/>
          <w:sz w:val="18"/>
          <w:szCs w:val="18"/>
        </w:rPr>
      </w:pPr>
      <w:r w:rsidRPr="005B5EC1">
        <w:rPr>
          <w:rFonts w:ascii="Times New Roman" w:hAnsi="Times New Roman" w:cs="Times New Roman"/>
          <w:sz w:val="18"/>
          <w:szCs w:val="18"/>
        </w:rPr>
        <w:t>短期薪酬主要包括工资、奖金、津贴和补贴、职工福利费、医疗保险费、生育保险费、工伤保险费、住房公积金、工会经费和职工教育经费、非货币性福利等。本集团在职工为本集团提供服务的会计期间将实际发生的短期职工薪酬确认为负债，并计入当期损益或相关资产成本。其中非货币性福利按公允价值计量。</w:t>
      </w:r>
    </w:p>
    <w:p w14:paraId="38513698"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bookmarkStart w:id="214" w:name="_Toc989103"/>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离职后福利的会计处理方法</w:t>
      </w:r>
      <w:bookmarkEnd w:id="214"/>
    </w:p>
    <w:p w14:paraId="1EA8462E" w14:textId="77777777" w:rsidR="00AF139E" w:rsidRPr="005B5EC1" w:rsidRDefault="00000000" w:rsidP="000B1262">
      <w:pPr>
        <w:pStyle w:val="a3"/>
        <w:spacing w:before="0" w:beforeAutospacing="0" w:after="0" w:afterAutospacing="0" w:line="276" w:lineRule="auto"/>
        <w:ind w:firstLine="357"/>
        <w:jc w:val="both"/>
        <w:divId w:val="789281624"/>
        <w:rPr>
          <w:rFonts w:ascii="Times New Roman" w:hAnsi="Times New Roman" w:cs="Times New Roman"/>
          <w:sz w:val="18"/>
          <w:szCs w:val="18"/>
        </w:rPr>
      </w:pPr>
      <w:r w:rsidRPr="005B5EC1">
        <w:rPr>
          <w:rFonts w:ascii="Times New Roman" w:hAnsi="Times New Roman" w:cs="Times New Roman"/>
          <w:sz w:val="18"/>
          <w:szCs w:val="18"/>
        </w:rPr>
        <w:t>离职后福利主要包括基本养老保险、失业保险等。离职后福利计划包括设定提存计划。采用设定提存计划的，相应的应缴存金额于发生时计入相关资产成本或当期损益。</w:t>
      </w:r>
    </w:p>
    <w:p w14:paraId="389907D6"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bookmarkStart w:id="215" w:name="_Toc989104"/>
      <w:r w:rsidRPr="005B5EC1">
        <w:rPr>
          <w:rFonts w:ascii="Times New Roman" w:hAnsi="Times New Roman" w:cs="Times New Roman"/>
          <w:sz w:val="18"/>
          <w:szCs w:val="18"/>
        </w:rPr>
        <w:t>（</w:t>
      </w:r>
      <w:r w:rsidRPr="005B5EC1">
        <w:rPr>
          <w:rFonts w:ascii="Times New Roman" w:hAnsi="Times New Roman" w:cs="Times New Roman"/>
          <w:sz w:val="18"/>
          <w:szCs w:val="18"/>
        </w:rPr>
        <w:t>3</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辞退福利的会计处理方法</w:t>
      </w:r>
      <w:bookmarkEnd w:id="215"/>
    </w:p>
    <w:p w14:paraId="61CE6E43" w14:textId="77777777" w:rsidR="00AF139E" w:rsidRPr="005B5EC1" w:rsidRDefault="00000000" w:rsidP="000B1262">
      <w:pPr>
        <w:pStyle w:val="a3"/>
        <w:spacing w:before="0" w:beforeAutospacing="0" w:after="0" w:afterAutospacing="0" w:line="276" w:lineRule="auto"/>
        <w:ind w:firstLine="357"/>
        <w:jc w:val="both"/>
        <w:divId w:val="1790395668"/>
        <w:rPr>
          <w:rFonts w:ascii="Times New Roman" w:hAnsi="Times New Roman" w:cs="Times New Roman"/>
          <w:sz w:val="18"/>
          <w:szCs w:val="18"/>
        </w:rPr>
      </w:pPr>
      <w:r w:rsidRPr="005B5EC1">
        <w:rPr>
          <w:rFonts w:ascii="Times New Roman" w:hAnsi="Times New Roman" w:cs="Times New Roman"/>
          <w:sz w:val="18"/>
          <w:szCs w:val="18"/>
        </w:rPr>
        <w:t>在职工劳动合同到期之前解除与职工的劳动关系，或为鼓励职工自愿接受裁减而提出给予补偿的建议，在本集团不能单方面撤回因解除劳动关系计划或裁减建议所提供的辞退福利时，和本集团确认与涉及支付辞退福利的重组相关的成本两者孰早日，确认辞退福利产生的职工薪酬负债，并计入当期损益。但辞退福利预期在年度报告期结束后十二个月不能完全支付的，按照其他长期职工薪酬处理。</w:t>
      </w:r>
    </w:p>
    <w:p w14:paraId="4768F228"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bookmarkStart w:id="216" w:name="_Toc989105"/>
      <w:r w:rsidRPr="005B5EC1">
        <w:rPr>
          <w:rFonts w:ascii="Times New Roman" w:hAnsi="Times New Roman" w:cs="Times New Roman"/>
          <w:sz w:val="18"/>
          <w:szCs w:val="18"/>
        </w:rPr>
        <w:t>（</w:t>
      </w:r>
      <w:r w:rsidRPr="005B5EC1">
        <w:rPr>
          <w:rFonts w:ascii="Times New Roman" w:hAnsi="Times New Roman" w:cs="Times New Roman"/>
          <w:sz w:val="18"/>
          <w:szCs w:val="18"/>
        </w:rPr>
        <w:t>4</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其他长期职工福利的会计处理方法</w:t>
      </w:r>
      <w:bookmarkEnd w:id="216"/>
    </w:p>
    <w:p w14:paraId="201EBF00" w14:textId="77777777" w:rsidR="00AF139E" w:rsidRPr="005B5EC1" w:rsidRDefault="00000000" w:rsidP="000B1262">
      <w:pPr>
        <w:pStyle w:val="a3"/>
        <w:spacing w:before="0" w:beforeAutospacing="0" w:after="0" w:afterAutospacing="0" w:line="276" w:lineRule="auto"/>
        <w:ind w:firstLine="357"/>
        <w:jc w:val="both"/>
        <w:divId w:val="1312753746"/>
        <w:rPr>
          <w:rFonts w:ascii="Times New Roman" w:hAnsi="Times New Roman" w:cs="Times New Roman"/>
          <w:sz w:val="18"/>
          <w:szCs w:val="18"/>
        </w:rPr>
      </w:pPr>
      <w:r w:rsidRPr="005B5EC1">
        <w:rPr>
          <w:rFonts w:ascii="Times New Roman" w:hAnsi="Times New Roman" w:cs="Times New Roman"/>
          <w:sz w:val="18"/>
          <w:szCs w:val="18"/>
        </w:rPr>
        <w:t>职工内部退休计划采用与上述辞退福利相同的原则处理。本集团将自职工停止提供服务日至正常退休日的期间拟支付的内退人员工资和缴纳的社会保险费等，在符合预计负债确认条件时，计入当期损益（辞退福利）。</w:t>
      </w:r>
    </w:p>
    <w:p w14:paraId="56922E01" w14:textId="77777777" w:rsidR="00AF139E" w:rsidRPr="005B5EC1" w:rsidRDefault="00000000" w:rsidP="000B1262">
      <w:pPr>
        <w:pStyle w:val="a3"/>
        <w:spacing w:before="0" w:beforeAutospacing="0" w:after="0" w:afterAutospacing="0" w:line="276" w:lineRule="auto"/>
        <w:ind w:firstLine="357"/>
        <w:jc w:val="both"/>
        <w:divId w:val="1312753746"/>
        <w:rPr>
          <w:rFonts w:ascii="Times New Roman" w:hAnsi="Times New Roman" w:cs="Times New Roman"/>
          <w:sz w:val="18"/>
          <w:szCs w:val="18"/>
        </w:rPr>
      </w:pPr>
      <w:r w:rsidRPr="005B5EC1">
        <w:rPr>
          <w:rFonts w:ascii="Times New Roman" w:hAnsi="Times New Roman" w:cs="Times New Roman"/>
          <w:sz w:val="18"/>
          <w:szCs w:val="18"/>
        </w:rPr>
        <w:t>本集团向职工提供的其他长期职工福利，符合设定提存计划的，按照设定提存计划进行会计处理，除此之外按照设定受益计划进行会计处理。</w:t>
      </w:r>
    </w:p>
    <w:p w14:paraId="40FBAF62" w14:textId="77777777" w:rsidR="00E32FE0" w:rsidRPr="005B5EC1" w:rsidRDefault="00000000">
      <w:pPr>
        <w:pStyle w:val="3"/>
        <w:spacing w:line="280" w:lineRule="exact"/>
        <w:jc w:val="left"/>
        <w:rPr>
          <w:rFonts w:ascii="Times New Roman" w:hAnsi="Times New Roman" w:cs="Times New Roman"/>
          <w:b/>
          <w:bCs/>
        </w:rPr>
      </w:pPr>
      <w:bookmarkStart w:id="217" w:name="_Toc989106"/>
      <w:r w:rsidRPr="005B5EC1">
        <w:rPr>
          <w:rFonts w:ascii="Times New Roman" w:hAnsi="Times New Roman" w:cs="Times New Roman"/>
          <w:b/>
          <w:bCs/>
        </w:rPr>
        <w:t>34</w:t>
      </w:r>
      <w:r w:rsidRPr="005B5EC1">
        <w:rPr>
          <w:rFonts w:ascii="Times New Roman" w:hAnsi="Times New Roman" w:cs="Times New Roman"/>
          <w:b/>
          <w:bCs/>
        </w:rPr>
        <w:t>、预计负债</w:t>
      </w:r>
      <w:bookmarkEnd w:id="217"/>
    </w:p>
    <w:p w14:paraId="12842656" w14:textId="77777777" w:rsidR="00AF139E" w:rsidRPr="005B5EC1" w:rsidRDefault="00000000" w:rsidP="000B1262">
      <w:pPr>
        <w:pStyle w:val="a3"/>
        <w:spacing w:before="0" w:beforeAutospacing="0" w:after="0" w:afterAutospacing="0" w:line="276" w:lineRule="auto"/>
        <w:ind w:firstLine="357"/>
        <w:jc w:val="both"/>
        <w:divId w:val="434714323"/>
        <w:rPr>
          <w:rFonts w:ascii="Times New Roman" w:hAnsi="Times New Roman" w:cs="Times New Roman"/>
          <w:sz w:val="18"/>
          <w:szCs w:val="18"/>
        </w:rPr>
      </w:pPr>
      <w:r w:rsidRPr="005B5EC1">
        <w:rPr>
          <w:rFonts w:ascii="Times New Roman" w:hAnsi="Times New Roman" w:cs="Times New Roman"/>
          <w:sz w:val="18"/>
          <w:szCs w:val="18"/>
        </w:rPr>
        <w:t>当与或有事项相关的义务同时符合以下条件，确认为预计负债：（</w:t>
      </w:r>
      <w:r w:rsidRPr="005B5EC1">
        <w:rPr>
          <w:rFonts w:ascii="Times New Roman" w:hAnsi="Times New Roman" w:cs="Times New Roman"/>
          <w:sz w:val="18"/>
          <w:szCs w:val="18"/>
        </w:rPr>
        <w:t>1</w:t>
      </w:r>
      <w:r w:rsidRPr="005B5EC1">
        <w:rPr>
          <w:rFonts w:ascii="Times New Roman" w:hAnsi="Times New Roman" w:cs="Times New Roman"/>
          <w:sz w:val="18"/>
          <w:szCs w:val="18"/>
        </w:rPr>
        <w:t>）该义务是本集团承担的现时义务；（</w:t>
      </w:r>
      <w:r w:rsidRPr="005B5EC1">
        <w:rPr>
          <w:rFonts w:ascii="Times New Roman" w:hAnsi="Times New Roman" w:cs="Times New Roman"/>
          <w:sz w:val="18"/>
          <w:szCs w:val="18"/>
        </w:rPr>
        <w:t>2</w:t>
      </w:r>
      <w:r w:rsidRPr="005B5EC1">
        <w:rPr>
          <w:rFonts w:ascii="Times New Roman" w:hAnsi="Times New Roman" w:cs="Times New Roman"/>
          <w:sz w:val="18"/>
          <w:szCs w:val="18"/>
        </w:rPr>
        <w:t>）履行该义务很可能导致经济利益流出；（</w:t>
      </w:r>
      <w:r w:rsidRPr="005B5EC1">
        <w:rPr>
          <w:rFonts w:ascii="Times New Roman" w:hAnsi="Times New Roman" w:cs="Times New Roman"/>
          <w:sz w:val="18"/>
          <w:szCs w:val="18"/>
        </w:rPr>
        <w:t>3</w:t>
      </w:r>
      <w:r w:rsidRPr="005B5EC1">
        <w:rPr>
          <w:rFonts w:ascii="Times New Roman" w:hAnsi="Times New Roman" w:cs="Times New Roman"/>
          <w:sz w:val="18"/>
          <w:szCs w:val="18"/>
        </w:rPr>
        <w:t>）该义务的金额能够可靠地计量。</w:t>
      </w:r>
    </w:p>
    <w:p w14:paraId="72BF5BA6" w14:textId="77777777" w:rsidR="00AF139E" w:rsidRPr="005B5EC1" w:rsidRDefault="00000000" w:rsidP="000B1262">
      <w:pPr>
        <w:pStyle w:val="a3"/>
        <w:spacing w:before="0" w:beforeAutospacing="0" w:after="0" w:afterAutospacing="0" w:line="276" w:lineRule="auto"/>
        <w:ind w:firstLine="357"/>
        <w:jc w:val="both"/>
        <w:divId w:val="434714323"/>
        <w:rPr>
          <w:rFonts w:ascii="Times New Roman" w:hAnsi="Times New Roman" w:cs="Times New Roman"/>
          <w:sz w:val="18"/>
          <w:szCs w:val="18"/>
        </w:rPr>
      </w:pPr>
      <w:r w:rsidRPr="005B5EC1">
        <w:rPr>
          <w:rFonts w:ascii="Times New Roman" w:hAnsi="Times New Roman" w:cs="Times New Roman"/>
          <w:sz w:val="18"/>
          <w:szCs w:val="18"/>
        </w:rPr>
        <w:t>在资产负债表日，考虑与或有事项有关的风险、不确定性和货币时间价值等因素，按照履行相关现时义务所需支出的最佳估计数对预计负债进行计量。</w:t>
      </w:r>
    </w:p>
    <w:p w14:paraId="322BE82A" w14:textId="77777777" w:rsidR="00AF139E" w:rsidRPr="005B5EC1" w:rsidRDefault="00000000" w:rsidP="000B1262">
      <w:pPr>
        <w:pStyle w:val="a3"/>
        <w:spacing w:before="0" w:beforeAutospacing="0" w:after="0" w:afterAutospacing="0" w:line="276" w:lineRule="auto"/>
        <w:ind w:firstLine="357"/>
        <w:jc w:val="both"/>
        <w:divId w:val="434714323"/>
        <w:rPr>
          <w:rFonts w:ascii="Times New Roman" w:hAnsi="Times New Roman" w:cs="Times New Roman"/>
          <w:sz w:val="18"/>
          <w:szCs w:val="18"/>
        </w:rPr>
      </w:pPr>
      <w:r w:rsidRPr="005B5EC1">
        <w:rPr>
          <w:rFonts w:ascii="Times New Roman" w:hAnsi="Times New Roman" w:cs="Times New Roman"/>
          <w:sz w:val="18"/>
          <w:szCs w:val="18"/>
        </w:rPr>
        <w:t>如果清偿预计负债所需支出全部或部分预期由第三方补偿的，补偿金额在基本确定能够收到时，作为资产单独确认，且确认的补偿金额不超过预计负债的账面价值。</w:t>
      </w:r>
    </w:p>
    <w:p w14:paraId="59766CA5" w14:textId="77777777" w:rsidR="00E32FE0" w:rsidRPr="005B5EC1" w:rsidRDefault="00000000">
      <w:pPr>
        <w:pStyle w:val="3"/>
        <w:spacing w:line="280" w:lineRule="exact"/>
        <w:jc w:val="left"/>
        <w:rPr>
          <w:rFonts w:ascii="Times New Roman" w:hAnsi="Times New Roman" w:cs="Times New Roman"/>
          <w:b/>
          <w:bCs/>
        </w:rPr>
      </w:pPr>
      <w:bookmarkStart w:id="218" w:name="_Toc989107"/>
      <w:r w:rsidRPr="005B5EC1">
        <w:rPr>
          <w:rFonts w:ascii="Times New Roman" w:hAnsi="Times New Roman" w:cs="Times New Roman"/>
          <w:b/>
          <w:bCs/>
        </w:rPr>
        <w:lastRenderedPageBreak/>
        <w:t>35</w:t>
      </w:r>
      <w:r w:rsidRPr="005B5EC1">
        <w:rPr>
          <w:rFonts w:ascii="Times New Roman" w:hAnsi="Times New Roman" w:cs="Times New Roman"/>
          <w:b/>
          <w:bCs/>
        </w:rPr>
        <w:t>、股份支付</w:t>
      </w:r>
      <w:bookmarkEnd w:id="218"/>
    </w:p>
    <w:p w14:paraId="2F32EA88"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股份支付的会计处理方法</w:t>
      </w:r>
    </w:p>
    <w:p w14:paraId="4F5C2F28"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股份支付是为了获取职工或其他方提供服务而授予权益工具或者承担以权益工具为基础确定的负债的交易。股份支付分为以权益结算的股份支付和以现金结算的股份支付。</w:t>
      </w:r>
    </w:p>
    <w:p w14:paraId="1E8A03E0"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Cambria Math" w:hAnsi="Cambria Math" w:cs="Cambria Math"/>
          <w:sz w:val="18"/>
          <w:szCs w:val="18"/>
        </w:rPr>
        <w:t>①</w:t>
      </w:r>
      <w:r w:rsidRPr="005B5EC1">
        <w:rPr>
          <w:rFonts w:ascii="Times New Roman" w:hAnsi="Times New Roman" w:cs="Times New Roman"/>
          <w:sz w:val="18"/>
          <w:szCs w:val="18"/>
        </w:rPr>
        <w:t>以权益结算的股份支付</w:t>
      </w:r>
    </w:p>
    <w:p w14:paraId="2FC362E5"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sidRPr="005B5EC1">
        <w:rPr>
          <w:rFonts w:ascii="Times New Roman" w:hAnsi="Times New Roman" w:cs="Times New Roman"/>
          <w:sz w:val="18"/>
          <w:szCs w:val="18"/>
        </w:rPr>
        <w:t>/</w:t>
      </w:r>
      <w:r w:rsidRPr="005B5EC1">
        <w:rPr>
          <w:rFonts w:ascii="Times New Roman" w:hAnsi="Times New Roman" w:cs="Times New Roman"/>
          <w:sz w:val="18"/>
          <w:szCs w:val="18"/>
        </w:rPr>
        <w:t>在授予后立即可行权时，在授予日计入相关成本或费用，相应增加资本公积。</w:t>
      </w:r>
    </w:p>
    <w:p w14:paraId="75B5BFB5"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在等待期内每个资产负债表日，本集团根据最新取得的可行权职工人数变动等后续信息做出最佳估计，修正预计可行权的权益工具数量。上述估计的影响计入当期相关成本或费用，并相应调整资本公积。</w:t>
      </w:r>
    </w:p>
    <w:p w14:paraId="58887EC2"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14:paraId="0773C9FF"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以现金结算的股份支付</w:t>
      </w:r>
    </w:p>
    <w:p w14:paraId="0018F63C"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以现金结算的股份支付，按照本集团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本集团承担负债的公允价值金额，将当期取得的服务计入成本或费用，相应增加负债。</w:t>
      </w:r>
    </w:p>
    <w:p w14:paraId="58AB10EB"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在相关负债结算前的每个资产负债表日以及结算日，对负债的公允价值重新计量，其变动计入当期损益。</w:t>
      </w:r>
    </w:p>
    <w:p w14:paraId="35B4FF42"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修改、终止股份支付计划的相关会计处理</w:t>
      </w:r>
    </w:p>
    <w:p w14:paraId="7BB16010"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本集团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集团取消了部分或全部已授予的权益工具。</w:t>
      </w:r>
    </w:p>
    <w:p w14:paraId="5EBF44E4"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在等待期内，如果取消了授予的权益工具，本集团对取消所授予的权益性工具作为加速行权处理，将剩余等待期内应确认的金额立即计入当期损益，同时确认资本公积。职工或其他方能够选择满足非可行权条件但在等待期内未满足的，本集团将其作为授予权益工具的取消处理。</w:t>
      </w:r>
    </w:p>
    <w:p w14:paraId="6AC2BB10"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涉及本集团与本公司股东或实际控制人的股份支付交易的会计处理</w:t>
      </w:r>
    </w:p>
    <w:p w14:paraId="4B8F45A7"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涉及本集团与本公司股东或实际控制人的股份支付交易，结算企业与接受服务企业中其一在本集团内，另一在本集团外的，在本集团合并财务报表中按照以下规定进行会计处理：</w:t>
      </w:r>
    </w:p>
    <w:p w14:paraId="527006A3"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Cambria Math" w:hAnsi="Cambria Math" w:cs="Cambria Math"/>
          <w:sz w:val="18"/>
          <w:szCs w:val="18"/>
        </w:rPr>
        <w:t>①</w:t>
      </w:r>
      <w:r w:rsidRPr="005B5EC1">
        <w:rPr>
          <w:rFonts w:ascii="Times New Roman" w:hAnsi="Times New Roman" w:cs="Times New Roman"/>
          <w:sz w:val="18"/>
          <w:szCs w:val="18"/>
        </w:rPr>
        <w:t>结算企业以其本身权益工具结算的，将该股份支付交易作为权益结算的股份支付处理；除此之外，作为现金结算的股份支付处理。</w:t>
      </w:r>
    </w:p>
    <w:p w14:paraId="2EBB756E"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t>结算企业是接受服务企业的投资者的，按照授予日权益工具的公允价值或应承担负债的公允价值确认为对接受服务企业的长期股权投资，同时确认资本公积（其他资本公积）或负债。</w:t>
      </w:r>
    </w:p>
    <w:p w14:paraId="6894CB1C"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14:paraId="2F40DC52" w14:textId="77777777" w:rsidR="00AF139E" w:rsidRPr="005B5EC1" w:rsidRDefault="00000000" w:rsidP="000B1262">
      <w:pPr>
        <w:pStyle w:val="a3"/>
        <w:spacing w:before="0" w:beforeAutospacing="0" w:after="0" w:afterAutospacing="0" w:line="276" w:lineRule="auto"/>
        <w:ind w:firstLine="357"/>
        <w:jc w:val="both"/>
        <w:divId w:val="1935354383"/>
        <w:rPr>
          <w:rFonts w:ascii="Times New Roman" w:hAnsi="Times New Roman" w:cs="Times New Roman"/>
          <w:sz w:val="18"/>
          <w:szCs w:val="18"/>
        </w:rPr>
      </w:pPr>
      <w:r w:rsidRPr="005B5EC1">
        <w:rPr>
          <w:rFonts w:ascii="Times New Roman" w:hAnsi="Times New Roman" w:cs="Times New Roman"/>
          <w:sz w:val="18"/>
          <w:szCs w:val="18"/>
        </w:rPr>
        <w:lastRenderedPageBreak/>
        <w:t>本集团内各企业之间发生的股份支付交易，接受服务企业和结算企业不是同一企业的，在接受服务企业和结算企业各自的个别财务报表中对该股份支付交易的确认和计量，比照上述原则处理。</w:t>
      </w:r>
    </w:p>
    <w:p w14:paraId="665105E3" w14:textId="77777777" w:rsidR="00E32FE0" w:rsidRPr="005B5EC1" w:rsidRDefault="00000000">
      <w:pPr>
        <w:pStyle w:val="3"/>
        <w:spacing w:line="280" w:lineRule="exact"/>
        <w:jc w:val="left"/>
        <w:rPr>
          <w:rFonts w:ascii="Times New Roman" w:hAnsi="Times New Roman" w:cs="Times New Roman"/>
          <w:b/>
          <w:bCs/>
        </w:rPr>
      </w:pPr>
      <w:bookmarkStart w:id="219" w:name="_Toc989108"/>
      <w:r w:rsidRPr="005B5EC1">
        <w:rPr>
          <w:rFonts w:ascii="Times New Roman" w:hAnsi="Times New Roman" w:cs="Times New Roman"/>
          <w:b/>
          <w:bCs/>
        </w:rPr>
        <w:t>36</w:t>
      </w:r>
      <w:r w:rsidRPr="005B5EC1">
        <w:rPr>
          <w:rFonts w:ascii="Times New Roman" w:hAnsi="Times New Roman" w:cs="Times New Roman"/>
          <w:b/>
          <w:bCs/>
        </w:rPr>
        <w:t>、优先股、永续债等其他金融工具</w:t>
      </w:r>
      <w:bookmarkEnd w:id="219"/>
    </w:p>
    <w:p w14:paraId="4D5BB5F9"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Times New Roman" w:hAnsi="Times New Roman" w:cs="Times New Roman"/>
          <w:sz w:val="18"/>
          <w:szCs w:val="18"/>
        </w:rPr>
        <w:t>永续债和优先股等的区分</w:t>
      </w:r>
    </w:p>
    <w:p w14:paraId="5260E97F"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Times New Roman" w:hAnsi="Times New Roman" w:cs="Times New Roman"/>
          <w:sz w:val="18"/>
          <w:szCs w:val="18"/>
        </w:rPr>
        <w:t>本集团发行的永续债和优先股等金融工具，同时符合以下条件的，作为权益工具：</w:t>
      </w:r>
    </w:p>
    <w:p w14:paraId="6AEA9762"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Cambria Math" w:hAnsi="Cambria Math" w:cs="Cambria Math"/>
          <w:sz w:val="18"/>
          <w:szCs w:val="18"/>
        </w:rPr>
        <w:t>①</w:t>
      </w:r>
      <w:r w:rsidRPr="005B5EC1">
        <w:rPr>
          <w:rFonts w:ascii="Times New Roman" w:hAnsi="Times New Roman" w:cs="Times New Roman"/>
          <w:sz w:val="18"/>
          <w:szCs w:val="18"/>
        </w:rPr>
        <w:t>该金融工具不包括交付现金或其他金融资产给其他方，或在潜在不利条件下与其他方交换金融资产或金融负债的合同义务；</w:t>
      </w:r>
    </w:p>
    <w:p w14:paraId="44BE7A2B"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如将来须用或可用企业自身权益工具结算该金融工具的，如该金融工具为非衍生工具，则不包括交付可变数量的自身权益工具进行结算的合同义务；如为衍生工具，则本集团只能通过以固定数量的自身权益工具交换固定金额的现金或其他金融资产结算该金融工具。</w:t>
      </w:r>
    </w:p>
    <w:p w14:paraId="5A61AF4B"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Times New Roman" w:hAnsi="Times New Roman" w:cs="Times New Roman"/>
          <w:sz w:val="18"/>
          <w:szCs w:val="18"/>
        </w:rPr>
        <w:t>除按上述条件可归类为权益工具的金融工具以外，本集团发行的其他金融工具应归类为金融负债。</w:t>
      </w:r>
    </w:p>
    <w:p w14:paraId="708EAAC2"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Times New Roman" w:hAnsi="Times New Roman" w:cs="Times New Roman"/>
          <w:sz w:val="18"/>
          <w:szCs w:val="18"/>
        </w:rPr>
        <w:t>本集团发行的金融工具为复合金融工具的，按照负债成分的公允价值确认为一项负债，按实际收到的金额扣除负债成分的公允价值后的金额，确认为</w:t>
      </w:r>
      <w:r w:rsidRPr="005B5EC1">
        <w:rPr>
          <w:rFonts w:ascii="Times New Roman" w:hAnsi="Times New Roman" w:cs="Times New Roman"/>
          <w:sz w:val="18"/>
          <w:szCs w:val="18"/>
        </w:rPr>
        <w:t>“</w:t>
      </w:r>
      <w:r w:rsidRPr="005B5EC1">
        <w:rPr>
          <w:rFonts w:ascii="Times New Roman" w:hAnsi="Times New Roman" w:cs="Times New Roman"/>
          <w:sz w:val="18"/>
          <w:szCs w:val="18"/>
        </w:rPr>
        <w:t>其他权益工具</w:t>
      </w:r>
      <w:r w:rsidRPr="005B5EC1">
        <w:rPr>
          <w:rFonts w:ascii="Times New Roman" w:hAnsi="Times New Roman" w:cs="Times New Roman"/>
          <w:sz w:val="18"/>
          <w:szCs w:val="18"/>
        </w:rPr>
        <w:t>”</w:t>
      </w:r>
      <w:r w:rsidRPr="005B5EC1">
        <w:rPr>
          <w:rFonts w:ascii="Times New Roman" w:hAnsi="Times New Roman" w:cs="Times New Roman"/>
          <w:sz w:val="18"/>
          <w:szCs w:val="18"/>
        </w:rPr>
        <w:t>。发行复合金融工具发生的交易费用，在负债成分和权益成分之间按照各自占总发行价款的比例进行分摊。</w:t>
      </w:r>
    </w:p>
    <w:p w14:paraId="2C39BE80"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Times New Roman" w:hAnsi="Times New Roman" w:cs="Times New Roman"/>
          <w:sz w:val="18"/>
          <w:szCs w:val="18"/>
        </w:rPr>
        <w:t>永续债和优先股等的会计处理方法</w:t>
      </w:r>
    </w:p>
    <w:p w14:paraId="3E4E0F3D"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Times New Roman" w:hAnsi="Times New Roman" w:cs="Times New Roman"/>
          <w:sz w:val="18"/>
          <w:szCs w:val="18"/>
        </w:rPr>
        <w:t>归类为金融负债的永续债和优先股等金融工具，其相关利息、股利（或股息）、利得或损失，以及赎回或再融资产生的利得或损失等，除符合资本化条件的借款费用（参见本附注五、</w:t>
      </w:r>
      <w:r w:rsidRPr="005B5EC1">
        <w:rPr>
          <w:rFonts w:ascii="Times New Roman" w:hAnsi="Times New Roman" w:cs="Times New Roman"/>
          <w:sz w:val="18"/>
          <w:szCs w:val="18"/>
        </w:rPr>
        <w:t>26“</w:t>
      </w:r>
      <w:r w:rsidRPr="005B5EC1">
        <w:rPr>
          <w:rFonts w:ascii="Times New Roman" w:hAnsi="Times New Roman" w:cs="Times New Roman"/>
          <w:sz w:val="18"/>
          <w:szCs w:val="18"/>
        </w:rPr>
        <w:t>借款费用</w:t>
      </w:r>
      <w:r w:rsidRPr="005B5EC1">
        <w:rPr>
          <w:rFonts w:ascii="Times New Roman" w:hAnsi="Times New Roman" w:cs="Times New Roman"/>
          <w:sz w:val="18"/>
          <w:szCs w:val="18"/>
        </w:rPr>
        <w:t>”</w:t>
      </w:r>
      <w:r w:rsidRPr="005B5EC1">
        <w:rPr>
          <w:rFonts w:ascii="Times New Roman" w:hAnsi="Times New Roman" w:cs="Times New Roman"/>
          <w:sz w:val="18"/>
          <w:szCs w:val="18"/>
        </w:rPr>
        <w:t>）以外，均计入当期损益。</w:t>
      </w:r>
    </w:p>
    <w:p w14:paraId="53AB6FB9"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Times New Roman" w:hAnsi="Times New Roman" w:cs="Times New Roman"/>
          <w:sz w:val="18"/>
          <w:szCs w:val="18"/>
        </w:rPr>
        <w:t>归类为权益工具的永续债和优先股等金融工具，其发行（含再融资）、回购、出售或注销时，本集团作为权益的变动处理，相关交易费用亦从权益中扣减。本集团对权益工具持有方的分配作为利润分配处理。</w:t>
      </w:r>
    </w:p>
    <w:p w14:paraId="72EA00DE" w14:textId="77777777" w:rsidR="00AF139E" w:rsidRPr="005B5EC1" w:rsidRDefault="00000000" w:rsidP="000B1262">
      <w:pPr>
        <w:pStyle w:val="a3"/>
        <w:spacing w:before="0" w:beforeAutospacing="0" w:after="0" w:afterAutospacing="0" w:line="276" w:lineRule="auto"/>
        <w:ind w:firstLine="357"/>
        <w:jc w:val="both"/>
        <w:divId w:val="691497130"/>
        <w:rPr>
          <w:rFonts w:ascii="Times New Roman" w:hAnsi="Times New Roman" w:cs="Times New Roman"/>
          <w:sz w:val="18"/>
          <w:szCs w:val="18"/>
        </w:rPr>
      </w:pPr>
      <w:r w:rsidRPr="005B5EC1">
        <w:rPr>
          <w:rFonts w:ascii="Times New Roman" w:hAnsi="Times New Roman" w:cs="Times New Roman"/>
          <w:sz w:val="18"/>
          <w:szCs w:val="18"/>
        </w:rPr>
        <w:t>本集团不确认权益工具的公允价值变动。</w:t>
      </w:r>
    </w:p>
    <w:p w14:paraId="16303DBC" w14:textId="77777777" w:rsidR="00E32FE0" w:rsidRPr="005B5EC1" w:rsidRDefault="00000000">
      <w:pPr>
        <w:pStyle w:val="3"/>
        <w:spacing w:line="280" w:lineRule="exact"/>
        <w:jc w:val="left"/>
        <w:rPr>
          <w:rFonts w:ascii="Times New Roman" w:hAnsi="Times New Roman" w:cs="Times New Roman"/>
          <w:b/>
          <w:bCs/>
        </w:rPr>
      </w:pPr>
      <w:bookmarkStart w:id="220" w:name="_Toc989109"/>
      <w:r w:rsidRPr="005B5EC1">
        <w:rPr>
          <w:rFonts w:ascii="Times New Roman" w:hAnsi="Times New Roman" w:cs="Times New Roman"/>
          <w:b/>
          <w:bCs/>
        </w:rPr>
        <w:t>37</w:t>
      </w:r>
      <w:r w:rsidRPr="005B5EC1">
        <w:rPr>
          <w:rFonts w:ascii="Times New Roman" w:hAnsi="Times New Roman" w:cs="Times New Roman"/>
          <w:b/>
          <w:bCs/>
        </w:rPr>
        <w:t>、收入</w:t>
      </w:r>
      <w:bookmarkEnd w:id="220"/>
    </w:p>
    <w:p w14:paraId="53BD1D27"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r w:rsidRPr="005B5EC1">
        <w:rPr>
          <w:rFonts w:ascii="Times New Roman" w:hAnsi="Times New Roman" w:cs="Times New Roman"/>
          <w:sz w:val="18"/>
          <w:szCs w:val="18"/>
        </w:rPr>
        <w:t>按照业务类型披露收入确认和计量所采用的会计政策</w:t>
      </w:r>
    </w:p>
    <w:p w14:paraId="1914426D"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收入，是本集团在日常活动中形成的、会导致股东权益增加的、与股东投入资本无关的经济利益的总流入。本集团与客户之间的合同同时满足下列条件时，在客户取得相关商品（含劳务，下同）控制权时确认收入：合同各方已批准该合同并承诺将履行各自义务；合同明确了合同各方与所转让商品或提供劳务相关的权利和义务；合同有明确的与所转让商品相关的支付条款；合同具有商业实质，即履行该合同将改变本集团未来现金流量的风险、时间分布或金额；本集团因向客户转让商品而有权取得的对价很可能收回。其中，取得相关商品控制权，是指能够主导该商品的使用并从中获得几乎全部的经济利益。</w:t>
      </w:r>
    </w:p>
    <w:p w14:paraId="39452099"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在合同开始日，本集团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14:paraId="2C004E9F"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可变对价：</w:t>
      </w:r>
    </w:p>
    <w:p w14:paraId="22D4F6B7"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本集团部分与客户之间的合同存在销售返利的安排，形成可变对价。本集团按照期望值或最有可能发生金额确定可变对价的最佳估计数，但包含可变对价的交易价格不超过在相关不确定性消除时累计已确认收入极可能不会发生重大转回的金额。</w:t>
      </w:r>
    </w:p>
    <w:p w14:paraId="5F0992DC"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应付客户对价：</w:t>
      </w:r>
    </w:p>
    <w:p w14:paraId="0D53ED99"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lastRenderedPageBreak/>
        <w:t>对于应付客户对价，本集团将该应付客户对价冲减交易价格，并在确认相关收入与支付（或承诺支付）客户对价二者孰晚的时点冲减当期收入，除非该应付对价是为了向客户取得其他可明确区分商品或服务。</w:t>
      </w:r>
    </w:p>
    <w:p w14:paraId="67CEBABB"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对于合同中的每个单项履约义务，如果满足下列条件之一的，本集团在相关履约时段内按照履约进度将分摊至该单项履约义务的交易价格确认为收入：客户在本集团履约的同时即取得并消耗本集团履约所带来的经济利益；客户能够控制本集团履约过程中在建的商品；本集团履约过程中所产出的商品具有不可替代用途，且本集团在整个合同期间内有权就累计至今已完成的履约部分收取款项。履约进度根据所转让商品的性质采用投入法或产出法确定，当履约进度不能合理确定时，本集团已经发生的成本预计能够得到补偿的，按照已经发生的成本金额确认收入，直到履约进度能够合理确定为止。</w:t>
      </w:r>
    </w:p>
    <w:p w14:paraId="00DE81F6"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如果不满足上述条件之一，则本集团在客户取得相关商品控制权的时点按照分摊至该单项履约义务的交易价格确认收入。在判断客户是否已取得商品控制权时，本集团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14:paraId="732C6EAA"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本集团销售商品收入按客户类别可细分为自提货现销、加盟店、批发商、商超客户、食品加工企业等多种方式。销售收入的确认方式及结算方式因客户类别而不同，具体如下：</w:t>
      </w:r>
    </w:p>
    <w:p w14:paraId="0A9E67B9"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1</w:t>
      </w:r>
      <w:r w:rsidRPr="005B5EC1">
        <w:rPr>
          <w:rFonts w:ascii="Times New Roman" w:hAnsi="Times New Roman" w:cs="Times New Roman"/>
          <w:sz w:val="18"/>
          <w:szCs w:val="18"/>
        </w:rPr>
        <w:t>）自提货现销</w:t>
      </w:r>
    </w:p>
    <w:p w14:paraId="79FDDBE0"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自提货现销模式下，客户自行取货，现款提货。公司于收款发货后商品的控制权转移，确认销售收入，结算方式为现款现货结算或预收款结算。</w:t>
      </w:r>
    </w:p>
    <w:p w14:paraId="1AE91F02"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）加盟店销售</w:t>
      </w:r>
    </w:p>
    <w:p w14:paraId="7C57424D"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加盟店销售模式下，公司根据区域加盟经销商的订单备货，至少提前一天全额预收货款，货物到达并经区域加盟经销商验收后，商品的控制权已发生转移，公司根据当日出库金额全额确认销售收入。</w:t>
      </w:r>
    </w:p>
    <w:p w14:paraId="3A97751D"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3</w:t>
      </w:r>
      <w:r w:rsidRPr="005B5EC1">
        <w:rPr>
          <w:rFonts w:ascii="Times New Roman" w:hAnsi="Times New Roman" w:cs="Times New Roman"/>
          <w:sz w:val="18"/>
          <w:szCs w:val="18"/>
        </w:rPr>
        <w:t>）批发商销售</w:t>
      </w:r>
    </w:p>
    <w:p w14:paraId="5F74BE2A"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批发商销售模式下，公司与批发商签订合同，公司销售部收集并汇总各批发商的订单，然后向车间下达备货指令进行备货，批发商一般在发货前一天全额预付货款。由公司冷藏车送到批发商指定地点，批发商收货并签字确认后，商品的控制权已发生转移，公司确认销售收入。</w:t>
      </w:r>
    </w:p>
    <w:p w14:paraId="1CB028ED"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该销售模式的结算方式一般为全额预收款结算。在销售旺季或当个别销售量大的批发商遇到流动资金困难时，公司允许批发商本人按时间段提交个人赊销申请，根据审批权限经公司领导批准在规定时间和规定金额内予以赊销。</w:t>
      </w:r>
    </w:p>
    <w:p w14:paraId="2D1ED381"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4</w:t>
      </w:r>
      <w:r w:rsidRPr="005B5EC1">
        <w:rPr>
          <w:rFonts w:ascii="Times New Roman" w:hAnsi="Times New Roman" w:cs="Times New Roman"/>
          <w:sz w:val="18"/>
          <w:szCs w:val="18"/>
        </w:rPr>
        <w:t>）商场超市销售</w:t>
      </w:r>
    </w:p>
    <w:p w14:paraId="12A4D9AD"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商场超市模式下，公司直接与商超签订销售合同。公司根据订单向商超发货，在对方收货并签字确认后，商品的控制权已发生转移，公司确认销售收入，按合同账期定期与商超结算。该销售模式的结算方式为按合同账期定期结算。</w:t>
      </w:r>
    </w:p>
    <w:p w14:paraId="593F8535"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5</w:t>
      </w:r>
      <w:r w:rsidRPr="005B5EC1">
        <w:rPr>
          <w:rFonts w:ascii="Times New Roman" w:hAnsi="Times New Roman" w:cs="Times New Roman"/>
          <w:sz w:val="18"/>
          <w:szCs w:val="18"/>
        </w:rPr>
        <w:t>）食品加工企业</w:t>
      </w:r>
    </w:p>
    <w:p w14:paraId="74E62767" w14:textId="77777777" w:rsidR="00AF139E" w:rsidRPr="005B5EC1" w:rsidRDefault="00000000" w:rsidP="000B1262">
      <w:pPr>
        <w:pStyle w:val="a3"/>
        <w:spacing w:before="0" w:beforeAutospacing="0" w:after="0" w:afterAutospacing="0" w:line="276" w:lineRule="auto"/>
        <w:ind w:firstLine="357"/>
        <w:jc w:val="both"/>
        <w:divId w:val="1520703544"/>
        <w:rPr>
          <w:rFonts w:ascii="Times New Roman" w:hAnsi="Times New Roman" w:cs="Times New Roman"/>
          <w:sz w:val="18"/>
          <w:szCs w:val="18"/>
        </w:rPr>
      </w:pPr>
      <w:r w:rsidRPr="005B5EC1">
        <w:rPr>
          <w:rFonts w:ascii="Times New Roman" w:hAnsi="Times New Roman" w:cs="Times New Roman"/>
          <w:sz w:val="18"/>
          <w:szCs w:val="18"/>
        </w:rPr>
        <w:t>对信誉较好的食品加工企业，根据客户订单发货，在发货并取得对方的收货确认后，商品的控制权已发生转移，确认销售收入，按合同账期收款，结算方式为按合同约定账期结算。对信誉一般的食品加工企业结算方式为现款现货或预收货款结算。</w:t>
      </w:r>
    </w:p>
    <w:p w14:paraId="3C82A2DD" w14:textId="77777777" w:rsidR="00E32FE0" w:rsidRPr="005B5EC1" w:rsidRDefault="00000000" w:rsidP="000B1262">
      <w:pPr>
        <w:pStyle w:val="a3"/>
        <w:spacing w:before="0" w:beforeAutospacing="0" w:after="0" w:afterAutospacing="0" w:line="276" w:lineRule="auto"/>
        <w:ind w:firstLine="357"/>
        <w:jc w:val="both"/>
        <w:rPr>
          <w:rFonts w:ascii="Times New Roman" w:hAnsi="Times New Roman" w:cs="Times New Roman"/>
          <w:sz w:val="18"/>
          <w:szCs w:val="18"/>
        </w:rPr>
      </w:pPr>
      <w:r w:rsidRPr="005B5EC1">
        <w:rPr>
          <w:rFonts w:ascii="Times New Roman" w:hAnsi="Times New Roman" w:cs="Times New Roman"/>
          <w:sz w:val="18"/>
          <w:szCs w:val="18"/>
        </w:rPr>
        <w:t>同类业务采用不同经营模式涉及不同收入确认方式及计量方法的情况</w:t>
      </w:r>
    </w:p>
    <w:p w14:paraId="7AAEC948" w14:textId="77777777" w:rsidR="00AF139E" w:rsidRPr="005B5EC1" w:rsidRDefault="00000000" w:rsidP="000B1262">
      <w:pPr>
        <w:pStyle w:val="a3"/>
        <w:spacing w:before="0" w:beforeAutospacing="0" w:after="0" w:afterAutospacing="0" w:line="276" w:lineRule="auto"/>
        <w:ind w:firstLine="357"/>
        <w:jc w:val="both"/>
        <w:divId w:val="214774767"/>
        <w:rPr>
          <w:rFonts w:ascii="Times New Roman" w:hAnsi="Times New Roman" w:cs="Times New Roman"/>
          <w:sz w:val="18"/>
          <w:szCs w:val="18"/>
        </w:rPr>
      </w:pPr>
      <w:r w:rsidRPr="005B5EC1">
        <w:rPr>
          <w:rFonts w:ascii="Times New Roman" w:hAnsi="Times New Roman" w:cs="Times New Roman"/>
          <w:sz w:val="18"/>
          <w:szCs w:val="18"/>
        </w:rPr>
        <w:t>无</w:t>
      </w:r>
    </w:p>
    <w:p w14:paraId="1E6CB68F" w14:textId="77777777" w:rsidR="00E32FE0" w:rsidRPr="005B5EC1" w:rsidRDefault="00000000">
      <w:pPr>
        <w:pStyle w:val="3"/>
        <w:spacing w:line="280" w:lineRule="exact"/>
        <w:jc w:val="left"/>
        <w:rPr>
          <w:rFonts w:ascii="Times New Roman" w:hAnsi="Times New Roman" w:cs="Times New Roman"/>
          <w:b/>
          <w:bCs/>
        </w:rPr>
      </w:pPr>
      <w:bookmarkStart w:id="221" w:name="_Toc989110"/>
      <w:r w:rsidRPr="005B5EC1">
        <w:rPr>
          <w:rFonts w:ascii="Times New Roman" w:hAnsi="Times New Roman" w:cs="Times New Roman"/>
          <w:b/>
          <w:bCs/>
        </w:rPr>
        <w:lastRenderedPageBreak/>
        <w:t>38</w:t>
      </w:r>
      <w:r w:rsidRPr="005B5EC1">
        <w:rPr>
          <w:rFonts w:ascii="Times New Roman" w:hAnsi="Times New Roman" w:cs="Times New Roman"/>
          <w:b/>
          <w:bCs/>
        </w:rPr>
        <w:t>、合同成本</w:t>
      </w:r>
      <w:bookmarkEnd w:id="221"/>
    </w:p>
    <w:p w14:paraId="4BA458E6" w14:textId="77777777" w:rsidR="00AF139E" w:rsidRPr="005B5EC1" w:rsidRDefault="00000000" w:rsidP="000B1262">
      <w:pPr>
        <w:pStyle w:val="a3"/>
        <w:spacing w:before="0" w:beforeAutospacing="0" w:after="0" w:afterAutospacing="0" w:line="276" w:lineRule="auto"/>
        <w:ind w:firstLine="357"/>
        <w:jc w:val="both"/>
        <w:divId w:val="311522657"/>
        <w:rPr>
          <w:rFonts w:ascii="Times New Roman" w:hAnsi="Times New Roman" w:cs="Times New Roman"/>
          <w:sz w:val="18"/>
          <w:szCs w:val="18"/>
        </w:rPr>
      </w:pPr>
      <w:r w:rsidRPr="005B5EC1">
        <w:rPr>
          <w:rFonts w:ascii="Times New Roman" w:hAnsi="Times New Roman" w:cs="Times New Roman"/>
          <w:sz w:val="18"/>
          <w:szCs w:val="18"/>
        </w:rPr>
        <w:t>本集团为取得合同发生的增量成本预期能够收回的，作为合同取得成本确认为一项资产。但是，如果该资产的摊销期限不超过一年，则在发生时计入当期损益。</w:t>
      </w:r>
    </w:p>
    <w:p w14:paraId="7AF35E4C" w14:textId="77777777" w:rsidR="00AF139E" w:rsidRPr="005B5EC1" w:rsidRDefault="00000000" w:rsidP="000B1262">
      <w:pPr>
        <w:pStyle w:val="a3"/>
        <w:spacing w:before="0" w:beforeAutospacing="0" w:after="0" w:afterAutospacing="0" w:line="276" w:lineRule="auto"/>
        <w:ind w:firstLine="357"/>
        <w:jc w:val="both"/>
        <w:divId w:val="311522657"/>
        <w:rPr>
          <w:rFonts w:ascii="Times New Roman" w:hAnsi="Times New Roman" w:cs="Times New Roman"/>
          <w:sz w:val="18"/>
          <w:szCs w:val="18"/>
        </w:rPr>
      </w:pPr>
      <w:r w:rsidRPr="005B5EC1">
        <w:rPr>
          <w:rFonts w:ascii="Times New Roman" w:hAnsi="Times New Roman" w:cs="Times New Roman"/>
          <w:sz w:val="18"/>
          <w:szCs w:val="18"/>
        </w:rPr>
        <w:t>为履行合同发生的成本不属于《企业会计准则第</w:t>
      </w:r>
      <w:r w:rsidRPr="005B5EC1">
        <w:rPr>
          <w:rFonts w:ascii="Times New Roman" w:hAnsi="Times New Roman" w:cs="Times New Roman"/>
          <w:sz w:val="18"/>
          <w:szCs w:val="18"/>
        </w:rPr>
        <w:t>14</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收入（</w:t>
      </w:r>
      <w:r w:rsidRPr="005B5EC1">
        <w:rPr>
          <w:rFonts w:ascii="Times New Roman" w:hAnsi="Times New Roman" w:cs="Times New Roman"/>
          <w:sz w:val="18"/>
          <w:szCs w:val="18"/>
        </w:rPr>
        <w:t>2017</w:t>
      </w:r>
      <w:r w:rsidRPr="005B5EC1">
        <w:rPr>
          <w:rFonts w:ascii="Times New Roman" w:hAnsi="Times New Roman" w:cs="Times New Roman"/>
          <w:sz w:val="18"/>
          <w:szCs w:val="18"/>
        </w:rPr>
        <w:t>年修订）》之外的其他企业会计准则规范范围且同时满足下列条件的，作为合同履约成本确认为一项资产：</w:t>
      </w:r>
      <w:r w:rsidRPr="005B5EC1">
        <w:rPr>
          <w:rFonts w:ascii="Cambria Math" w:hAnsi="Cambria Math" w:cs="Cambria Math"/>
          <w:sz w:val="18"/>
          <w:szCs w:val="18"/>
        </w:rPr>
        <w:t>①</w:t>
      </w:r>
      <w:r w:rsidRPr="005B5EC1">
        <w:rPr>
          <w:rFonts w:ascii="Times New Roman" w:hAnsi="Times New Roman" w:cs="Times New Roman"/>
          <w:sz w:val="18"/>
          <w:szCs w:val="18"/>
        </w:rPr>
        <w:t>该成本与一份当前或预期取得的合同直接相关，包括直接人工、直接材料、制造费用（或类似费用）、明确由客户承担的成本以及仅因该合同而发生的其他成本；</w:t>
      </w:r>
      <w:r w:rsidRPr="005B5EC1">
        <w:rPr>
          <w:rFonts w:ascii="Cambria Math" w:hAnsi="Cambria Math" w:cs="Cambria Math"/>
          <w:sz w:val="18"/>
          <w:szCs w:val="18"/>
        </w:rPr>
        <w:t>②</w:t>
      </w:r>
      <w:r w:rsidRPr="005B5EC1">
        <w:rPr>
          <w:rFonts w:ascii="Times New Roman" w:hAnsi="Times New Roman" w:cs="Times New Roman"/>
          <w:sz w:val="18"/>
          <w:szCs w:val="18"/>
        </w:rPr>
        <w:t>该成本增加了本集团未来用于履行履约义务的资源；</w:t>
      </w:r>
      <w:r w:rsidRPr="005B5EC1">
        <w:rPr>
          <w:rFonts w:ascii="Cambria Math" w:hAnsi="Cambria Math" w:cs="Cambria Math"/>
          <w:sz w:val="18"/>
          <w:szCs w:val="18"/>
        </w:rPr>
        <w:t>③</w:t>
      </w:r>
      <w:r w:rsidRPr="005B5EC1">
        <w:rPr>
          <w:rFonts w:ascii="Times New Roman" w:hAnsi="Times New Roman" w:cs="Times New Roman"/>
          <w:sz w:val="18"/>
          <w:szCs w:val="18"/>
        </w:rPr>
        <w:t>该成本预期能够收回。</w:t>
      </w:r>
    </w:p>
    <w:p w14:paraId="65757548" w14:textId="77777777" w:rsidR="00AF139E" w:rsidRPr="005B5EC1" w:rsidRDefault="00000000" w:rsidP="000B1262">
      <w:pPr>
        <w:pStyle w:val="a3"/>
        <w:spacing w:before="0" w:beforeAutospacing="0" w:after="0" w:afterAutospacing="0" w:line="276" w:lineRule="auto"/>
        <w:ind w:firstLine="357"/>
        <w:jc w:val="both"/>
        <w:divId w:val="311522657"/>
        <w:rPr>
          <w:rFonts w:ascii="Times New Roman" w:hAnsi="Times New Roman" w:cs="Times New Roman"/>
          <w:sz w:val="18"/>
          <w:szCs w:val="18"/>
        </w:rPr>
      </w:pP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与合同成本有关的资产采用与该资产相关的商品收入确认相同的基础进行摊销，计入当期损益。</w:t>
      </w:r>
    </w:p>
    <w:p w14:paraId="662125BE" w14:textId="77777777" w:rsidR="00E32FE0" w:rsidRPr="005B5EC1" w:rsidRDefault="00000000">
      <w:pPr>
        <w:pStyle w:val="3"/>
        <w:spacing w:line="280" w:lineRule="exact"/>
        <w:jc w:val="left"/>
        <w:rPr>
          <w:rFonts w:ascii="Times New Roman" w:hAnsi="Times New Roman" w:cs="Times New Roman"/>
          <w:b/>
          <w:bCs/>
        </w:rPr>
      </w:pPr>
      <w:bookmarkStart w:id="222" w:name="_Toc989111"/>
      <w:r w:rsidRPr="005B5EC1">
        <w:rPr>
          <w:rFonts w:ascii="Times New Roman" w:hAnsi="Times New Roman" w:cs="Times New Roman"/>
          <w:b/>
          <w:bCs/>
        </w:rPr>
        <w:t>39</w:t>
      </w:r>
      <w:r w:rsidRPr="005B5EC1">
        <w:rPr>
          <w:rFonts w:ascii="Times New Roman" w:hAnsi="Times New Roman" w:cs="Times New Roman"/>
          <w:b/>
          <w:bCs/>
        </w:rPr>
        <w:t>、政府补助</w:t>
      </w:r>
      <w:bookmarkEnd w:id="222"/>
    </w:p>
    <w:p w14:paraId="20B1DB04" w14:textId="77777777" w:rsidR="00AF139E" w:rsidRPr="005B5EC1" w:rsidRDefault="00000000" w:rsidP="000B1262">
      <w:pPr>
        <w:pStyle w:val="a3"/>
        <w:spacing w:before="0" w:beforeAutospacing="0" w:after="0" w:afterAutospacing="0" w:line="276" w:lineRule="auto"/>
        <w:ind w:firstLine="357"/>
        <w:jc w:val="both"/>
        <w:divId w:val="1854878403"/>
        <w:rPr>
          <w:rFonts w:ascii="Times New Roman" w:hAnsi="Times New Roman" w:cs="Times New Roman"/>
          <w:sz w:val="18"/>
          <w:szCs w:val="18"/>
        </w:rPr>
      </w:pPr>
      <w:r w:rsidRPr="005B5EC1">
        <w:rPr>
          <w:rFonts w:ascii="Times New Roman" w:hAnsi="Times New Roman" w:cs="Times New Roman"/>
          <w:sz w:val="18"/>
          <w:szCs w:val="18"/>
        </w:rPr>
        <w:t>政府补助是指本集团从政府无偿取得货币性资产和非货币性资产，不包括政府以投资者身份并享有相应所有者权益而投入的资本。政府补助分为与资产相关的政府补助和与收益相关的政府补助。本集团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sidRPr="005B5EC1">
        <w:rPr>
          <w:rFonts w:ascii="Times New Roman" w:hAnsi="Times New Roman" w:cs="Times New Roman"/>
          <w:sz w:val="18"/>
          <w:szCs w:val="18"/>
        </w:rPr>
        <w:t>1</w:t>
      </w:r>
      <w:r w:rsidRPr="005B5EC1">
        <w:rPr>
          <w:rFonts w:ascii="Times New Roman" w:hAnsi="Times New Roman" w:cs="Times New Roman"/>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sidRPr="005B5EC1">
        <w:rPr>
          <w:rFonts w:ascii="Times New Roman" w:hAnsi="Times New Roman" w:cs="Times New Roman"/>
          <w:sz w:val="18"/>
          <w:szCs w:val="18"/>
        </w:rPr>
        <w:t>2</w:t>
      </w:r>
      <w:r w:rsidRPr="005B5EC1">
        <w:rPr>
          <w:rFonts w:ascii="Times New Roman" w:hAnsi="Times New Roman" w:cs="Times New Roman"/>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14:paraId="622BFEFE" w14:textId="77777777" w:rsidR="00AF139E" w:rsidRPr="005B5EC1" w:rsidRDefault="00000000" w:rsidP="000B1262">
      <w:pPr>
        <w:pStyle w:val="a3"/>
        <w:spacing w:before="0" w:beforeAutospacing="0" w:after="0" w:afterAutospacing="0" w:line="276" w:lineRule="auto"/>
        <w:ind w:firstLine="357"/>
        <w:jc w:val="both"/>
        <w:divId w:val="1854878403"/>
        <w:rPr>
          <w:rFonts w:ascii="Times New Roman" w:hAnsi="Times New Roman" w:cs="Times New Roman"/>
          <w:sz w:val="18"/>
          <w:szCs w:val="18"/>
        </w:rPr>
      </w:pPr>
      <w:r w:rsidRPr="005B5EC1">
        <w:rPr>
          <w:rFonts w:ascii="Times New Roman" w:hAnsi="Times New Roman" w:cs="Times New Roman"/>
          <w:sz w:val="18"/>
          <w:szCs w:val="18"/>
        </w:rPr>
        <w:t>本集团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w:t>
      </w:r>
      <w:r w:rsidRPr="005B5EC1">
        <w:rPr>
          <w:rFonts w:ascii="Times New Roman" w:hAnsi="Times New Roman" w:cs="Times New Roman"/>
          <w:sz w:val="18"/>
          <w:szCs w:val="18"/>
        </w:rPr>
        <w:t>1</w:t>
      </w:r>
      <w:r w:rsidRPr="005B5EC1">
        <w:rPr>
          <w:rFonts w:ascii="Times New Roman" w:hAnsi="Times New Roman" w:cs="Times New Roman"/>
          <w:sz w:val="18"/>
          <w:szCs w:val="18"/>
        </w:rPr>
        <w:t>）应收补助款的金额已经过有权政府部门发文确认，或者可根据正式发布的财政资金管理办法的有关规定自行合理测算，且预计其金额不存在重大不确定性；（</w:t>
      </w:r>
      <w:r w:rsidRPr="005B5EC1">
        <w:rPr>
          <w:rFonts w:ascii="Times New Roman" w:hAnsi="Times New Roman" w:cs="Times New Roman"/>
          <w:sz w:val="18"/>
          <w:szCs w:val="18"/>
        </w:rPr>
        <w:t>2</w:t>
      </w:r>
      <w:r w:rsidRPr="005B5EC1">
        <w:rPr>
          <w:rFonts w:ascii="Times New Roman" w:hAnsi="Times New Roman" w:cs="Times New Roman"/>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sidRPr="005B5EC1">
        <w:rPr>
          <w:rFonts w:ascii="Times New Roman" w:hAnsi="Times New Roman" w:cs="Times New Roman"/>
          <w:sz w:val="18"/>
          <w:szCs w:val="18"/>
        </w:rPr>
        <w:t>3</w:t>
      </w:r>
      <w:r w:rsidRPr="005B5EC1">
        <w:rPr>
          <w:rFonts w:ascii="Times New Roman" w:hAnsi="Times New Roman" w:cs="Times New Roman"/>
          <w:sz w:val="18"/>
          <w:szCs w:val="18"/>
        </w:rPr>
        <w:t>）相关的补助款批文中已明确承诺了拨付期限，且该款项的拨付是有相应财政预算作为保障的，因而可以合理保证其可在规定期限内收到；（</w:t>
      </w:r>
      <w:r w:rsidRPr="005B5EC1">
        <w:rPr>
          <w:rFonts w:ascii="Times New Roman" w:hAnsi="Times New Roman" w:cs="Times New Roman"/>
          <w:sz w:val="18"/>
          <w:szCs w:val="18"/>
        </w:rPr>
        <w:t>4</w:t>
      </w:r>
      <w:r w:rsidRPr="005B5EC1">
        <w:rPr>
          <w:rFonts w:ascii="Times New Roman" w:hAnsi="Times New Roman" w:cs="Times New Roman"/>
          <w:sz w:val="18"/>
          <w:szCs w:val="18"/>
        </w:rPr>
        <w:t>）根据本集团和该补助事项的具体情况，应满足的其他相关条件（如有）。</w:t>
      </w:r>
    </w:p>
    <w:p w14:paraId="4CE24E9C" w14:textId="77777777" w:rsidR="00AF139E" w:rsidRPr="005B5EC1" w:rsidRDefault="00000000" w:rsidP="000B1262">
      <w:pPr>
        <w:pStyle w:val="a3"/>
        <w:spacing w:before="0" w:beforeAutospacing="0" w:after="0" w:afterAutospacing="0" w:line="276" w:lineRule="auto"/>
        <w:ind w:firstLine="357"/>
        <w:jc w:val="both"/>
        <w:divId w:val="1854878403"/>
        <w:rPr>
          <w:rFonts w:ascii="Times New Roman" w:hAnsi="Times New Roman" w:cs="Times New Roman"/>
          <w:sz w:val="18"/>
          <w:szCs w:val="18"/>
        </w:rPr>
      </w:pPr>
      <w:r w:rsidRPr="005B5EC1">
        <w:rPr>
          <w:rFonts w:ascii="Times New Roman" w:hAnsi="Times New Roman" w:cs="Times New Roman"/>
          <w:sz w:val="18"/>
          <w:szCs w:val="18"/>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14:paraId="20EE8593" w14:textId="77777777" w:rsidR="00AF139E" w:rsidRPr="005B5EC1" w:rsidRDefault="00000000" w:rsidP="000B1262">
      <w:pPr>
        <w:pStyle w:val="a3"/>
        <w:spacing w:before="0" w:beforeAutospacing="0" w:after="0" w:afterAutospacing="0" w:line="276" w:lineRule="auto"/>
        <w:ind w:firstLine="357"/>
        <w:jc w:val="both"/>
        <w:divId w:val="1854878403"/>
        <w:rPr>
          <w:rFonts w:ascii="Times New Roman" w:hAnsi="Times New Roman" w:cs="Times New Roman"/>
          <w:sz w:val="18"/>
          <w:szCs w:val="18"/>
        </w:rPr>
      </w:pPr>
      <w:r w:rsidRPr="005B5EC1">
        <w:rPr>
          <w:rFonts w:ascii="Times New Roman" w:hAnsi="Times New Roman" w:cs="Times New Roman"/>
          <w:sz w:val="18"/>
          <w:szCs w:val="18"/>
        </w:rPr>
        <w:t>同时包含与资产相关部分和与收益相关部分的政府补助，区分不同部分分别进行会计处理；难以区分的，将其整体归类为与收益相关的政府补助。</w:t>
      </w:r>
    </w:p>
    <w:p w14:paraId="79871624" w14:textId="77777777" w:rsidR="00AF139E" w:rsidRPr="005B5EC1" w:rsidRDefault="00000000" w:rsidP="000B1262">
      <w:pPr>
        <w:pStyle w:val="a3"/>
        <w:spacing w:before="0" w:beforeAutospacing="0" w:after="0" w:afterAutospacing="0" w:line="276" w:lineRule="auto"/>
        <w:ind w:firstLine="357"/>
        <w:jc w:val="both"/>
        <w:divId w:val="1854878403"/>
        <w:rPr>
          <w:rFonts w:ascii="Times New Roman" w:hAnsi="Times New Roman" w:cs="Times New Roman"/>
          <w:sz w:val="18"/>
          <w:szCs w:val="18"/>
        </w:rPr>
      </w:pPr>
      <w:r w:rsidRPr="005B5EC1">
        <w:rPr>
          <w:rFonts w:ascii="Times New Roman" w:hAnsi="Times New Roman" w:cs="Times New Roman"/>
          <w:sz w:val="18"/>
          <w:szCs w:val="18"/>
        </w:rPr>
        <w:t>与本集团日常活动相关的政府补助，按照经济业务的实质，计入其他收益或冲减相关成本费用；与日常活动无关的政府补助，计入营业外收支。</w:t>
      </w:r>
    </w:p>
    <w:p w14:paraId="4E6956B1" w14:textId="77777777" w:rsidR="00AF139E" w:rsidRPr="005B5EC1" w:rsidRDefault="00000000" w:rsidP="000B1262">
      <w:pPr>
        <w:pStyle w:val="a3"/>
        <w:spacing w:before="0" w:beforeAutospacing="0" w:after="0" w:afterAutospacing="0" w:line="276" w:lineRule="auto"/>
        <w:ind w:firstLine="357"/>
        <w:jc w:val="both"/>
        <w:divId w:val="1854878403"/>
        <w:rPr>
          <w:rFonts w:ascii="Times New Roman" w:hAnsi="Times New Roman" w:cs="Times New Roman"/>
          <w:sz w:val="18"/>
          <w:szCs w:val="18"/>
        </w:rPr>
      </w:pPr>
      <w:r w:rsidRPr="005B5EC1">
        <w:rPr>
          <w:rFonts w:ascii="Times New Roman" w:hAnsi="Times New Roman" w:cs="Times New Roman"/>
          <w:sz w:val="18"/>
          <w:szCs w:val="18"/>
        </w:rPr>
        <w:t>已确认的政府补助需要退回时，存在相关递延收益余额的，冲减相关递延收益账面余额，超出部分计入当期损益；属于其他情况的，直接计入当期损益。</w:t>
      </w:r>
    </w:p>
    <w:p w14:paraId="3A2FA8A1" w14:textId="77777777" w:rsidR="00E32FE0" w:rsidRPr="005B5EC1" w:rsidRDefault="00000000">
      <w:pPr>
        <w:pStyle w:val="3"/>
        <w:spacing w:line="280" w:lineRule="exact"/>
        <w:jc w:val="left"/>
        <w:rPr>
          <w:rFonts w:ascii="Times New Roman" w:hAnsi="Times New Roman" w:cs="Times New Roman"/>
          <w:b/>
          <w:bCs/>
        </w:rPr>
      </w:pPr>
      <w:bookmarkStart w:id="223" w:name="_Toc989112"/>
      <w:r w:rsidRPr="005B5EC1">
        <w:rPr>
          <w:rFonts w:ascii="Times New Roman" w:hAnsi="Times New Roman" w:cs="Times New Roman"/>
          <w:b/>
          <w:bCs/>
        </w:rPr>
        <w:lastRenderedPageBreak/>
        <w:t>40</w:t>
      </w:r>
      <w:r w:rsidRPr="005B5EC1">
        <w:rPr>
          <w:rFonts w:ascii="Times New Roman" w:hAnsi="Times New Roman" w:cs="Times New Roman"/>
          <w:b/>
          <w:bCs/>
        </w:rPr>
        <w:t>、递延所得税资产</w:t>
      </w:r>
      <w:r w:rsidRPr="005B5EC1">
        <w:rPr>
          <w:rFonts w:ascii="Times New Roman" w:hAnsi="Times New Roman" w:cs="Times New Roman"/>
          <w:b/>
          <w:bCs/>
        </w:rPr>
        <w:t>/</w:t>
      </w:r>
      <w:r w:rsidRPr="005B5EC1">
        <w:rPr>
          <w:rFonts w:ascii="Times New Roman" w:hAnsi="Times New Roman" w:cs="Times New Roman"/>
          <w:b/>
          <w:bCs/>
        </w:rPr>
        <w:t>递延所得税负债</w:t>
      </w:r>
      <w:bookmarkEnd w:id="223"/>
    </w:p>
    <w:p w14:paraId="51650AA5"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当期所得税</w:t>
      </w:r>
    </w:p>
    <w:p w14:paraId="2C5633D5"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资产负债表日，对于当期和以前期间形成的当期所得税负债（或资产），以按照税法规定计算的预期应交纳（或返还）的所得税金额计量。计算当期所得税费用所依据的应纳税所得额系根据有关税法规定对本报告期税前会计利润作相应调整后计算得出。</w:t>
      </w:r>
    </w:p>
    <w:p w14:paraId="020F4EB2"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递延所得税资产及递延所得税负债</w:t>
      </w:r>
    </w:p>
    <w:p w14:paraId="204AADC0"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递延所得税资产和递延所得税负债根据资产和负债的计税基础与其账面价值的差额</w:t>
      </w:r>
      <w:r w:rsidRPr="005B5EC1">
        <w:rPr>
          <w:rFonts w:ascii="Times New Roman" w:hAnsi="Times New Roman" w:cs="Times New Roman"/>
          <w:sz w:val="18"/>
          <w:szCs w:val="18"/>
        </w:rPr>
        <w:t>(</w:t>
      </w:r>
      <w:r w:rsidRPr="005B5EC1">
        <w:rPr>
          <w:rFonts w:ascii="Times New Roman" w:hAnsi="Times New Roman" w:cs="Times New Roman"/>
          <w:sz w:val="18"/>
          <w:szCs w:val="18"/>
        </w:rPr>
        <w:t>包括应纳税暂时性差异和可抵扣暂时性差异</w:t>
      </w:r>
      <w:r w:rsidRPr="005B5EC1">
        <w:rPr>
          <w:rFonts w:ascii="Times New Roman" w:hAnsi="Times New Roman" w:cs="Times New Roman"/>
          <w:sz w:val="18"/>
          <w:szCs w:val="18"/>
        </w:rPr>
        <w:t>)</w:t>
      </w:r>
      <w:r w:rsidRPr="005B5EC1">
        <w:rPr>
          <w:rFonts w:ascii="Times New Roman" w:hAnsi="Times New Roman" w:cs="Times New Roman"/>
          <w:sz w:val="18"/>
          <w:szCs w:val="18"/>
        </w:rPr>
        <w:t>计算确认。对于按照税法规定能够于以后年度抵减应纳税所得额的可抵扣亏损，视同可抵扣暂时性差异。对于商誉的初始确认产生的暂时性差异，不确认相应的递延所得税负债。</w:t>
      </w:r>
    </w:p>
    <w:p w14:paraId="6BF8633C"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除单项交易（包括承租人在租赁期开始日初始确认租赁负债并计入使用权资产的租赁交易，以及因固定资产等存在弃置义务而确认预计负债并计入相关资产成本的交易等）之外，对于其他既不影响会计利润也不影响应纳税所得额</w:t>
      </w:r>
      <w:r w:rsidRPr="005B5EC1">
        <w:rPr>
          <w:rFonts w:ascii="Times New Roman" w:hAnsi="Times New Roman" w:cs="Times New Roman"/>
          <w:sz w:val="18"/>
          <w:szCs w:val="18"/>
        </w:rPr>
        <w:t>(</w:t>
      </w:r>
      <w:r w:rsidRPr="005B5EC1">
        <w:rPr>
          <w:rFonts w:ascii="Times New Roman" w:hAnsi="Times New Roman" w:cs="Times New Roman"/>
          <w:sz w:val="18"/>
          <w:szCs w:val="18"/>
        </w:rPr>
        <w:t>或可抵扣亏损</w:t>
      </w:r>
      <w:r w:rsidRPr="005B5EC1">
        <w:rPr>
          <w:rFonts w:ascii="Times New Roman" w:hAnsi="Times New Roman" w:cs="Times New Roman"/>
          <w:sz w:val="18"/>
          <w:szCs w:val="18"/>
        </w:rPr>
        <w:t>)</w:t>
      </w:r>
      <w:r w:rsidRPr="005B5EC1">
        <w:rPr>
          <w:rFonts w:ascii="Times New Roman" w:hAnsi="Times New Roman" w:cs="Times New Roman"/>
          <w:sz w:val="18"/>
          <w:szCs w:val="18"/>
        </w:rPr>
        <w:t>的非企业合并的交易中产生的资产或负债的初始确认形成的暂时性差异，不确认相应的递延所得税资产和递延所得税负债。对于前述单项交易因资产和负债的初始确认所产生的应纳税暂时性差异和可抵扣暂时性差异，在交易发生时分别确认相应的递延所得税负债和递延所得税资产。</w:t>
      </w:r>
    </w:p>
    <w:p w14:paraId="3303E664"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于资产负债表日，递延所得税资产和递延所得税负债，按照预期收回该资产或清偿该负债期间的适用税率计量。递延所得税资产的确认以本公司很可能取得用来抵扣可抵扣暂时性差异、可抵扣亏损和税款抵减的应纳税所得额为限。对子公司、联营企业及合营企业投资相关的暂时性差异产生的递延所得税资产和递延所得税负债，予以确认。但本公司能够控制暂时性差异转回的时间且该暂时性差异在可预见的未来很可能不会转回的，不予确认。</w:t>
      </w:r>
    </w:p>
    <w:p w14:paraId="37AA4BE4"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对于能够结转以后年度的可抵扣亏损和税款抵减，以很可能获得用来抵扣可抵扣亏损和税款抵减的未来应纳税所得额为限，确认相应的递延所得税资产。</w:t>
      </w:r>
    </w:p>
    <w:p w14:paraId="1B2E4132"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14:paraId="5887ED0F"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所得税费用</w:t>
      </w:r>
    </w:p>
    <w:p w14:paraId="719E46BE"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所得税费用包括当期所得税和递延所得税。</w:t>
      </w:r>
    </w:p>
    <w:p w14:paraId="600CCF3F"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14:paraId="66779733"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所得税的抵销</w:t>
      </w:r>
    </w:p>
    <w:p w14:paraId="14F06E46"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当拥有以净额结算的法定权利，且意图以净额结算或取得资产、清偿负债同时进行时，本集团当期所得税资产及当期所得税负债以抵销后的净额列报。</w:t>
      </w:r>
    </w:p>
    <w:p w14:paraId="66C338BC" w14:textId="77777777" w:rsidR="00AF139E" w:rsidRPr="005B5EC1" w:rsidRDefault="00000000" w:rsidP="000B1262">
      <w:pPr>
        <w:pStyle w:val="a3"/>
        <w:spacing w:before="0" w:beforeAutospacing="0" w:after="0" w:afterAutospacing="0" w:line="276" w:lineRule="auto"/>
        <w:ind w:firstLine="357"/>
        <w:jc w:val="both"/>
        <w:divId w:val="14692139"/>
        <w:rPr>
          <w:rFonts w:ascii="Times New Roman" w:hAnsi="Times New Roman" w:cs="Times New Roman"/>
          <w:sz w:val="18"/>
          <w:szCs w:val="18"/>
        </w:rPr>
      </w:pPr>
      <w:r w:rsidRPr="005B5EC1">
        <w:rPr>
          <w:rFonts w:ascii="Times New Roman" w:hAnsi="Times New Roman" w:cs="Times New Roman"/>
          <w:sz w:val="18"/>
          <w:szCs w:val="18"/>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集团递延所得税资产及递延所得税负债以抵销后的净额列报。</w:t>
      </w:r>
    </w:p>
    <w:p w14:paraId="6A64852C" w14:textId="77777777" w:rsidR="00E32FE0" w:rsidRPr="005B5EC1" w:rsidRDefault="00000000">
      <w:pPr>
        <w:pStyle w:val="3"/>
        <w:spacing w:line="280" w:lineRule="exact"/>
        <w:jc w:val="left"/>
        <w:rPr>
          <w:rFonts w:ascii="Times New Roman" w:hAnsi="Times New Roman" w:cs="Times New Roman"/>
          <w:b/>
          <w:bCs/>
        </w:rPr>
      </w:pPr>
      <w:bookmarkStart w:id="224" w:name="_Toc989113"/>
      <w:r w:rsidRPr="005B5EC1">
        <w:rPr>
          <w:rFonts w:ascii="Times New Roman" w:hAnsi="Times New Roman" w:cs="Times New Roman"/>
          <w:b/>
          <w:bCs/>
        </w:rPr>
        <w:t>41</w:t>
      </w:r>
      <w:r w:rsidRPr="005B5EC1">
        <w:rPr>
          <w:rFonts w:ascii="Times New Roman" w:hAnsi="Times New Roman" w:cs="Times New Roman"/>
          <w:b/>
          <w:bCs/>
        </w:rPr>
        <w:t>、租赁</w:t>
      </w:r>
      <w:bookmarkEnd w:id="224"/>
    </w:p>
    <w:p w14:paraId="2D55D302" w14:textId="77777777" w:rsidR="00E32FE0" w:rsidRPr="005B5EC1" w:rsidRDefault="00000000" w:rsidP="00E07E74">
      <w:pPr>
        <w:pStyle w:val="a3"/>
        <w:spacing w:before="0" w:beforeAutospacing="0" w:after="0" w:afterAutospacing="0" w:line="276" w:lineRule="auto"/>
        <w:ind w:firstLine="357"/>
        <w:jc w:val="both"/>
        <w:rPr>
          <w:rFonts w:ascii="Times New Roman" w:hAnsi="Times New Roman" w:cs="Times New Roman"/>
          <w:sz w:val="18"/>
          <w:szCs w:val="18"/>
        </w:rPr>
      </w:pPr>
      <w:bookmarkStart w:id="225" w:name="_Toc989114"/>
      <w:r w:rsidRPr="005B5EC1">
        <w:rPr>
          <w:rFonts w:ascii="Times New Roman" w:hAnsi="Times New Roman" w:cs="Times New Roman"/>
          <w:sz w:val="18"/>
          <w:szCs w:val="18"/>
        </w:rPr>
        <w:t>（</w:t>
      </w:r>
      <w:r w:rsidRPr="005B5EC1">
        <w:rPr>
          <w:rFonts w:ascii="Times New Roman" w:hAnsi="Times New Roman" w:cs="Times New Roman"/>
          <w:sz w:val="18"/>
          <w:szCs w:val="18"/>
        </w:rPr>
        <w:t>1</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作为承租方租赁的会计处理方法</w:t>
      </w:r>
      <w:bookmarkEnd w:id="225"/>
    </w:p>
    <w:p w14:paraId="508CCE64"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初始确认</w:t>
      </w:r>
    </w:p>
    <w:p w14:paraId="44D6A3ED"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lastRenderedPageBreak/>
        <w:t>在本公司作为承租人对租赁确认使用权资产和租赁负债。</w:t>
      </w:r>
    </w:p>
    <w:p w14:paraId="795B8D84"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租赁变更</w:t>
      </w:r>
    </w:p>
    <w:p w14:paraId="4850F9AA"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租赁变更，是指原合同条款之外的租赁范围、租赁对价、租赁期限的变更，包括增加或终止一项或多项租赁资产的使用权，延长或缩短合同规定的租赁期等。租赁变更生效日，是指双方就租赁变更达成一致的日期。</w:t>
      </w:r>
    </w:p>
    <w:p w14:paraId="6586BA35"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租赁发生变更且同时符合下列条件的，本公司将该租赁变更作为一项单独租赁进行会计处理：</w:t>
      </w:r>
    </w:p>
    <w:p w14:paraId="7CA28015"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）该租赁变更通过增加一项或多项租赁资产的使用权而扩大了租赁范围；</w:t>
      </w:r>
    </w:p>
    <w:p w14:paraId="01189700"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）增加的对价与租赁范围扩大部分的单独价格按该合同情况调整后的金额相当。</w:t>
      </w:r>
    </w:p>
    <w:p w14:paraId="276587BC"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租赁变更未作为一项单独租赁进行会计处理的，在租赁变更生效日，本公司按照租赁准则有关租赁分拆的规定对变更后合同的对价进行分摊，重新确定变更后的租赁期；并采用修订后的折现率对变更后的租赁付款额进行折现，以重新计量租赁负债。在计算变更后租赁付款额的现值时，本公司采用剩余租赁期间的租赁内含利率作为折现率；无法确定剩余租赁期间的租赁内含利率的，本公司采用租赁变更生效日的承租人增量借款利率作为折现率。就上述租赁负债调整的影响，本公司区分以下情形进行会计处理：</w:t>
      </w:r>
    </w:p>
    <w:p w14:paraId="7D14FBA1"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）租赁变更导致租赁范围缩小或租赁期缩短的，承租人应当调减使用权资产的账面价值，并将部分终止或完全终止租赁的相关利得或损失计入当期损益。</w:t>
      </w:r>
    </w:p>
    <w:p w14:paraId="29064E02"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）其他租赁变更导致租赁负债重新计量的，承租人相应调整使用权资产的账面价值。</w:t>
      </w:r>
    </w:p>
    <w:p w14:paraId="71EB5DFE"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短期租赁和低价值资产租赁</w:t>
      </w:r>
    </w:p>
    <w:p w14:paraId="6D81CD1C"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对于租赁期不超过</w:t>
      </w:r>
      <w:r w:rsidRPr="005B5EC1">
        <w:rPr>
          <w:rFonts w:ascii="Times New Roman" w:hAnsi="Times New Roman" w:cs="Times New Roman"/>
          <w:sz w:val="18"/>
          <w:szCs w:val="18"/>
        </w:rPr>
        <w:t>12</w:t>
      </w:r>
      <w:r w:rsidRPr="005B5EC1">
        <w:rPr>
          <w:rFonts w:ascii="Times New Roman" w:hAnsi="Times New Roman" w:cs="Times New Roman"/>
          <w:sz w:val="18"/>
          <w:szCs w:val="18"/>
        </w:rPr>
        <w:t>个月的短期租赁和单项租赁资产为全新资产时价值较低的低价值资产租赁，本公司选择不确认使用权资产和租赁负债。本公司将短期租赁和低价值资产租赁的租赁付款额，在租赁期内各个期间按照直线法或其他系统合理的方法计入相关资产成本或当期损益。</w:t>
      </w:r>
    </w:p>
    <w:p w14:paraId="27A6A47C"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使用权资产</w:t>
      </w:r>
    </w:p>
    <w:p w14:paraId="3F00DF85"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使用权资产，是指本公司作为承租人可在租赁期内使用租赁资产的权利。</w:t>
      </w:r>
    </w:p>
    <w:p w14:paraId="1F8BCD2E"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在租赁期开始日，本公司按照成本对使用权资产进行初始计量。该成本包括下列四项：</w:t>
      </w:r>
    </w:p>
    <w:p w14:paraId="514B2BB6"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）租赁负债的初始计量金额；</w:t>
      </w:r>
    </w:p>
    <w:p w14:paraId="4BD8C254"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）在租赁期开始日或之前支付的租赁付款额，存在租赁激励的，扣除已享受的租赁激励相关金额；</w:t>
      </w:r>
    </w:p>
    <w:p w14:paraId="55A3E8DB"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）承租人发生的初始直接费用；</w:t>
      </w:r>
    </w:p>
    <w:p w14:paraId="0C28F952"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4</w:t>
      </w:r>
      <w:r w:rsidRPr="005B5EC1">
        <w:rPr>
          <w:rFonts w:ascii="Times New Roman" w:hAnsi="Times New Roman" w:cs="Times New Roman"/>
          <w:sz w:val="18"/>
          <w:szCs w:val="18"/>
        </w:rPr>
        <w:t>）承租人为拆卸及移除租赁资产、复原租赁资产所在场地或将租赁资产恢复至租赁条款约定状态预计将发生的成本，属于为生产存货而发生的除外。</w:t>
      </w:r>
    </w:p>
    <w:p w14:paraId="1AF17783"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在租赁期开始日后，本公司采用成本模式对使用权资产进行后续计量，即以成本减累计折旧及累计减值损失计量使用权资产。</w:t>
      </w:r>
    </w:p>
    <w:p w14:paraId="3C82A353"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本公司按照租赁准则有关规定重新计量租赁负债的，相应调整使用权资产的账面价值。</w:t>
      </w:r>
    </w:p>
    <w:p w14:paraId="7AC06C9C"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自租赁期开始日起，本公司对使用权资产计提折旧。使用权资产通常自租赁期开始的当月计提折旧。计提的折旧金额根据使用权资产的用途，计入相关资产的成本或者当期损益。</w:t>
      </w:r>
    </w:p>
    <w:p w14:paraId="4313851F"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本公司在确定使用权资产的折旧方法时，根据与使用权资产有关的经济利益的预期实现方式做出决定，以直线法对使用权资产计提折旧。</w:t>
      </w:r>
    </w:p>
    <w:p w14:paraId="5EE6D831"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本公司在确定使用权资产的折旧年限时，遵循以下原则：能够合理确定租赁期届满时取得租赁资产所有权的，在租赁资产剩余使用寿命内计提折旧；无法合理确定租赁期届满时能够取得租赁资产所有权的，在租赁期与租赁资产剩余使用寿命两者孰短的期间内计提折旧。</w:t>
      </w:r>
    </w:p>
    <w:p w14:paraId="5900B926"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如果使用权资产发生减值，本公司按照扣除减值损失之后的使用权资产的账面价值，进行后续折旧。</w:t>
      </w:r>
    </w:p>
    <w:p w14:paraId="0BCBCF7C"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租赁负债</w:t>
      </w:r>
    </w:p>
    <w:p w14:paraId="24E37202"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lastRenderedPageBreak/>
        <w:t>本公司按照租赁期开始日尚未支付的租赁付款额的现值对租赁负债进行初始计量。</w:t>
      </w:r>
    </w:p>
    <w:p w14:paraId="449985C7"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租赁付款额，是指本公司向出租人支付的与在租赁期内使用租赁资产的权利相关的款项，包括：</w:t>
      </w:r>
    </w:p>
    <w:p w14:paraId="50ADEEF8"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）固定付款额及实质固定付款额，存在租赁激励的，扣除租赁激励相关金额；</w:t>
      </w:r>
    </w:p>
    <w:p w14:paraId="3BB58B77"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）取决于指数或比率的可变租赁付款额，该款额在初始计量时根据租赁期开始日的指数或比率确定；</w:t>
      </w:r>
    </w:p>
    <w:p w14:paraId="3EB4393C"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）本公司合理确定将行使购买选择权时，购买选择权的行权价格；</w:t>
      </w:r>
    </w:p>
    <w:p w14:paraId="230486F2"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4</w:t>
      </w:r>
      <w:r w:rsidRPr="005B5EC1">
        <w:rPr>
          <w:rFonts w:ascii="Times New Roman" w:hAnsi="Times New Roman" w:cs="Times New Roman"/>
          <w:sz w:val="18"/>
          <w:szCs w:val="18"/>
        </w:rPr>
        <w:t>）租赁期反映出本公司将行使终止租赁选择权时，行使终止租赁选择权需支付的款项；</w:t>
      </w:r>
    </w:p>
    <w:p w14:paraId="7FB9A4B6"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5</w:t>
      </w:r>
      <w:r w:rsidRPr="005B5EC1">
        <w:rPr>
          <w:rFonts w:ascii="Times New Roman" w:hAnsi="Times New Roman" w:cs="Times New Roman"/>
          <w:sz w:val="18"/>
          <w:szCs w:val="18"/>
        </w:rPr>
        <w:t>）根据本公司提供的担保余值预计应支付的款项。</w:t>
      </w:r>
    </w:p>
    <w:p w14:paraId="0FF0E02B"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在计算租赁付款额的现值时，本公司采用租赁内含利率作为折现率，该利率是指使出租人的租赁收款额的现值与未担保余值的现值之和等于租赁资产公允价值与出租人的初始直接费用之和的利率。本公司因无法确定租赁内含利率的，采用增量借款利率作为折现率。该增量借款利率，是指本公司在类似经济环境下为获得与使用权资产价值接近的资产，在类似期间以类似抵押条件借入资金须支付的利率。该利率与下列事项相关：</w:t>
      </w:r>
    </w:p>
    <w:p w14:paraId="26D48373"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）本公司自身情况，即集团的偿债能力和信用状况；</w:t>
      </w:r>
    </w:p>
    <w:p w14:paraId="41C3A499"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借款</w:t>
      </w:r>
      <w:r w:rsidRPr="005B5EC1">
        <w:rPr>
          <w:rFonts w:ascii="Times New Roman" w:hAnsi="Times New Roman" w:cs="Times New Roman"/>
          <w:sz w:val="18"/>
          <w:szCs w:val="18"/>
        </w:rPr>
        <w:t>”</w:t>
      </w:r>
      <w:r w:rsidRPr="005B5EC1">
        <w:rPr>
          <w:rFonts w:ascii="Times New Roman" w:hAnsi="Times New Roman" w:cs="Times New Roman"/>
          <w:sz w:val="18"/>
          <w:szCs w:val="18"/>
        </w:rPr>
        <w:t>的期限，即租赁期；</w:t>
      </w:r>
    </w:p>
    <w:p w14:paraId="098E68E9"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借入</w:t>
      </w:r>
      <w:r w:rsidRPr="005B5EC1">
        <w:rPr>
          <w:rFonts w:ascii="Times New Roman" w:hAnsi="Times New Roman" w:cs="Times New Roman"/>
          <w:sz w:val="18"/>
          <w:szCs w:val="18"/>
        </w:rPr>
        <w:t>”</w:t>
      </w:r>
      <w:r w:rsidRPr="005B5EC1">
        <w:rPr>
          <w:rFonts w:ascii="Times New Roman" w:hAnsi="Times New Roman" w:cs="Times New Roman"/>
          <w:sz w:val="18"/>
          <w:szCs w:val="18"/>
        </w:rPr>
        <w:t>资金的金额，即租赁负债的金额；</w:t>
      </w:r>
    </w:p>
    <w:p w14:paraId="375B78A1"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4</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抵押条件</w:t>
      </w:r>
      <w:r w:rsidRPr="005B5EC1">
        <w:rPr>
          <w:rFonts w:ascii="Times New Roman" w:hAnsi="Times New Roman" w:cs="Times New Roman"/>
          <w:sz w:val="18"/>
          <w:szCs w:val="18"/>
        </w:rPr>
        <w:t>”</w:t>
      </w:r>
      <w:r w:rsidRPr="005B5EC1">
        <w:rPr>
          <w:rFonts w:ascii="Times New Roman" w:hAnsi="Times New Roman" w:cs="Times New Roman"/>
          <w:sz w:val="18"/>
          <w:szCs w:val="18"/>
        </w:rPr>
        <w:t>，即标的资产的性质和质量；</w:t>
      </w:r>
    </w:p>
    <w:p w14:paraId="4B2F84FD"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5</w:t>
      </w:r>
      <w:r w:rsidRPr="005B5EC1">
        <w:rPr>
          <w:rFonts w:ascii="Times New Roman" w:hAnsi="Times New Roman" w:cs="Times New Roman"/>
          <w:sz w:val="18"/>
          <w:szCs w:val="18"/>
        </w:rPr>
        <w:t>）经济环境，包括承租人所处的司法管辖区、计价货币、合同签订时间等。</w:t>
      </w:r>
    </w:p>
    <w:p w14:paraId="790DC934"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本公司以银行贷款利率为基础，考虑上述因素进行调整而得出该增量借款利率。</w:t>
      </w:r>
    </w:p>
    <w:p w14:paraId="20ECD44B"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在租赁期开始日后，本公司按以下原则对租赁负债进行后续计量：</w:t>
      </w:r>
    </w:p>
    <w:p w14:paraId="3898F339"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）确认租赁负债的利息时，增加租赁负债的账面金额；</w:t>
      </w:r>
    </w:p>
    <w:p w14:paraId="5EB7B177"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）支付租赁付款额时，减少租赁负债的账面金额；</w:t>
      </w:r>
    </w:p>
    <w:p w14:paraId="48200150"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）因重估或租赁变更等原因导致租赁付款额发生变动时，重新计量租赁负债的账面价值。</w:t>
      </w:r>
    </w:p>
    <w:p w14:paraId="0EDF4729"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按照固定的周期性利率计算租赁负债在租赁期内各期间的利息费用，并计入当期损益，但应当资本化的除外。周期性利率是指本公司对租赁负债进行初始计量时所采用的折现率，或者因租赁付款额发生变动或因租赁变更而需按照修订后的折现率对租赁负债进行重新计量时，本公司所采用的修订后的折现率。</w:t>
      </w:r>
    </w:p>
    <w:p w14:paraId="26B9B55B"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在租赁期开始日后，发生下列情形时，本公司按照变动后租赁付款额和修订后的折现率计算的现值重新计量租赁负债，并相应调整使用权资产的账面价值。使用权资产的账面价值已调减至零，但租赁负债仍需进一步调减的，本公司将剩余金额计入当期损益。</w:t>
      </w:r>
    </w:p>
    <w:p w14:paraId="3D6F2625"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1</w:t>
      </w:r>
      <w:r w:rsidRPr="005B5EC1">
        <w:rPr>
          <w:rFonts w:ascii="Times New Roman" w:hAnsi="Times New Roman" w:cs="Times New Roman"/>
          <w:sz w:val="18"/>
          <w:szCs w:val="18"/>
        </w:rPr>
        <w:t>）实质固定付款额发生变动；</w:t>
      </w:r>
    </w:p>
    <w:p w14:paraId="6C173B38"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2</w:t>
      </w:r>
      <w:r w:rsidRPr="005B5EC1">
        <w:rPr>
          <w:rFonts w:ascii="Times New Roman" w:hAnsi="Times New Roman" w:cs="Times New Roman"/>
          <w:sz w:val="18"/>
          <w:szCs w:val="18"/>
        </w:rPr>
        <w:t>）担保余值预计的应付金额发生变动；</w:t>
      </w:r>
    </w:p>
    <w:p w14:paraId="5247D51E"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3</w:t>
      </w:r>
      <w:r w:rsidRPr="005B5EC1">
        <w:rPr>
          <w:rFonts w:ascii="Times New Roman" w:hAnsi="Times New Roman" w:cs="Times New Roman"/>
          <w:sz w:val="18"/>
          <w:szCs w:val="18"/>
        </w:rPr>
        <w:t>）用于确定租赁付款额的指数或比率发生变动；</w:t>
      </w:r>
    </w:p>
    <w:p w14:paraId="28C7D0D1"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4</w:t>
      </w:r>
      <w:r w:rsidRPr="005B5EC1">
        <w:rPr>
          <w:rFonts w:ascii="Times New Roman" w:hAnsi="Times New Roman" w:cs="Times New Roman"/>
          <w:sz w:val="18"/>
          <w:szCs w:val="18"/>
        </w:rPr>
        <w:t>）购买选择权的评估结果发生变化；</w:t>
      </w:r>
    </w:p>
    <w:p w14:paraId="14A2B181" w14:textId="77777777" w:rsidR="00AF139E" w:rsidRPr="005B5EC1" w:rsidRDefault="00000000" w:rsidP="00E07E74">
      <w:pPr>
        <w:pStyle w:val="a3"/>
        <w:spacing w:before="0" w:beforeAutospacing="0" w:after="0" w:afterAutospacing="0" w:line="276" w:lineRule="auto"/>
        <w:ind w:firstLine="357"/>
        <w:jc w:val="both"/>
        <w:divId w:val="968827532"/>
        <w:rPr>
          <w:rFonts w:ascii="Times New Roman" w:hAnsi="Times New Roman" w:cs="Times New Roman"/>
          <w:sz w:val="18"/>
          <w:szCs w:val="18"/>
        </w:rPr>
      </w:pPr>
      <w:r w:rsidRPr="005B5EC1">
        <w:rPr>
          <w:rFonts w:ascii="Times New Roman" w:hAnsi="Times New Roman" w:cs="Times New Roman"/>
          <w:sz w:val="18"/>
          <w:szCs w:val="18"/>
        </w:rPr>
        <w:t>5</w:t>
      </w:r>
      <w:r w:rsidRPr="005B5EC1">
        <w:rPr>
          <w:rFonts w:ascii="Times New Roman" w:hAnsi="Times New Roman" w:cs="Times New Roman"/>
          <w:sz w:val="18"/>
          <w:szCs w:val="18"/>
        </w:rPr>
        <w:t>）续租选择权或终止租赁选择权的评估结果或实际行使情况发生变化。</w:t>
      </w:r>
    </w:p>
    <w:p w14:paraId="40805198" w14:textId="77777777" w:rsidR="00E32FE0" w:rsidRPr="005B5EC1" w:rsidRDefault="00000000" w:rsidP="00E07E74">
      <w:pPr>
        <w:pStyle w:val="a3"/>
        <w:spacing w:before="0" w:beforeAutospacing="0" w:after="0" w:afterAutospacing="0" w:line="276" w:lineRule="auto"/>
        <w:ind w:firstLine="357"/>
        <w:jc w:val="both"/>
        <w:rPr>
          <w:rFonts w:ascii="Times New Roman" w:hAnsi="Times New Roman" w:cs="Times New Roman"/>
          <w:sz w:val="18"/>
          <w:szCs w:val="18"/>
        </w:rPr>
      </w:pPr>
      <w:bookmarkStart w:id="226" w:name="_Toc989115"/>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作为出租方租赁的会计处理方法</w:t>
      </w:r>
      <w:bookmarkEnd w:id="226"/>
    </w:p>
    <w:p w14:paraId="15C702BF"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在租赁开始日，本公司将租赁分为融资租赁和经营租赁。</w:t>
      </w:r>
    </w:p>
    <w:p w14:paraId="0EC11AA7"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如果一项租赁实质上转移了与租赁资产所有权有关的几乎全部风险和报酬，出租人将该项租赁分类为融资租赁，除融资租赁以外的其他租赁分类为经营租赁。</w:t>
      </w:r>
    </w:p>
    <w:p w14:paraId="2128342A"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经营租赁的会计处理</w:t>
      </w:r>
    </w:p>
    <w:p w14:paraId="1E65EB47"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在租赁期内各个期间，本公司采用直线法或其他系统合理的方法将经营租赁的租赁收款额确认为租金收入。</w:t>
      </w:r>
    </w:p>
    <w:p w14:paraId="46FFC93A"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lastRenderedPageBreak/>
        <w:t>提供免租期的，本公司将租金总额在不扣除免租期的整个租赁期内，按直线法进行分配，免租期内应当确认租金收入。本公司承担了承租人某些费用的，将该费用自租金收入总额中扣除，按扣除后的租金收入余额在租赁期内进行分配。</w:t>
      </w:r>
    </w:p>
    <w:p w14:paraId="5DD78604"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本公司发生的与经营租赁有关的初始直接费用应当资本化至租赁标的资产的成本，在租赁期内按照与租金收入相同的确认基础分期计入当期损益。</w:t>
      </w:r>
    </w:p>
    <w:p w14:paraId="303D4064"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对于经营租赁资产中的固定资产，本公司采用类似资产的折旧政策计提折旧；对于其他经营租赁资产，采用系统合理的方法进行摊销。</w:t>
      </w:r>
    </w:p>
    <w:p w14:paraId="38DBF640"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本公司取得的与经营租赁有关的未计入租赁收款额的可变租赁付款额，在实际发生时计入当期损益。经营租赁发生变更的，本公司自变更生效日开始，将其作为一项新的租赁进行会计处理，与变更前租赁有关的预收或应收租赁收款额视为新租赁的收款额。</w:t>
      </w:r>
    </w:p>
    <w:p w14:paraId="6982B862"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融资租赁会计处理</w:t>
      </w:r>
    </w:p>
    <w:p w14:paraId="56E87E36"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14:paraId="303ECC10"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本公司按照固定的周期性利率计算并确认租赁期内各个期间的利息收入。本公司取得的未纳入租赁投资净额计量的可变租赁付款额在实际发生时计入当期损益。</w:t>
      </w:r>
    </w:p>
    <w:p w14:paraId="7427519C"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转租赁</w:t>
      </w:r>
    </w:p>
    <w:p w14:paraId="2372B8AC"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本公司作为转租出租人，将原租赁及转租赁合同作为两个合同单独核算。本公司基于原租赁产生的使用权资产，而不是租赁资产，对转租赁进行分类。</w:t>
      </w:r>
    </w:p>
    <w:p w14:paraId="032360A6"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售后租回</w:t>
      </w:r>
    </w:p>
    <w:p w14:paraId="7F3F82B0"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本公司按照</w:t>
      </w:r>
      <w:r w:rsidRPr="005B5EC1">
        <w:rPr>
          <w:rFonts w:ascii="Times New Roman" w:hAnsi="Times New Roman" w:cs="Times New Roman"/>
          <w:sz w:val="18"/>
          <w:szCs w:val="18"/>
        </w:rPr>
        <w:t>“</w:t>
      </w:r>
      <w:r w:rsidRPr="005B5EC1">
        <w:rPr>
          <w:rFonts w:ascii="Times New Roman" w:hAnsi="Times New Roman" w:cs="Times New Roman"/>
          <w:sz w:val="18"/>
          <w:szCs w:val="18"/>
        </w:rPr>
        <w:t>收入</w:t>
      </w:r>
      <w:r w:rsidRPr="005B5EC1">
        <w:rPr>
          <w:rFonts w:ascii="Times New Roman" w:hAnsi="Times New Roman" w:cs="Times New Roman"/>
          <w:sz w:val="18"/>
          <w:szCs w:val="18"/>
        </w:rPr>
        <w:t>”</w:t>
      </w:r>
      <w:r w:rsidRPr="005B5EC1">
        <w:rPr>
          <w:rFonts w:ascii="Times New Roman" w:hAnsi="Times New Roman" w:cs="Times New Roman"/>
          <w:sz w:val="18"/>
          <w:szCs w:val="18"/>
        </w:rPr>
        <w:t>附注所述原则评估确定售后租回交易中的资产转让是否属于销售。</w:t>
      </w:r>
    </w:p>
    <w:p w14:paraId="42859798"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售后租回交易中的资产转让属于销售的，本公司作为承租人按原资产账面价值中与租回获得的使用权有关的部分，计量售后租回所形成的使用权资产，并仅就转让至出租人的权利确认相关利得或损失；售后租回交易中的资产转让不属于销售的，本公司作为承租人继续确认被转让资产，同时确认一项与转让收入等额的金融负债。金融负债的会计处理详见</w:t>
      </w:r>
      <w:r w:rsidRPr="005B5EC1">
        <w:rPr>
          <w:rFonts w:ascii="Times New Roman" w:hAnsi="Times New Roman" w:cs="Times New Roman"/>
          <w:sz w:val="18"/>
          <w:szCs w:val="18"/>
        </w:rPr>
        <w:t>“</w:t>
      </w:r>
      <w:r w:rsidRPr="005B5EC1">
        <w:rPr>
          <w:rFonts w:ascii="Times New Roman" w:hAnsi="Times New Roman" w:cs="Times New Roman"/>
          <w:sz w:val="18"/>
          <w:szCs w:val="18"/>
        </w:rPr>
        <w:t>附注五、</w:t>
      </w:r>
      <w:r w:rsidRPr="005B5EC1">
        <w:rPr>
          <w:rFonts w:ascii="Times New Roman" w:hAnsi="Times New Roman" w:cs="Times New Roman"/>
          <w:sz w:val="18"/>
          <w:szCs w:val="18"/>
        </w:rPr>
        <w:t>11</w:t>
      </w:r>
      <w:r w:rsidRPr="005B5EC1">
        <w:rPr>
          <w:rFonts w:ascii="Times New Roman" w:hAnsi="Times New Roman" w:cs="Times New Roman"/>
          <w:sz w:val="18"/>
          <w:szCs w:val="18"/>
        </w:rPr>
        <w:t>金融工具</w:t>
      </w:r>
      <w:r w:rsidRPr="005B5EC1">
        <w:rPr>
          <w:rFonts w:ascii="Times New Roman" w:hAnsi="Times New Roman" w:cs="Times New Roman"/>
          <w:sz w:val="18"/>
          <w:szCs w:val="18"/>
        </w:rPr>
        <w:t>”</w:t>
      </w:r>
      <w:r w:rsidRPr="005B5EC1">
        <w:rPr>
          <w:rFonts w:ascii="Times New Roman" w:hAnsi="Times New Roman" w:cs="Times New Roman"/>
          <w:sz w:val="18"/>
          <w:szCs w:val="18"/>
        </w:rPr>
        <w:t>。</w:t>
      </w:r>
    </w:p>
    <w:p w14:paraId="1A158427" w14:textId="77777777" w:rsidR="00AF139E" w:rsidRPr="005B5EC1" w:rsidRDefault="00000000" w:rsidP="00E07E74">
      <w:pPr>
        <w:pStyle w:val="a3"/>
        <w:spacing w:before="0" w:beforeAutospacing="0" w:after="0" w:afterAutospacing="0" w:line="276" w:lineRule="auto"/>
        <w:ind w:firstLine="357"/>
        <w:jc w:val="both"/>
        <w:divId w:val="671956096"/>
        <w:rPr>
          <w:rFonts w:ascii="Times New Roman" w:hAnsi="Times New Roman" w:cs="Times New Roman"/>
          <w:sz w:val="18"/>
          <w:szCs w:val="18"/>
        </w:rPr>
      </w:pPr>
      <w:r w:rsidRPr="005B5EC1">
        <w:rPr>
          <w:rFonts w:ascii="Times New Roman" w:hAnsi="Times New Roman" w:cs="Times New Roman"/>
          <w:sz w:val="18"/>
          <w:szCs w:val="18"/>
        </w:rPr>
        <w:t>售后租回交易中的资产转让属于销售的，本公司作为出租人对资产购买进行会计处理，并根据前述</w:t>
      </w:r>
      <w:r w:rsidRPr="005B5EC1">
        <w:rPr>
          <w:rFonts w:ascii="Times New Roman" w:hAnsi="Times New Roman" w:cs="Times New Roman"/>
          <w:sz w:val="18"/>
          <w:szCs w:val="18"/>
        </w:rPr>
        <w:t>“</w:t>
      </w:r>
      <w:r w:rsidRPr="005B5EC1">
        <w:rPr>
          <w:rFonts w:ascii="Times New Roman" w:hAnsi="Times New Roman" w:cs="Times New Roman"/>
          <w:sz w:val="18"/>
          <w:szCs w:val="18"/>
        </w:rPr>
        <w:t>本公司作为出租人</w:t>
      </w:r>
      <w:r w:rsidRPr="005B5EC1">
        <w:rPr>
          <w:rFonts w:ascii="Times New Roman" w:hAnsi="Times New Roman" w:cs="Times New Roman"/>
          <w:sz w:val="18"/>
          <w:szCs w:val="18"/>
        </w:rPr>
        <w:t>”</w:t>
      </w:r>
      <w:r w:rsidRPr="005B5EC1">
        <w:rPr>
          <w:rFonts w:ascii="Times New Roman" w:hAnsi="Times New Roman" w:cs="Times New Roman"/>
          <w:sz w:val="18"/>
          <w:szCs w:val="18"/>
        </w:rPr>
        <w:t>的政策对资产出租进行会计处理；售后租回交易中的资产转让不属于销售的，本公司作为出租人不确认被转让资产，但确认一项与转让收入等额的金融资产。金融资产的会计处理详见</w:t>
      </w:r>
      <w:r w:rsidRPr="005B5EC1">
        <w:rPr>
          <w:rFonts w:ascii="Times New Roman" w:hAnsi="Times New Roman" w:cs="Times New Roman"/>
          <w:sz w:val="18"/>
          <w:szCs w:val="18"/>
        </w:rPr>
        <w:t>“</w:t>
      </w:r>
      <w:r w:rsidRPr="005B5EC1">
        <w:rPr>
          <w:rFonts w:ascii="Times New Roman" w:hAnsi="Times New Roman" w:cs="Times New Roman"/>
          <w:sz w:val="18"/>
          <w:szCs w:val="18"/>
        </w:rPr>
        <w:t>附注五、</w:t>
      </w:r>
      <w:r w:rsidRPr="005B5EC1">
        <w:rPr>
          <w:rFonts w:ascii="Times New Roman" w:hAnsi="Times New Roman" w:cs="Times New Roman"/>
          <w:sz w:val="18"/>
          <w:szCs w:val="18"/>
        </w:rPr>
        <w:t>11</w:t>
      </w:r>
      <w:r w:rsidRPr="005B5EC1">
        <w:rPr>
          <w:rFonts w:ascii="Times New Roman" w:hAnsi="Times New Roman" w:cs="Times New Roman"/>
          <w:sz w:val="18"/>
          <w:szCs w:val="18"/>
        </w:rPr>
        <w:t>金融工具</w:t>
      </w:r>
      <w:r w:rsidRPr="005B5EC1">
        <w:rPr>
          <w:rFonts w:ascii="Times New Roman" w:hAnsi="Times New Roman" w:cs="Times New Roman"/>
          <w:sz w:val="18"/>
          <w:szCs w:val="18"/>
        </w:rPr>
        <w:t>”</w:t>
      </w:r>
      <w:r w:rsidRPr="005B5EC1">
        <w:rPr>
          <w:rFonts w:ascii="Times New Roman" w:hAnsi="Times New Roman" w:cs="Times New Roman"/>
          <w:sz w:val="18"/>
          <w:szCs w:val="18"/>
        </w:rPr>
        <w:t>附注。</w:t>
      </w:r>
    </w:p>
    <w:p w14:paraId="467B8F27" w14:textId="77777777" w:rsidR="00E32FE0" w:rsidRPr="005B5EC1" w:rsidRDefault="00000000">
      <w:pPr>
        <w:pStyle w:val="3"/>
        <w:spacing w:line="280" w:lineRule="exact"/>
        <w:jc w:val="left"/>
        <w:rPr>
          <w:rFonts w:ascii="Times New Roman" w:hAnsi="Times New Roman" w:cs="Times New Roman"/>
          <w:b/>
          <w:bCs/>
        </w:rPr>
      </w:pPr>
      <w:bookmarkStart w:id="227" w:name="_Toc989116"/>
      <w:r w:rsidRPr="005B5EC1">
        <w:rPr>
          <w:rFonts w:ascii="Times New Roman" w:hAnsi="Times New Roman" w:cs="Times New Roman"/>
          <w:b/>
          <w:bCs/>
        </w:rPr>
        <w:t>42</w:t>
      </w:r>
      <w:r w:rsidRPr="005B5EC1">
        <w:rPr>
          <w:rFonts w:ascii="Times New Roman" w:hAnsi="Times New Roman" w:cs="Times New Roman"/>
          <w:b/>
          <w:bCs/>
        </w:rPr>
        <w:t>、其他重要的会计政策和会计估计</w:t>
      </w:r>
      <w:bookmarkEnd w:id="227"/>
    </w:p>
    <w:p w14:paraId="0D2FB3D9" w14:textId="77777777" w:rsidR="00AF139E" w:rsidRPr="005B5EC1" w:rsidRDefault="00000000" w:rsidP="00E07E74">
      <w:pPr>
        <w:pStyle w:val="a3"/>
        <w:spacing w:before="0" w:beforeAutospacing="0" w:after="0" w:afterAutospacing="0" w:line="276" w:lineRule="auto"/>
        <w:ind w:firstLine="357"/>
        <w:jc w:val="both"/>
        <w:divId w:val="968437470"/>
        <w:rPr>
          <w:rFonts w:ascii="Times New Roman" w:hAnsi="Times New Roman" w:cs="Times New Roman"/>
          <w:sz w:val="18"/>
          <w:szCs w:val="18"/>
        </w:rPr>
      </w:pPr>
      <w:r w:rsidRPr="005B5EC1">
        <w:rPr>
          <w:rFonts w:ascii="Times New Roman" w:hAnsi="Times New Roman" w:cs="Times New Roman"/>
          <w:sz w:val="18"/>
          <w:szCs w:val="18"/>
        </w:rPr>
        <w:t>终止经营</w:t>
      </w:r>
    </w:p>
    <w:p w14:paraId="7A1335CA" w14:textId="77777777" w:rsidR="00AF139E" w:rsidRPr="005B5EC1" w:rsidRDefault="00000000" w:rsidP="00E07E74">
      <w:pPr>
        <w:pStyle w:val="a3"/>
        <w:spacing w:before="0" w:beforeAutospacing="0" w:after="0" w:afterAutospacing="0" w:line="276" w:lineRule="auto"/>
        <w:ind w:firstLine="357"/>
        <w:jc w:val="both"/>
        <w:divId w:val="968437470"/>
        <w:rPr>
          <w:rFonts w:ascii="Times New Roman" w:hAnsi="Times New Roman" w:cs="Times New Roman"/>
          <w:sz w:val="18"/>
          <w:szCs w:val="18"/>
        </w:rPr>
      </w:pPr>
      <w:r w:rsidRPr="005B5EC1">
        <w:rPr>
          <w:rFonts w:ascii="Times New Roman" w:hAnsi="Times New Roman" w:cs="Times New Roman"/>
          <w:sz w:val="18"/>
          <w:szCs w:val="18"/>
        </w:rPr>
        <w:t>终止经营，是指满足下列条件之一的、能够单独区分且已被本集团处置或划分为持有待售类别的组成部分：</w:t>
      </w:r>
      <w:r w:rsidRPr="005B5EC1">
        <w:rPr>
          <w:rFonts w:ascii="Cambria Math" w:hAnsi="Cambria Math" w:cs="Cambria Math"/>
          <w:sz w:val="18"/>
          <w:szCs w:val="18"/>
        </w:rPr>
        <w:t>①</w:t>
      </w:r>
      <w:r w:rsidRPr="005B5EC1">
        <w:rPr>
          <w:rFonts w:ascii="Times New Roman" w:hAnsi="Times New Roman" w:cs="Times New Roman"/>
          <w:sz w:val="18"/>
          <w:szCs w:val="18"/>
        </w:rPr>
        <w:t>该组成部分代表一项独立的主要业务或一个单独的主要经营地区；</w:t>
      </w:r>
      <w:r w:rsidRPr="005B5EC1">
        <w:rPr>
          <w:rFonts w:ascii="Cambria Math" w:hAnsi="Cambria Math" w:cs="Cambria Math"/>
          <w:sz w:val="18"/>
          <w:szCs w:val="18"/>
        </w:rPr>
        <w:t>②</w:t>
      </w:r>
      <w:r w:rsidRPr="005B5EC1">
        <w:rPr>
          <w:rFonts w:ascii="Times New Roman" w:hAnsi="Times New Roman" w:cs="Times New Roman"/>
          <w:sz w:val="18"/>
          <w:szCs w:val="18"/>
        </w:rPr>
        <w:t>该组成部分是拟对一项独立的主要业务或一个单独的主要经营地区进行处置的一项相关联计划的一部分；</w:t>
      </w:r>
      <w:r w:rsidRPr="005B5EC1">
        <w:rPr>
          <w:rFonts w:ascii="Cambria Math" w:hAnsi="Cambria Math" w:cs="Cambria Math"/>
          <w:sz w:val="18"/>
          <w:szCs w:val="18"/>
        </w:rPr>
        <w:t>③</w:t>
      </w:r>
      <w:r w:rsidRPr="005B5EC1">
        <w:rPr>
          <w:rFonts w:ascii="Times New Roman" w:hAnsi="Times New Roman" w:cs="Times New Roman"/>
          <w:sz w:val="18"/>
          <w:szCs w:val="18"/>
        </w:rPr>
        <w:t>该组成部分是专为了转售而取得的子公司。</w:t>
      </w:r>
    </w:p>
    <w:p w14:paraId="4E037BCB" w14:textId="77777777" w:rsidR="00AF139E" w:rsidRPr="005B5EC1" w:rsidRDefault="00000000" w:rsidP="00E07E74">
      <w:pPr>
        <w:pStyle w:val="a3"/>
        <w:spacing w:before="0" w:beforeAutospacing="0" w:after="0" w:afterAutospacing="0" w:line="276" w:lineRule="auto"/>
        <w:ind w:firstLine="357"/>
        <w:jc w:val="both"/>
        <w:divId w:val="968437470"/>
        <w:rPr>
          <w:rFonts w:ascii="Times New Roman" w:hAnsi="Times New Roman" w:cs="Times New Roman"/>
          <w:sz w:val="18"/>
          <w:szCs w:val="18"/>
        </w:rPr>
      </w:pPr>
      <w:r w:rsidRPr="005B5EC1">
        <w:rPr>
          <w:rFonts w:ascii="Times New Roman" w:hAnsi="Times New Roman" w:cs="Times New Roman"/>
          <w:sz w:val="18"/>
          <w:szCs w:val="18"/>
        </w:rPr>
        <w:t>终止经营的会计处理方法参见本附注五、</w:t>
      </w:r>
      <w:r w:rsidRPr="005B5EC1">
        <w:rPr>
          <w:rFonts w:ascii="Times New Roman" w:hAnsi="Times New Roman" w:cs="Times New Roman"/>
          <w:sz w:val="18"/>
          <w:szCs w:val="18"/>
        </w:rPr>
        <w:t>18“</w:t>
      </w:r>
      <w:r w:rsidRPr="005B5EC1">
        <w:rPr>
          <w:rFonts w:ascii="Times New Roman" w:hAnsi="Times New Roman" w:cs="Times New Roman"/>
          <w:sz w:val="18"/>
          <w:szCs w:val="18"/>
        </w:rPr>
        <w:t>持有待售资产</w:t>
      </w:r>
      <w:r w:rsidRPr="005B5EC1">
        <w:rPr>
          <w:rFonts w:ascii="Times New Roman" w:hAnsi="Times New Roman" w:cs="Times New Roman"/>
          <w:sz w:val="18"/>
          <w:szCs w:val="18"/>
        </w:rPr>
        <w:t>”</w:t>
      </w:r>
      <w:r w:rsidRPr="005B5EC1">
        <w:rPr>
          <w:rFonts w:ascii="Times New Roman" w:hAnsi="Times New Roman" w:cs="Times New Roman"/>
          <w:sz w:val="18"/>
          <w:szCs w:val="18"/>
        </w:rPr>
        <w:t>相关描述。</w:t>
      </w:r>
    </w:p>
    <w:p w14:paraId="76B10CDC" w14:textId="77777777" w:rsidR="00AF139E" w:rsidRPr="005B5EC1" w:rsidRDefault="00000000" w:rsidP="00E07E74">
      <w:pPr>
        <w:pStyle w:val="a3"/>
        <w:spacing w:before="0" w:beforeAutospacing="0" w:after="0" w:afterAutospacing="0" w:line="276" w:lineRule="auto"/>
        <w:ind w:firstLine="357"/>
        <w:jc w:val="both"/>
        <w:divId w:val="968437470"/>
        <w:rPr>
          <w:rFonts w:ascii="Times New Roman" w:hAnsi="Times New Roman" w:cs="Times New Roman"/>
          <w:sz w:val="18"/>
          <w:szCs w:val="18"/>
        </w:rPr>
      </w:pPr>
      <w:r w:rsidRPr="005B5EC1">
        <w:rPr>
          <w:rFonts w:ascii="Times New Roman" w:hAnsi="Times New Roman" w:cs="Times New Roman"/>
          <w:sz w:val="18"/>
          <w:szCs w:val="18"/>
        </w:rPr>
        <w:t>回购股份</w:t>
      </w:r>
    </w:p>
    <w:p w14:paraId="01474644" w14:textId="77777777" w:rsidR="00AF139E" w:rsidRPr="005B5EC1" w:rsidRDefault="00000000" w:rsidP="00E07E74">
      <w:pPr>
        <w:pStyle w:val="a3"/>
        <w:spacing w:before="0" w:beforeAutospacing="0" w:after="0" w:afterAutospacing="0" w:line="276" w:lineRule="auto"/>
        <w:ind w:firstLine="357"/>
        <w:jc w:val="both"/>
        <w:divId w:val="968437470"/>
        <w:rPr>
          <w:rFonts w:ascii="Times New Roman" w:hAnsi="Times New Roman" w:cs="Times New Roman"/>
          <w:sz w:val="18"/>
          <w:szCs w:val="18"/>
        </w:rPr>
      </w:pPr>
      <w:r w:rsidRPr="005B5EC1">
        <w:rPr>
          <w:rFonts w:ascii="Times New Roman" w:hAnsi="Times New Roman" w:cs="Times New Roman"/>
          <w:sz w:val="18"/>
          <w:szCs w:val="18"/>
        </w:rPr>
        <w:t>股份回购中支付的对价和交易费用减少股东权益，回购、转让或注销本公司股份时，不确认利得或损失。</w:t>
      </w:r>
    </w:p>
    <w:p w14:paraId="265F5960" w14:textId="77777777" w:rsidR="00AF139E" w:rsidRPr="005B5EC1" w:rsidRDefault="00000000" w:rsidP="00E07E74">
      <w:pPr>
        <w:pStyle w:val="a3"/>
        <w:spacing w:before="0" w:beforeAutospacing="0" w:after="0" w:afterAutospacing="0" w:line="276" w:lineRule="auto"/>
        <w:ind w:firstLine="357"/>
        <w:jc w:val="both"/>
        <w:divId w:val="968437470"/>
        <w:rPr>
          <w:rFonts w:ascii="Times New Roman" w:hAnsi="Times New Roman" w:cs="Times New Roman"/>
          <w:sz w:val="18"/>
          <w:szCs w:val="18"/>
        </w:rPr>
      </w:pPr>
      <w:r w:rsidRPr="005B5EC1">
        <w:rPr>
          <w:rFonts w:ascii="Times New Roman" w:hAnsi="Times New Roman" w:cs="Times New Roman"/>
          <w:sz w:val="18"/>
          <w:szCs w:val="18"/>
        </w:rPr>
        <w:lastRenderedPageBreak/>
        <w:t>转让库存股，按实际收到的金额与库存股账面金额的差额，计入资本公积，资本公积不足冲减的，冲减盈余公积和未分配利润。注销库存股，按股票面值和注销股数减少股本，按注销库存股的账面余额与面值的差额，冲减资本公积，资本公积不足冲减的，冲减盈余公积和未分配利润。</w:t>
      </w:r>
    </w:p>
    <w:p w14:paraId="32F473F8" w14:textId="77777777" w:rsidR="00AF139E" w:rsidRPr="005B5EC1" w:rsidRDefault="00000000" w:rsidP="00E07E74">
      <w:pPr>
        <w:pStyle w:val="a3"/>
        <w:spacing w:before="0" w:beforeAutospacing="0" w:after="0" w:afterAutospacing="0" w:line="276" w:lineRule="auto"/>
        <w:ind w:firstLine="357"/>
        <w:jc w:val="both"/>
        <w:divId w:val="968437470"/>
        <w:rPr>
          <w:rFonts w:ascii="Times New Roman" w:hAnsi="Times New Roman" w:cs="Times New Roman"/>
          <w:sz w:val="18"/>
          <w:szCs w:val="18"/>
        </w:rPr>
      </w:pPr>
      <w:r w:rsidRPr="005B5EC1">
        <w:rPr>
          <w:rFonts w:ascii="Times New Roman" w:hAnsi="Times New Roman" w:cs="Times New Roman"/>
          <w:sz w:val="18"/>
          <w:szCs w:val="18"/>
        </w:rPr>
        <w:t>分部报告</w:t>
      </w:r>
    </w:p>
    <w:p w14:paraId="6711C9FE" w14:textId="77777777" w:rsidR="00AF139E" w:rsidRPr="005B5EC1" w:rsidRDefault="00000000" w:rsidP="00E07E74">
      <w:pPr>
        <w:pStyle w:val="a3"/>
        <w:spacing w:before="0" w:beforeAutospacing="0" w:after="0" w:afterAutospacing="0" w:line="276" w:lineRule="auto"/>
        <w:ind w:firstLine="357"/>
        <w:jc w:val="both"/>
        <w:divId w:val="968437470"/>
        <w:rPr>
          <w:rFonts w:ascii="Times New Roman" w:hAnsi="Times New Roman" w:cs="Times New Roman"/>
          <w:sz w:val="18"/>
          <w:szCs w:val="18"/>
        </w:rPr>
      </w:pPr>
      <w:r w:rsidRPr="005B5EC1">
        <w:rPr>
          <w:rFonts w:ascii="Times New Roman" w:hAnsi="Times New Roman" w:cs="Times New Roman"/>
          <w:sz w:val="18"/>
          <w:szCs w:val="18"/>
        </w:rPr>
        <w:t>本集团以内部组织结构、管理要求、内部报告制度为依据确定经营分部，以经营分部为基础确定报告分部并披露分部信息。</w:t>
      </w:r>
    </w:p>
    <w:p w14:paraId="307F161D" w14:textId="77777777" w:rsidR="00AF139E" w:rsidRPr="005B5EC1" w:rsidRDefault="00000000" w:rsidP="00E07E74">
      <w:pPr>
        <w:pStyle w:val="a3"/>
        <w:spacing w:before="0" w:beforeAutospacing="0" w:after="0" w:afterAutospacing="0" w:line="276" w:lineRule="auto"/>
        <w:ind w:firstLine="357"/>
        <w:jc w:val="both"/>
        <w:divId w:val="968437470"/>
        <w:rPr>
          <w:rFonts w:ascii="Times New Roman" w:hAnsi="Times New Roman" w:cs="Times New Roman"/>
          <w:sz w:val="18"/>
          <w:szCs w:val="18"/>
        </w:rPr>
      </w:pPr>
      <w:r w:rsidRPr="005B5EC1">
        <w:rPr>
          <w:rFonts w:ascii="Times New Roman" w:hAnsi="Times New Roman" w:cs="Times New Roman"/>
          <w:sz w:val="18"/>
          <w:szCs w:val="18"/>
        </w:rPr>
        <w:t>经营分部是指本集团内同时满足下列条件的组成部分：</w:t>
      </w:r>
      <w:r w:rsidRPr="005B5EC1">
        <w:rPr>
          <w:rFonts w:ascii="Cambria Math" w:hAnsi="Cambria Math" w:cs="Cambria Math"/>
          <w:sz w:val="18"/>
          <w:szCs w:val="18"/>
        </w:rPr>
        <w:t>①</w:t>
      </w:r>
      <w:r w:rsidRPr="005B5EC1">
        <w:rPr>
          <w:rFonts w:ascii="Times New Roman" w:hAnsi="Times New Roman" w:cs="Times New Roman"/>
          <w:sz w:val="18"/>
          <w:szCs w:val="18"/>
        </w:rPr>
        <w:t>该组成部分能够在日常活动中产生收入、发生费用；</w:t>
      </w:r>
      <w:r w:rsidRPr="005B5EC1">
        <w:rPr>
          <w:rFonts w:ascii="Cambria Math" w:hAnsi="Cambria Math" w:cs="Cambria Math"/>
          <w:sz w:val="18"/>
          <w:szCs w:val="18"/>
        </w:rPr>
        <w:t>②</w:t>
      </w:r>
      <w:r w:rsidRPr="005B5EC1">
        <w:rPr>
          <w:rFonts w:ascii="Times New Roman" w:hAnsi="Times New Roman" w:cs="Times New Roman"/>
          <w:sz w:val="18"/>
          <w:szCs w:val="18"/>
        </w:rPr>
        <w:t>本集团管理层能够定期评价该组成部分的经营成果，以决定向其配置资源、评价其业绩；</w:t>
      </w:r>
      <w:r w:rsidRPr="005B5EC1">
        <w:rPr>
          <w:rFonts w:ascii="Cambria Math" w:hAnsi="Cambria Math" w:cs="Cambria Math"/>
          <w:sz w:val="18"/>
          <w:szCs w:val="18"/>
        </w:rPr>
        <w:t>③</w:t>
      </w:r>
      <w:r w:rsidRPr="005B5EC1">
        <w:rPr>
          <w:rFonts w:ascii="Times New Roman" w:hAnsi="Times New Roman" w:cs="Times New Roman"/>
          <w:sz w:val="18"/>
          <w:szCs w:val="18"/>
        </w:rPr>
        <w:t>本集团能够取得该组成部分的财务状况、经营成果和现金流量等有关会计信息。两个或多个经营分部具有相似的经济特征，并且满足一定条件的，则可合并为一个经营分部。</w:t>
      </w:r>
    </w:p>
    <w:p w14:paraId="168029DC" w14:textId="77777777" w:rsidR="00E32FE0" w:rsidRPr="005B5EC1" w:rsidRDefault="00000000">
      <w:pPr>
        <w:pStyle w:val="3"/>
        <w:spacing w:line="280" w:lineRule="exact"/>
        <w:jc w:val="left"/>
        <w:rPr>
          <w:rFonts w:ascii="Times New Roman" w:hAnsi="Times New Roman" w:cs="Times New Roman"/>
          <w:b/>
          <w:bCs/>
        </w:rPr>
      </w:pPr>
      <w:bookmarkStart w:id="228" w:name="_Toc989117"/>
      <w:r w:rsidRPr="005B5EC1">
        <w:rPr>
          <w:rFonts w:ascii="Times New Roman" w:hAnsi="Times New Roman" w:cs="Times New Roman"/>
          <w:b/>
          <w:bCs/>
        </w:rPr>
        <w:t>43</w:t>
      </w:r>
      <w:r w:rsidRPr="005B5EC1">
        <w:rPr>
          <w:rFonts w:ascii="Times New Roman" w:hAnsi="Times New Roman" w:cs="Times New Roman"/>
          <w:b/>
          <w:bCs/>
        </w:rPr>
        <w:t>、重要会计政策和会计估计变更</w:t>
      </w:r>
      <w:bookmarkEnd w:id="228"/>
    </w:p>
    <w:p w14:paraId="4DD28FCC"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29" w:name="_Toc989118"/>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重要会计政策变更</w:t>
      </w:r>
      <w:bookmarkEnd w:id="229"/>
    </w:p>
    <w:p w14:paraId="674DD821" w14:textId="7E4220E0" w:rsidR="00E32FE0" w:rsidRPr="002A6312" w:rsidRDefault="00000000" w:rsidP="002A6312">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306949F9" w14:textId="77777777" w:rsidR="00AF139E" w:rsidRPr="005B5EC1" w:rsidRDefault="00000000" w:rsidP="00E07E74">
      <w:pPr>
        <w:pStyle w:val="a3"/>
        <w:spacing w:before="0" w:beforeAutospacing="0" w:after="0" w:afterAutospacing="0" w:line="276" w:lineRule="auto"/>
        <w:ind w:firstLine="357"/>
        <w:jc w:val="both"/>
        <w:divId w:val="160892537"/>
        <w:rPr>
          <w:rFonts w:ascii="Times New Roman" w:hAnsi="Times New Roman" w:cs="Times New Roman"/>
          <w:sz w:val="18"/>
          <w:szCs w:val="18"/>
        </w:rPr>
      </w:pPr>
      <w:r w:rsidRPr="005B5EC1">
        <w:rPr>
          <w:rFonts w:ascii="Cambria Math" w:hAnsi="Cambria Math" w:cs="Cambria Math"/>
          <w:sz w:val="18"/>
          <w:szCs w:val="18"/>
        </w:rPr>
        <w:t>①</w:t>
      </w:r>
      <w:r w:rsidRPr="005B5EC1">
        <w:rPr>
          <w:rFonts w:ascii="Times New Roman" w:hAnsi="Times New Roman" w:cs="Times New Roman"/>
          <w:sz w:val="18"/>
          <w:szCs w:val="18"/>
        </w:rPr>
        <w:t>《企业会计准则解释第</w:t>
      </w:r>
      <w:r w:rsidRPr="005B5EC1">
        <w:rPr>
          <w:rFonts w:ascii="Times New Roman" w:hAnsi="Times New Roman" w:cs="Times New Roman"/>
          <w:sz w:val="18"/>
          <w:szCs w:val="18"/>
        </w:rPr>
        <w:t>17</w:t>
      </w:r>
      <w:r w:rsidRPr="005B5EC1">
        <w:rPr>
          <w:rFonts w:ascii="Times New Roman" w:hAnsi="Times New Roman" w:cs="Times New Roman"/>
          <w:sz w:val="18"/>
          <w:szCs w:val="18"/>
        </w:rPr>
        <w:t>号》</w:t>
      </w:r>
    </w:p>
    <w:p w14:paraId="5247A315" w14:textId="77777777" w:rsidR="00AF139E" w:rsidRPr="005B5EC1" w:rsidRDefault="00000000" w:rsidP="00E07E74">
      <w:pPr>
        <w:pStyle w:val="a3"/>
        <w:spacing w:before="0" w:beforeAutospacing="0" w:after="0" w:afterAutospacing="0" w:line="276" w:lineRule="auto"/>
        <w:ind w:firstLine="357"/>
        <w:jc w:val="both"/>
        <w:divId w:val="160892537"/>
        <w:rPr>
          <w:rFonts w:ascii="Times New Roman" w:hAnsi="Times New Roman" w:cs="Times New Roman"/>
          <w:sz w:val="18"/>
          <w:szCs w:val="18"/>
        </w:rPr>
      </w:pPr>
      <w:r w:rsidRPr="005B5EC1">
        <w:rPr>
          <w:rFonts w:ascii="Times New Roman" w:hAnsi="Times New Roman" w:cs="Times New Roman"/>
          <w:sz w:val="18"/>
          <w:szCs w:val="18"/>
        </w:rPr>
        <w:t>财政部于</w:t>
      </w:r>
      <w:r w:rsidRPr="005B5EC1">
        <w:rPr>
          <w:rFonts w:ascii="Times New Roman" w:hAnsi="Times New Roman" w:cs="Times New Roman"/>
          <w:sz w:val="18"/>
          <w:szCs w:val="18"/>
        </w:rPr>
        <w:t>2023</w:t>
      </w:r>
      <w:r w:rsidRPr="005B5EC1">
        <w:rPr>
          <w:rFonts w:ascii="Times New Roman" w:hAnsi="Times New Roman" w:cs="Times New Roman"/>
          <w:sz w:val="18"/>
          <w:szCs w:val="18"/>
        </w:rPr>
        <w:t>年</w:t>
      </w:r>
      <w:r w:rsidRPr="005B5EC1">
        <w:rPr>
          <w:rFonts w:ascii="Times New Roman" w:hAnsi="Times New Roman" w:cs="Times New Roman"/>
          <w:sz w:val="18"/>
          <w:szCs w:val="18"/>
        </w:rPr>
        <w:t>10</w:t>
      </w:r>
      <w:r w:rsidRPr="005B5EC1">
        <w:rPr>
          <w:rFonts w:ascii="Times New Roman" w:hAnsi="Times New Roman" w:cs="Times New Roman"/>
          <w:sz w:val="18"/>
          <w:szCs w:val="18"/>
        </w:rPr>
        <w:t>月</w:t>
      </w:r>
      <w:r w:rsidRPr="005B5EC1">
        <w:rPr>
          <w:rFonts w:ascii="Times New Roman" w:hAnsi="Times New Roman" w:cs="Times New Roman"/>
          <w:sz w:val="18"/>
          <w:szCs w:val="18"/>
        </w:rPr>
        <w:t>25</w:t>
      </w:r>
      <w:r w:rsidRPr="005B5EC1">
        <w:rPr>
          <w:rFonts w:ascii="Times New Roman" w:hAnsi="Times New Roman" w:cs="Times New Roman"/>
          <w:sz w:val="18"/>
          <w:szCs w:val="18"/>
        </w:rPr>
        <w:t>日发布了《企业会计准则解释第</w:t>
      </w:r>
      <w:r w:rsidRPr="005B5EC1">
        <w:rPr>
          <w:rFonts w:ascii="Times New Roman" w:hAnsi="Times New Roman" w:cs="Times New Roman"/>
          <w:sz w:val="18"/>
          <w:szCs w:val="18"/>
        </w:rPr>
        <w:t>17</w:t>
      </w:r>
      <w:r w:rsidRPr="005B5EC1">
        <w:rPr>
          <w:rFonts w:ascii="Times New Roman" w:hAnsi="Times New Roman" w:cs="Times New Roman"/>
          <w:sz w:val="18"/>
          <w:szCs w:val="18"/>
        </w:rPr>
        <w:t>号》（财会〔</w:t>
      </w:r>
      <w:r w:rsidRPr="005B5EC1">
        <w:rPr>
          <w:rFonts w:ascii="Times New Roman" w:hAnsi="Times New Roman" w:cs="Times New Roman"/>
          <w:sz w:val="18"/>
          <w:szCs w:val="18"/>
        </w:rPr>
        <w:t>2023</w:t>
      </w:r>
      <w:r w:rsidRPr="005B5EC1">
        <w:rPr>
          <w:rFonts w:ascii="Times New Roman" w:hAnsi="Times New Roman" w:cs="Times New Roman"/>
          <w:sz w:val="18"/>
          <w:szCs w:val="18"/>
        </w:rPr>
        <w:t>〕</w:t>
      </w:r>
      <w:r w:rsidRPr="005B5EC1">
        <w:rPr>
          <w:rFonts w:ascii="Times New Roman" w:hAnsi="Times New Roman" w:cs="Times New Roman"/>
          <w:sz w:val="18"/>
          <w:szCs w:val="18"/>
        </w:rPr>
        <w:t>21</w:t>
      </w:r>
      <w:r w:rsidRPr="005B5EC1">
        <w:rPr>
          <w:rFonts w:ascii="Times New Roman" w:hAnsi="Times New Roman" w:cs="Times New Roman"/>
          <w:sz w:val="18"/>
          <w:szCs w:val="18"/>
        </w:rPr>
        <w:t>号）（以下简称</w:t>
      </w:r>
      <w:r w:rsidRPr="005B5EC1">
        <w:rPr>
          <w:rFonts w:ascii="Times New Roman" w:hAnsi="Times New Roman" w:cs="Times New Roman"/>
          <w:sz w:val="18"/>
          <w:szCs w:val="18"/>
        </w:rPr>
        <w:t>“</w:t>
      </w:r>
      <w:r w:rsidRPr="005B5EC1">
        <w:rPr>
          <w:rFonts w:ascii="Times New Roman" w:hAnsi="Times New Roman" w:cs="Times New Roman"/>
          <w:sz w:val="18"/>
          <w:szCs w:val="18"/>
        </w:rPr>
        <w:t>解释</w:t>
      </w:r>
      <w:r w:rsidRPr="005B5EC1">
        <w:rPr>
          <w:rFonts w:ascii="Times New Roman" w:hAnsi="Times New Roman" w:cs="Times New Roman"/>
          <w:sz w:val="18"/>
          <w:szCs w:val="18"/>
        </w:rPr>
        <w:t>17</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关于流动负债与非流动负债的划分</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关于供应商融资安排的披露</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关于售后租回交易的会计处理</w:t>
      </w:r>
      <w:r w:rsidRPr="005B5EC1">
        <w:rPr>
          <w:rFonts w:ascii="Times New Roman" w:hAnsi="Times New Roman" w:cs="Times New Roman"/>
          <w:sz w:val="18"/>
          <w:szCs w:val="18"/>
        </w:rPr>
        <w:t>”</w:t>
      </w:r>
      <w:r w:rsidRPr="005B5EC1">
        <w:rPr>
          <w:rFonts w:ascii="Times New Roman" w:hAnsi="Times New Roman" w:cs="Times New Roman"/>
          <w:sz w:val="18"/>
          <w:szCs w:val="18"/>
        </w:rPr>
        <w:t>相关内容自</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w:t>
      </w:r>
      <w:r w:rsidRPr="005B5EC1">
        <w:rPr>
          <w:rFonts w:ascii="Times New Roman" w:hAnsi="Times New Roman" w:cs="Times New Roman"/>
          <w:sz w:val="18"/>
          <w:szCs w:val="18"/>
        </w:rPr>
        <w:t>月</w:t>
      </w:r>
      <w:r w:rsidRPr="005B5EC1">
        <w:rPr>
          <w:rFonts w:ascii="Times New Roman" w:hAnsi="Times New Roman" w:cs="Times New Roman"/>
          <w:sz w:val="18"/>
          <w:szCs w:val="18"/>
        </w:rPr>
        <w:t>1</w:t>
      </w:r>
      <w:r w:rsidRPr="005B5EC1">
        <w:rPr>
          <w:rFonts w:ascii="Times New Roman" w:hAnsi="Times New Roman" w:cs="Times New Roman"/>
          <w:sz w:val="18"/>
          <w:szCs w:val="18"/>
        </w:rPr>
        <w:t>日起施行。</w:t>
      </w:r>
    </w:p>
    <w:p w14:paraId="21483D5D" w14:textId="77777777" w:rsidR="00AF139E" w:rsidRPr="005B5EC1" w:rsidRDefault="00000000" w:rsidP="00E07E74">
      <w:pPr>
        <w:pStyle w:val="a3"/>
        <w:spacing w:before="0" w:beforeAutospacing="0" w:after="0" w:afterAutospacing="0" w:line="276" w:lineRule="auto"/>
        <w:ind w:firstLine="357"/>
        <w:jc w:val="both"/>
        <w:divId w:val="160892537"/>
        <w:rPr>
          <w:rFonts w:ascii="Times New Roman" w:hAnsi="Times New Roman" w:cs="Times New Roman"/>
          <w:sz w:val="18"/>
          <w:szCs w:val="18"/>
        </w:rPr>
      </w:pPr>
      <w:r w:rsidRPr="005B5EC1">
        <w:rPr>
          <w:rFonts w:ascii="Times New Roman" w:hAnsi="Times New Roman" w:cs="Times New Roman"/>
          <w:sz w:val="18"/>
          <w:szCs w:val="18"/>
        </w:rPr>
        <w:t>根据解释</w:t>
      </w:r>
      <w:r w:rsidRPr="005B5EC1">
        <w:rPr>
          <w:rFonts w:ascii="Times New Roman" w:hAnsi="Times New Roman" w:cs="Times New Roman"/>
          <w:sz w:val="18"/>
          <w:szCs w:val="18"/>
        </w:rPr>
        <w:t>17</w:t>
      </w:r>
      <w:r w:rsidRPr="005B5EC1">
        <w:rPr>
          <w:rFonts w:ascii="Times New Roman" w:hAnsi="Times New Roman" w:cs="Times New Roman"/>
          <w:sz w:val="18"/>
          <w:szCs w:val="18"/>
        </w:rPr>
        <w:t>号的规定允许，本集团决定于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w:t>
      </w:r>
      <w:r w:rsidRPr="005B5EC1">
        <w:rPr>
          <w:rFonts w:ascii="Times New Roman" w:hAnsi="Times New Roman" w:cs="Times New Roman"/>
          <w:sz w:val="18"/>
          <w:szCs w:val="18"/>
        </w:rPr>
        <w:t>月</w:t>
      </w:r>
      <w:r w:rsidRPr="005B5EC1">
        <w:rPr>
          <w:rFonts w:ascii="Times New Roman" w:hAnsi="Times New Roman" w:cs="Times New Roman"/>
          <w:sz w:val="18"/>
          <w:szCs w:val="18"/>
        </w:rPr>
        <w:t>1</w:t>
      </w:r>
      <w:r w:rsidRPr="005B5EC1">
        <w:rPr>
          <w:rFonts w:ascii="Times New Roman" w:hAnsi="Times New Roman" w:cs="Times New Roman"/>
          <w:sz w:val="18"/>
          <w:szCs w:val="18"/>
        </w:rPr>
        <w:t>日执行上述规定。根据《解释</w:t>
      </w:r>
      <w:r w:rsidRPr="005B5EC1">
        <w:rPr>
          <w:rFonts w:ascii="Times New Roman" w:hAnsi="Times New Roman" w:cs="Times New Roman"/>
          <w:sz w:val="18"/>
          <w:szCs w:val="18"/>
        </w:rPr>
        <w:t>17</w:t>
      </w:r>
      <w:r w:rsidRPr="005B5EC1">
        <w:rPr>
          <w:rFonts w:ascii="Times New Roman" w:hAnsi="Times New Roman" w:cs="Times New Roman"/>
          <w:sz w:val="18"/>
          <w:szCs w:val="18"/>
        </w:rPr>
        <w:t>号》的相关规定，其会计政策变更对</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w:t>
      </w:r>
      <w:r w:rsidRPr="005B5EC1">
        <w:rPr>
          <w:rFonts w:ascii="Times New Roman" w:hAnsi="Times New Roman" w:cs="Times New Roman"/>
          <w:sz w:val="18"/>
          <w:szCs w:val="18"/>
        </w:rPr>
        <w:t>月</w:t>
      </w:r>
      <w:r w:rsidRPr="005B5EC1">
        <w:rPr>
          <w:rFonts w:ascii="Times New Roman" w:hAnsi="Times New Roman" w:cs="Times New Roman"/>
          <w:sz w:val="18"/>
          <w:szCs w:val="18"/>
        </w:rPr>
        <w:t>1</w:t>
      </w:r>
      <w:r w:rsidRPr="005B5EC1">
        <w:rPr>
          <w:rFonts w:ascii="Times New Roman" w:hAnsi="Times New Roman" w:cs="Times New Roman"/>
          <w:sz w:val="18"/>
          <w:szCs w:val="18"/>
        </w:rPr>
        <w:t>日财务报表无影响。</w:t>
      </w:r>
    </w:p>
    <w:p w14:paraId="6B66DF5E" w14:textId="77777777" w:rsidR="00AF139E" w:rsidRPr="005B5EC1" w:rsidRDefault="00000000" w:rsidP="00E07E74">
      <w:pPr>
        <w:pStyle w:val="a3"/>
        <w:spacing w:before="0" w:beforeAutospacing="0" w:after="0" w:afterAutospacing="0" w:line="276" w:lineRule="auto"/>
        <w:ind w:firstLine="357"/>
        <w:jc w:val="both"/>
        <w:divId w:val="160892537"/>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《企业会计准则解释第</w:t>
      </w:r>
      <w:r w:rsidRPr="005B5EC1">
        <w:rPr>
          <w:rFonts w:ascii="Times New Roman" w:hAnsi="Times New Roman" w:cs="Times New Roman"/>
          <w:sz w:val="18"/>
          <w:szCs w:val="18"/>
        </w:rPr>
        <w:t>18</w:t>
      </w:r>
      <w:r w:rsidRPr="005B5EC1">
        <w:rPr>
          <w:rFonts w:ascii="Times New Roman" w:hAnsi="Times New Roman" w:cs="Times New Roman"/>
          <w:sz w:val="18"/>
          <w:szCs w:val="18"/>
        </w:rPr>
        <w:t>号》</w:t>
      </w:r>
    </w:p>
    <w:p w14:paraId="6493F708" w14:textId="77777777" w:rsidR="00AF139E" w:rsidRPr="005B5EC1" w:rsidRDefault="00000000" w:rsidP="00E07E74">
      <w:pPr>
        <w:pStyle w:val="a3"/>
        <w:spacing w:before="0" w:beforeAutospacing="0" w:after="0" w:afterAutospacing="0" w:line="276" w:lineRule="auto"/>
        <w:ind w:firstLine="357"/>
        <w:jc w:val="both"/>
        <w:divId w:val="160892537"/>
        <w:rPr>
          <w:rFonts w:ascii="Times New Roman" w:hAnsi="Times New Roman" w:cs="Times New Roman"/>
          <w:sz w:val="18"/>
          <w:szCs w:val="18"/>
        </w:rPr>
      </w:pPr>
      <w:r w:rsidRPr="005B5EC1">
        <w:rPr>
          <w:rFonts w:ascii="Times New Roman" w:hAnsi="Times New Roman" w:cs="Times New Roman"/>
          <w:sz w:val="18"/>
          <w:szCs w:val="18"/>
        </w:rPr>
        <w:t> </w:t>
      </w:r>
      <w:r w:rsidRPr="005B5EC1">
        <w:rPr>
          <w:rFonts w:ascii="Times New Roman" w:hAnsi="Times New Roman" w:cs="Times New Roman"/>
          <w:sz w:val="18"/>
          <w:szCs w:val="18"/>
        </w:rPr>
        <w:t>财政部于</w:t>
      </w: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6</w:t>
      </w:r>
      <w:r w:rsidRPr="005B5EC1">
        <w:rPr>
          <w:rFonts w:ascii="Times New Roman" w:hAnsi="Times New Roman" w:cs="Times New Roman"/>
          <w:sz w:val="18"/>
          <w:szCs w:val="18"/>
        </w:rPr>
        <w:t>日发布了《企业会计准则解释第</w:t>
      </w:r>
      <w:r w:rsidRPr="005B5EC1">
        <w:rPr>
          <w:rFonts w:ascii="Times New Roman" w:hAnsi="Times New Roman" w:cs="Times New Roman"/>
          <w:sz w:val="18"/>
          <w:szCs w:val="18"/>
        </w:rPr>
        <w:t>18</w:t>
      </w:r>
      <w:r w:rsidRPr="005B5EC1">
        <w:rPr>
          <w:rFonts w:ascii="Times New Roman" w:hAnsi="Times New Roman" w:cs="Times New Roman"/>
          <w:sz w:val="18"/>
          <w:szCs w:val="18"/>
        </w:rPr>
        <w:t>号》（财会〔</w:t>
      </w:r>
      <w:r w:rsidRPr="005B5EC1">
        <w:rPr>
          <w:rFonts w:ascii="Times New Roman" w:hAnsi="Times New Roman" w:cs="Times New Roman"/>
          <w:sz w:val="18"/>
          <w:szCs w:val="18"/>
        </w:rPr>
        <w:t>2024</w:t>
      </w:r>
      <w:r w:rsidRPr="005B5EC1">
        <w:rPr>
          <w:rFonts w:ascii="Times New Roman" w:hAnsi="Times New Roman" w:cs="Times New Roman"/>
          <w:sz w:val="18"/>
          <w:szCs w:val="18"/>
        </w:rPr>
        <w:t>〕</w:t>
      </w:r>
      <w:r w:rsidRPr="005B5EC1">
        <w:rPr>
          <w:rFonts w:ascii="Times New Roman" w:hAnsi="Times New Roman" w:cs="Times New Roman"/>
          <w:sz w:val="18"/>
          <w:szCs w:val="18"/>
        </w:rPr>
        <w:t>24</w:t>
      </w:r>
      <w:r w:rsidRPr="005B5EC1">
        <w:rPr>
          <w:rFonts w:ascii="Times New Roman" w:hAnsi="Times New Roman" w:cs="Times New Roman"/>
          <w:sz w:val="18"/>
          <w:szCs w:val="18"/>
        </w:rPr>
        <w:t>号），</w:t>
      </w:r>
      <w:r w:rsidRPr="005B5EC1">
        <w:rPr>
          <w:rFonts w:ascii="Times New Roman" w:hAnsi="Times New Roman" w:cs="Times New Roman"/>
          <w:sz w:val="18"/>
          <w:szCs w:val="18"/>
        </w:rPr>
        <w:t>“</w:t>
      </w:r>
      <w:r w:rsidRPr="005B5EC1">
        <w:rPr>
          <w:rFonts w:ascii="Times New Roman" w:hAnsi="Times New Roman" w:cs="Times New Roman"/>
          <w:sz w:val="18"/>
          <w:szCs w:val="18"/>
        </w:rPr>
        <w:t>关于浮动收费法下作为基础项目持有的投资性房地产的后续计量的会计处理</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关于不属于单项履约义务的保证类质量保证的会计处理</w:t>
      </w:r>
      <w:r w:rsidRPr="005B5EC1">
        <w:rPr>
          <w:rFonts w:ascii="Times New Roman" w:hAnsi="Times New Roman" w:cs="Times New Roman"/>
          <w:sz w:val="18"/>
          <w:szCs w:val="18"/>
        </w:rPr>
        <w:t>”</w:t>
      </w:r>
      <w:r w:rsidRPr="005B5EC1">
        <w:rPr>
          <w:rFonts w:ascii="Times New Roman" w:hAnsi="Times New Roman" w:cs="Times New Roman"/>
          <w:sz w:val="18"/>
          <w:szCs w:val="18"/>
        </w:rPr>
        <w:t>相关内容自印发之日起施行。</w:t>
      </w:r>
    </w:p>
    <w:p w14:paraId="1B78DEAD" w14:textId="77777777" w:rsidR="00AF139E" w:rsidRPr="005B5EC1" w:rsidRDefault="00000000" w:rsidP="00E07E74">
      <w:pPr>
        <w:pStyle w:val="a3"/>
        <w:spacing w:before="0" w:beforeAutospacing="0" w:after="0" w:afterAutospacing="0" w:line="276" w:lineRule="auto"/>
        <w:ind w:firstLine="357"/>
        <w:jc w:val="both"/>
        <w:divId w:val="160892537"/>
        <w:rPr>
          <w:rFonts w:ascii="Times New Roman" w:hAnsi="Times New Roman" w:cs="Times New Roman"/>
          <w:sz w:val="18"/>
          <w:szCs w:val="18"/>
        </w:rPr>
      </w:pPr>
      <w:r w:rsidRPr="005B5EC1">
        <w:rPr>
          <w:rFonts w:ascii="Times New Roman" w:hAnsi="Times New Roman" w:cs="Times New Roman"/>
          <w:sz w:val="18"/>
          <w:szCs w:val="18"/>
        </w:rPr>
        <w:t>根据解释</w:t>
      </w:r>
      <w:r w:rsidRPr="005B5EC1">
        <w:rPr>
          <w:rFonts w:ascii="Times New Roman" w:hAnsi="Times New Roman" w:cs="Times New Roman"/>
          <w:sz w:val="18"/>
          <w:szCs w:val="18"/>
        </w:rPr>
        <w:t>18</w:t>
      </w:r>
      <w:r w:rsidRPr="005B5EC1">
        <w:rPr>
          <w:rFonts w:ascii="Times New Roman" w:hAnsi="Times New Roman" w:cs="Times New Roman"/>
          <w:sz w:val="18"/>
          <w:szCs w:val="18"/>
        </w:rPr>
        <w:t>号，规定保证类质保费用应计入营业成本，本集团决定于发布之日执行上述规定。执行该规定对本公司报告期内财务报表无重大影响。</w:t>
      </w:r>
    </w:p>
    <w:p w14:paraId="0703547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30" w:name="_Toc989119"/>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重要会计估计变更</w:t>
      </w:r>
      <w:bookmarkEnd w:id="230"/>
    </w:p>
    <w:p w14:paraId="25CCF76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33B3861"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231" w:name="_Toc989120"/>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2024</w:t>
      </w:r>
      <w:r w:rsidRPr="005B5EC1">
        <w:rPr>
          <w:rFonts w:ascii="Times New Roman" w:eastAsia="宋体" w:hAnsi="Times New Roman" w:cs="Times New Roman"/>
          <w:b/>
          <w:bCs/>
          <w:sz w:val="18"/>
          <w:szCs w:val="18"/>
        </w:rPr>
        <w:t>年起首次执行新会计准则调整首次执行当年年初财务报表相关项目情况</w:t>
      </w:r>
      <w:bookmarkEnd w:id="231"/>
    </w:p>
    <w:p w14:paraId="51EEA98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BEB1E33" w14:textId="77777777" w:rsidR="00E32FE0" w:rsidRPr="005B5EC1" w:rsidRDefault="00000000">
      <w:pPr>
        <w:pStyle w:val="3"/>
        <w:spacing w:line="280" w:lineRule="exact"/>
        <w:jc w:val="left"/>
        <w:rPr>
          <w:rFonts w:ascii="Times New Roman" w:hAnsi="Times New Roman" w:cs="Times New Roman"/>
          <w:b/>
          <w:bCs/>
        </w:rPr>
      </w:pPr>
      <w:bookmarkStart w:id="232" w:name="_Toc989121"/>
      <w:r w:rsidRPr="005B5EC1">
        <w:rPr>
          <w:rFonts w:ascii="Times New Roman" w:hAnsi="Times New Roman" w:cs="Times New Roman"/>
          <w:b/>
          <w:bCs/>
        </w:rPr>
        <w:t>44</w:t>
      </w:r>
      <w:r w:rsidRPr="005B5EC1">
        <w:rPr>
          <w:rFonts w:ascii="Times New Roman" w:hAnsi="Times New Roman" w:cs="Times New Roman"/>
          <w:b/>
          <w:bCs/>
        </w:rPr>
        <w:t>、其他</w:t>
      </w:r>
      <w:bookmarkEnd w:id="232"/>
    </w:p>
    <w:p w14:paraId="15F2692A" w14:textId="4360164E"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本集团在运用会计政策过程中，由于经营活动</w:t>
      </w:r>
      <w:r w:rsidR="002A11EF">
        <w:rPr>
          <w:rFonts w:ascii="Times New Roman" w:hAnsi="Times New Roman" w:cs="Times New Roman" w:hint="eastAsia"/>
          <w:sz w:val="18"/>
          <w:szCs w:val="18"/>
        </w:rPr>
        <w:t>存</w:t>
      </w:r>
      <w:r w:rsidRPr="005B5EC1">
        <w:rPr>
          <w:rFonts w:ascii="Times New Roman" w:hAnsi="Times New Roman" w:cs="Times New Roman"/>
          <w:sz w:val="18"/>
          <w:szCs w:val="18"/>
        </w:rPr>
        <w:t>在的不确定性，需要对无法准确计量的报表项目的账面价值进行判断、估计和假设。这些判断、估计和假设是基于本集团管理层过去的历史经验，并在考虑其他相关因素的基础上做出的。这些判断、估计和假设会影响收入、费用、资产和负债的报告金额以及资产负债表日或有负债的披露。然而，这些估计</w:t>
      </w:r>
      <w:r w:rsidRPr="005B5EC1">
        <w:rPr>
          <w:rFonts w:ascii="Times New Roman" w:hAnsi="Times New Roman" w:cs="Times New Roman"/>
          <w:sz w:val="18"/>
          <w:szCs w:val="18"/>
        </w:rPr>
        <w:lastRenderedPageBreak/>
        <w:t>的不确定性所导致的实际结果可能与本集团管理层当前的估计存在差异，进而造成对未来受影响的资产或负债的账面金额进行重大调整。</w:t>
      </w:r>
    </w:p>
    <w:p w14:paraId="0FB9338C"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对前述判断、估计和假设在持续经营的基础上进行定期复核，会计估计的变更仅影响变更当期的，其影响数在变更当期予以确认；既影响变更当期又影响未来期间的，其影响数在变更当期和未来期间予以确认。</w:t>
      </w:r>
    </w:p>
    <w:p w14:paraId="4EFB39AE"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于资产负债表日，本集团需对财务报表项目金额进行判断、估计和假设的重要领域如下：</w:t>
      </w:r>
    </w:p>
    <w:p w14:paraId="16E0AE6A"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收入确认</w:t>
      </w:r>
    </w:p>
    <w:p w14:paraId="448FE90E"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如本附注五、</w:t>
      </w:r>
      <w:r w:rsidRPr="005B5EC1">
        <w:rPr>
          <w:rFonts w:ascii="Times New Roman" w:hAnsi="Times New Roman" w:cs="Times New Roman"/>
          <w:sz w:val="18"/>
          <w:szCs w:val="18"/>
        </w:rPr>
        <w:t>37“</w:t>
      </w:r>
      <w:r w:rsidRPr="005B5EC1">
        <w:rPr>
          <w:rFonts w:ascii="Times New Roman" w:hAnsi="Times New Roman" w:cs="Times New Roman"/>
          <w:sz w:val="18"/>
          <w:szCs w:val="18"/>
        </w:rPr>
        <w:t>收入</w:t>
      </w:r>
      <w:r w:rsidRPr="005B5EC1">
        <w:rPr>
          <w:rFonts w:ascii="Times New Roman" w:hAnsi="Times New Roman" w:cs="Times New Roman"/>
          <w:sz w:val="18"/>
          <w:szCs w:val="18"/>
        </w:rPr>
        <w:t>”</w:t>
      </w:r>
      <w:r w:rsidRPr="005B5EC1">
        <w:rPr>
          <w:rFonts w:ascii="Times New Roman" w:hAnsi="Times New Roman" w:cs="Times New Roman"/>
          <w:sz w:val="18"/>
          <w:szCs w:val="18"/>
        </w:rPr>
        <w:t>所述，本集团在收入确认方面涉及到如下重大的会计判断和估计：识别客户合同；估计因向客户转让商品而有权取得的对价的可收回性；识别合同中的履约义务；估计合同中存在的可变对价以及在相关不确定性消除时累计已确认收入极可能不会发生重大转回的金额；合同中是否存在重大融资成分；估计合同中单项履约义务的单独售价；确定履约义务是在某一时段内履行还是在某一时点履行；履约进度的确定，等等。</w:t>
      </w:r>
    </w:p>
    <w:p w14:paraId="5FECA20A"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本集团主要依靠过去的经验和工作作出判断，这些重大判断和估计变更都可能对变更当期或以后期间的营业收入、营业成本，以及期间损益产生影响，且可能构成重大影响。</w:t>
      </w:r>
    </w:p>
    <w:p w14:paraId="14113F50"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租赁</w:t>
      </w:r>
    </w:p>
    <w:p w14:paraId="74B6A631"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bookmarkStart w:id="233" w:name="_Hlk86070671"/>
      <w:bookmarkEnd w:id="233"/>
      <w:r w:rsidRPr="005B5EC1">
        <w:rPr>
          <w:rFonts w:ascii="Cambria Math" w:hAnsi="Cambria Math" w:cs="Cambria Math"/>
          <w:sz w:val="18"/>
          <w:szCs w:val="18"/>
        </w:rPr>
        <w:t>①</w:t>
      </w:r>
      <w:r w:rsidRPr="005B5EC1">
        <w:rPr>
          <w:rFonts w:ascii="Times New Roman" w:hAnsi="Times New Roman" w:cs="Times New Roman"/>
          <w:sz w:val="18"/>
          <w:szCs w:val="18"/>
        </w:rPr>
        <w:t>租赁的识别</w:t>
      </w:r>
    </w:p>
    <w:p w14:paraId="1E12A69B"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14:paraId="4C8E4513"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租赁的分类</w:t>
      </w:r>
    </w:p>
    <w:p w14:paraId="08FCCFA9"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本集团作为出租人时，将租赁分类为经营租赁和融资租赁。在进行分类时，管理层需要对是否已将与租出资产所有权有关的全部风险和报酬实质上转移给承租人作出分析和判断。</w:t>
      </w:r>
    </w:p>
    <w:p w14:paraId="65B72D21"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Cambria Math" w:hAnsi="Cambria Math" w:cs="Cambria Math"/>
          <w:sz w:val="18"/>
          <w:szCs w:val="18"/>
        </w:rPr>
        <w:t>③</w:t>
      </w:r>
      <w:r w:rsidRPr="005B5EC1">
        <w:rPr>
          <w:rFonts w:ascii="Times New Roman" w:hAnsi="Times New Roman" w:cs="Times New Roman"/>
          <w:sz w:val="18"/>
          <w:szCs w:val="18"/>
        </w:rPr>
        <w:t>租赁负债</w:t>
      </w:r>
    </w:p>
    <w:p w14:paraId="3F4B47AB"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作为承租人时，租赁负债按照租赁期开始日尚未支付的租赁付款额的现值进行初始计量。在计量租赁付款额的现值时，本集团对使用的折现率以及存在续租选择权或终止选择权的租赁合同的租赁期进行估计。在评估租赁期时，本集团综合考虑与本集团行使选择权带来经济利益的所有相关事实和情况，包括自租赁期开始日至选择权行使日之间的事实和情况的预期变化等。不同的判断及估计可能会影响租赁负债和使用权资产的确认，并将影响后续期间的损益。</w:t>
      </w:r>
    </w:p>
    <w:p w14:paraId="46094E8D"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金融资产减值</w:t>
      </w:r>
    </w:p>
    <w:p w14:paraId="6E17527C"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bookmarkStart w:id="234" w:name="_Hlk86070720"/>
      <w:bookmarkEnd w:id="234"/>
      <w:r w:rsidRPr="005B5EC1">
        <w:rPr>
          <w:rFonts w:ascii="Times New Roman" w:hAnsi="Times New Roman" w:cs="Times New Roman"/>
          <w:sz w:val="18"/>
          <w:szCs w:val="18"/>
        </w:rPr>
        <w:t>本集团采用预期信用损失模型对金融工具的减值进行评估，应用预期信用损失模型需要做出重大判断和估计，需考虑所有合理且有依据的信息，包括前瞻性信息。在做出该等判断和估计时，本集团根据历史数据结合经济政策、宏观经济指标、行业风险、外部市场环境、技术环境、客户情况的变化等因素推断债务人信用风险的预期变动。</w:t>
      </w:r>
    </w:p>
    <w:p w14:paraId="0FC44208"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存货跌价准备</w:t>
      </w:r>
    </w:p>
    <w:p w14:paraId="7725DE6E"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14:paraId="02D324A4"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金融工具公允价值</w:t>
      </w:r>
    </w:p>
    <w:p w14:paraId="793152A9"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bookmarkStart w:id="235" w:name="_Hlk86070772"/>
      <w:bookmarkEnd w:id="235"/>
      <w:r w:rsidRPr="005B5EC1">
        <w:rPr>
          <w:rFonts w:ascii="Times New Roman" w:hAnsi="Times New Roman" w:cs="Times New Roman"/>
          <w:sz w:val="18"/>
          <w:szCs w:val="18"/>
        </w:rPr>
        <w:t>对不存在活跃交易市场的金融工具，本集团通过各种估值方法确定其公允价值。这些估值方法包括贴现现金流模型分析等。估值时本集团需对未来现金流量、信用风险、市场波动率和相关性等方面进行估计，并选择适当的折现率。这些相关假设具有不确定性，其变化会对金融工具的公允价值产生影响。权益工具投资或合同有公开报价的，本集团不将成本作为其公允价值的最佳估计。</w:t>
      </w:r>
    </w:p>
    <w:p w14:paraId="743D083E"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lastRenderedPageBreak/>
        <w:t>长期资产减值准备</w:t>
      </w:r>
    </w:p>
    <w:p w14:paraId="64722430"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bookmarkStart w:id="236" w:name="_Hlk86070829"/>
      <w:bookmarkEnd w:id="236"/>
      <w:r w:rsidRPr="005B5EC1">
        <w:rPr>
          <w:rFonts w:ascii="Times New Roman" w:hAnsi="Times New Roman" w:cs="Times New Roman"/>
          <w:sz w:val="18"/>
          <w:szCs w:val="18"/>
        </w:rPr>
        <w:t>本集团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14:paraId="09E33469"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当资产或资产组的账面价值高于可收回金额，即公允价值减去处置费用后的净额和预计未来现金流量的现值中的较高者，表明发生了减值。</w:t>
      </w:r>
    </w:p>
    <w:p w14:paraId="6C5E53FE"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公允价值减去处置费用后的净额，参考公平交易中类似资产的销售协议价格或可观察到的市场价格，减去可直接归属于该资产处置的增量成本确定。</w:t>
      </w:r>
    </w:p>
    <w:p w14:paraId="79C92BC9"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在预计未来现金流量现值时，需要对该资产（或资产组）的产量、售价、相关经营成本以及计算现值时使用的折现率等作出重大判断。本集团在估计可收回金额时会采用所有能够获得的相关资料，包括根据合理和可支持的假设所作出有关产量、售价和相关经营成本的预测。</w:t>
      </w:r>
    </w:p>
    <w:p w14:paraId="35A1A93E"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至少每年测试商誉是否发生减值。这要求对分配了商誉的资产组或者资产组组合的未来现金流量的现值进行预计。对未来现金流量的现值进行预计时，本集团需要预计未来资产组或者资产组组合产生的现金流量，同时选择恰当的折现率确定未来现金流量的现值。</w:t>
      </w:r>
    </w:p>
    <w:p w14:paraId="15E686AB"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折旧和摊销</w:t>
      </w:r>
    </w:p>
    <w:p w14:paraId="47C90B1D"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对投资性房地产、固定资产和无形资产在考虑其残值后，在使用寿命内按直线法计提折旧和摊销。本集团定期复核使用寿命，以决定将计入每个报告期的折旧和摊销费用数额。使用寿命是本集团根据对同类资产的以往经验并结合预期的技术更新而确定的。如果以前的估计发生重大变化，则会在未来期间对折旧和摊销费用进行调整。</w:t>
      </w:r>
    </w:p>
    <w:p w14:paraId="06BC2BD5"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递延所得税资产</w:t>
      </w:r>
    </w:p>
    <w:p w14:paraId="7BEA4B1D"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在很有可能有足够的应纳税利润来抵扣亏损的限度内，本集团就所有未利用的税务亏损确认递延所得税资产。这需要本集团管理层运用大量的判断来估计未来应纳税利润发生的时间和金额，结合纳税筹划策略，以决定应确认的递延所得税资产的金额。</w:t>
      </w:r>
    </w:p>
    <w:p w14:paraId="66509556"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所得税</w:t>
      </w:r>
    </w:p>
    <w:p w14:paraId="3C7E038C"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14:paraId="495ADCA3"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公允价值计量</w:t>
      </w:r>
    </w:p>
    <w:p w14:paraId="3DCF3DB2"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本集团的某些资产和负债在财务报表中按公允价值计量。</w:t>
      </w:r>
    </w:p>
    <w:p w14:paraId="527E9F65"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公允价值，是指市场参与者在计量日发生的有序交易中，出售一项资产所能收到或者转移一项负债所需支付的价格。本集团以公允价值计量相关资产或负债，考虑该资产或负债的特征；假定市场参与者在计量日出售资产或者转移负债的交易，是在当前市场条件下的有序交易；假定出售资产或者转移负债的有序交易在相关资产或负债的主要市场进行；不存在主要市场的，假定该交易在相关资产或负债的最有利市场进行。</w:t>
      </w:r>
    </w:p>
    <w:p w14:paraId="5EB5B557"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本集团采用市场参与者在对该资产或负债定价时为实现其经济利益最大化所使用的假设。</w:t>
      </w:r>
    </w:p>
    <w:p w14:paraId="7BFAA7AA"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本集团根据交易性质和相关资产或负债的特征等，判断初始确认时的公允价值是否与其交易价格相等；交易价格与公允价值不相等的，将相关利得或损失计入当期损益，但相关会计准则另有规定的除外。</w:t>
      </w:r>
    </w:p>
    <w:p w14:paraId="59FF1586"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采用在当前情况下适用并且有足够可利用数据和其他信息支持的估值技术，使用的估值技术主要包括市场法、收益法和成本法。在估值技术的应用中，优先使用相关可观察输入值，只有在相关可观察输入值无法取得或取得不切实可行的情况下，才可以使用不可观察输入值。</w:t>
      </w:r>
    </w:p>
    <w:p w14:paraId="29E99DC2"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lastRenderedPageBreak/>
        <w:t>本集团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14:paraId="0255DA6C"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以公允价值计量非金融资产，考虑市场参与者将该资产用于最佳用途产生经济利益的能力，或者将该资产出售给能够用于最佳用途的其他市场参与者产生经济利益的能力。以公允价值计量负债，假定在计量日将该负债转移给其他市场参与者，而且该负债在转移后继续存在，并由作为受让方的市场参与者履行义务。以公允价值计量自身权益工具，假定在计量日将该自身权益工具转移给其他市场参与者，而且该自身权益工具在转移后继续存在，并由作为受让方的市场参与者取得与该工具相关的权利、承担相应的义务。</w:t>
      </w:r>
    </w:p>
    <w:p w14:paraId="32A90487" w14:textId="77777777" w:rsidR="00AF139E" w:rsidRPr="005B5EC1" w:rsidRDefault="00000000" w:rsidP="00E07E74">
      <w:pPr>
        <w:pStyle w:val="a3"/>
        <w:spacing w:before="0" w:beforeAutospacing="0" w:after="0" w:afterAutospacing="0" w:line="276" w:lineRule="auto"/>
        <w:ind w:firstLine="357"/>
        <w:jc w:val="both"/>
        <w:divId w:val="1134179956"/>
        <w:rPr>
          <w:rFonts w:ascii="Times New Roman" w:hAnsi="Times New Roman" w:cs="Times New Roman"/>
          <w:sz w:val="18"/>
          <w:szCs w:val="18"/>
        </w:rPr>
      </w:pPr>
      <w:r w:rsidRPr="005B5EC1">
        <w:rPr>
          <w:rFonts w:ascii="Times New Roman" w:hAnsi="Times New Roman" w:cs="Times New Roman"/>
          <w:sz w:val="18"/>
          <w:szCs w:val="18"/>
        </w:rPr>
        <w:t>本集团以市场风险和信用风险的净敞口为基础管理金融资产和金融负债的，以计量日市场参与者在当前市场条件下有序交易中出售净多头（即资产）或者转移净空头（即负债）的价格为基础，计量该金融资产和金融负债组合的公允价值。</w:t>
      </w:r>
    </w:p>
    <w:p w14:paraId="191F77BA"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237" w:name="_Toc989122"/>
      <w:r w:rsidRPr="005B5EC1">
        <w:rPr>
          <w:rFonts w:ascii="Times New Roman" w:eastAsia="宋体" w:hAnsi="Times New Roman" w:cs="Times New Roman"/>
          <w:b/>
          <w:bCs/>
          <w:sz w:val="24"/>
          <w:szCs w:val="24"/>
        </w:rPr>
        <w:t>六、税项</w:t>
      </w:r>
      <w:bookmarkEnd w:id="237"/>
    </w:p>
    <w:p w14:paraId="6740EC64" w14:textId="77777777" w:rsidR="00E32FE0" w:rsidRPr="005B5EC1" w:rsidRDefault="00000000">
      <w:pPr>
        <w:pStyle w:val="3"/>
        <w:spacing w:line="280" w:lineRule="exact"/>
        <w:jc w:val="left"/>
        <w:rPr>
          <w:rFonts w:ascii="Times New Roman" w:hAnsi="Times New Roman" w:cs="Times New Roman"/>
          <w:b/>
          <w:bCs/>
        </w:rPr>
      </w:pPr>
      <w:bookmarkStart w:id="238" w:name="_Toc989123"/>
      <w:r w:rsidRPr="005B5EC1">
        <w:rPr>
          <w:rFonts w:ascii="Times New Roman" w:hAnsi="Times New Roman" w:cs="Times New Roman"/>
          <w:b/>
          <w:bCs/>
        </w:rPr>
        <w:t>1</w:t>
      </w:r>
      <w:r w:rsidRPr="005B5EC1">
        <w:rPr>
          <w:rFonts w:ascii="Times New Roman" w:hAnsi="Times New Roman" w:cs="Times New Roman"/>
          <w:b/>
          <w:bCs/>
        </w:rPr>
        <w:t>、主要税种及税率</w:t>
      </w:r>
      <w:bookmarkEnd w:id="238"/>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27"/>
        <w:gridCol w:w="2268"/>
        <w:gridCol w:w="5244"/>
      </w:tblGrid>
      <w:tr w:rsidR="00E32FE0" w:rsidRPr="005B5EC1" w14:paraId="631812F0" w14:textId="77777777" w:rsidTr="00E07E74">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40B99FA8" w14:textId="77777777" w:rsidR="00E32FE0" w:rsidRPr="005B5EC1" w:rsidRDefault="00000000" w:rsidP="00E07E7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税种</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2C2EB604" w14:textId="77777777" w:rsidR="00E32FE0" w:rsidRPr="005B5EC1" w:rsidRDefault="00000000" w:rsidP="00E07E7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计税依据</w:t>
            </w:r>
          </w:p>
        </w:tc>
        <w:tc>
          <w:tcPr>
            <w:tcW w:w="5244" w:type="dxa"/>
            <w:tcBorders>
              <w:top w:val="single" w:sz="2" w:space="0" w:color="auto"/>
              <w:left w:val="single" w:sz="2" w:space="0" w:color="auto"/>
              <w:bottom w:val="single" w:sz="2" w:space="0" w:color="auto"/>
              <w:right w:val="single" w:sz="2" w:space="0" w:color="auto"/>
            </w:tcBorders>
            <w:shd w:val="clear" w:color="auto" w:fill="auto"/>
            <w:vAlign w:val="center"/>
          </w:tcPr>
          <w:p w14:paraId="170983F5" w14:textId="77777777" w:rsidR="00E32FE0" w:rsidRPr="005B5EC1" w:rsidRDefault="00000000" w:rsidP="00E07E7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税率</w:t>
            </w:r>
          </w:p>
        </w:tc>
      </w:tr>
      <w:tr w:rsidR="00E32FE0" w:rsidRPr="005B5EC1" w14:paraId="2CCA0618" w14:textId="77777777" w:rsidTr="00E07E74">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2D9B5F39" w14:textId="77777777" w:rsidR="00E32FE0" w:rsidRPr="005B5EC1" w:rsidRDefault="00000000" w:rsidP="00E07E7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增值税</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3CA0E5F9" w14:textId="77777777" w:rsidR="00E32FE0" w:rsidRPr="005B5EC1" w:rsidRDefault="00000000" w:rsidP="00E07E7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销售货物或提供应税劳务</w:t>
            </w:r>
          </w:p>
        </w:tc>
        <w:tc>
          <w:tcPr>
            <w:tcW w:w="5244" w:type="dxa"/>
            <w:tcBorders>
              <w:top w:val="single" w:sz="2" w:space="0" w:color="auto"/>
              <w:left w:val="single" w:sz="2" w:space="0" w:color="auto"/>
              <w:bottom w:val="single" w:sz="2" w:space="0" w:color="auto"/>
              <w:right w:val="single" w:sz="2" w:space="0" w:color="auto"/>
            </w:tcBorders>
            <w:shd w:val="clear" w:color="auto" w:fill="auto"/>
            <w:vAlign w:val="center"/>
          </w:tcPr>
          <w:p w14:paraId="03A35A40"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应税收入按相应的税率计算销项税，并按扣除当期允许抵扣的进项税额后的差额计缴增值税：生猪养殖及符合条件的饲料生产、技术开发、技术咨询、技术转让及技术服务免征增值税部分鲜活肉蛋产品免征流通环节增值税；从中央或地方财政取得的利息补贴收入和价差补贴收入免征增值税；初加工产品执行</w:t>
            </w:r>
            <w:r w:rsidRPr="005B5EC1">
              <w:rPr>
                <w:rFonts w:ascii="Times New Roman" w:eastAsia="宋体" w:hAnsi="Times New Roman" w:cs="Times New Roman"/>
                <w:sz w:val="18"/>
                <w:szCs w:val="18"/>
              </w:rPr>
              <w:t>9%</w:t>
            </w:r>
            <w:r w:rsidRPr="005B5EC1">
              <w:rPr>
                <w:rFonts w:ascii="Times New Roman" w:eastAsia="宋体" w:hAnsi="Times New Roman" w:cs="Times New Roman"/>
                <w:sz w:val="18"/>
                <w:szCs w:val="18"/>
              </w:rPr>
              <w:t>税率；深加工产品执行</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税率；利息收入执行</w:t>
            </w:r>
            <w:r w:rsidRPr="005B5EC1">
              <w:rPr>
                <w:rFonts w:ascii="Times New Roman" w:eastAsia="宋体" w:hAnsi="Times New Roman" w:cs="Times New Roman"/>
                <w:sz w:val="18"/>
                <w:szCs w:val="18"/>
              </w:rPr>
              <w:t>6%</w:t>
            </w:r>
            <w:r w:rsidRPr="005B5EC1">
              <w:rPr>
                <w:rFonts w:ascii="Times New Roman" w:eastAsia="宋体" w:hAnsi="Times New Roman" w:cs="Times New Roman"/>
                <w:sz w:val="18"/>
                <w:szCs w:val="18"/>
              </w:rPr>
              <w:t>税率。</w:t>
            </w:r>
          </w:p>
        </w:tc>
      </w:tr>
      <w:tr w:rsidR="00E32FE0" w:rsidRPr="005B5EC1" w14:paraId="16B3A1AD" w14:textId="77777777" w:rsidTr="00E07E74">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5D588D13" w14:textId="77777777" w:rsidR="00E32FE0" w:rsidRPr="005B5EC1" w:rsidRDefault="00000000" w:rsidP="00E07E7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消费税</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2929013F" w14:textId="77777777" w:rsidR="00E32FE0" w:rsidRPr="005B5EC1" w:rsidRDefault="00000000" w:rsidP="00E07E7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应纳流转税额</w:t>
            </w:r>
          </w:p>
        </w:tc>
        <w:tc>
          <w:tcPr>
            <w:tcW w:w="5244" w:type="dxa"/>
            <w:tcBorders>
              <w:top w:val="single" w:sz="2" w:space="0" w:color="auto"/>
              <w:left w:val="single" w:sz="2" w:space="0" w:color="auto"/>
              <w:bottom w:val="single" w:sz="2" w:space="0" w:color="auto"/>
              <w:right w:val="single" w:sz="2" w:space="0" w:color="auto"/>
            </w:tcBorders>
            <w:shd w:val="clear" w:color="auto" w:fill="auto"/>
            <w:vAlign w:val="center"/>
          </w:tcPr>
          <w:p w14:paraId="2521A495" w14:textId="77777777" w:rsidR="00E32FE0" w:rsidRPr="005B5EC1" w:rsidRDefault="00E32FE0" w:rsidP="00E07E74">
            <w:pPr>
              <w:spacing w:after="0" w:line="276" w:lineRule="auto"/>
              <w:rPr>
                <w:rFonts w:ascii="Times New Roman" w:eastAsia="宋体" w:hAnsi="Times New Roman" w:cs="Times New Roman"/>
                <w:sz w:val="18"/>
                <w:szCs w:val="18"/>
              </w:rPr>
            </w:pPr>
          </w:p>
        </w:tc>
      </w:tr>
      <w:tr w:rsidR="00E32FE0" w:rsidRPr="005B5EC1" w14:paraId="4E55DA21" w14:textId="77777777" w:rsidTr="00E07E74">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044E3082" w14:textId="77777777" w:rsidR="00E32FE0" w:rsidRPr="005B5EC1" w:rsidRDefault="00000000" w:rsidP="00E07E7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城市维护建设税</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46A7A9B7" w14:textId="77777777" w:rsidR="00E32FE0" w:rsidRPr="005B5EC1" w:rsidRDefault="00000000" w:rsidP="00E07E7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应纳流转税额</w:t>
            </w:r>
          </w:p>
        </w:tc>
        <w:tc>
          <w:tcPr>
            <w:tcW w:w="5244" w:type="dxa"/>
            <w:tcBorders>
              <w:top w:val="single" w:sz="2" w:space="0" w:color="auto"/>
              <w:left w:val="single" w:sz="2" w:space="0" w:color="auto"/>
              <w:bottom w:val="single" w:sz="2" w:space="0" w:color="auto"/>
              <w:right w:val="single" w:sz="2" w:space="0" w:color="auto"/>
            </w:tcBorders>
            <w:shd w:val="clear" w:color="auto" w:fill="auto"/>
            <w:vAlign w:val="center"/>
          </w:tcPr>
          <w:p w14:paraId="2926BE0E"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按实际缴纳的流转税的</w:t>
            </w:r>
            <w:r w:rsidRPr="005B5EC1">
              <w:rPr>
                <w:rFonts w:ascii="Times New Roman" w:eastAsia="宋体" w:hAnsi="Times New Roman" w:cs="Times New Roman"/>
                <w:sz w:val="18"/>
                <w:szCs w:val="18"/>
              </w:rPr>
              <w:t>7%</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计缴。</w:t>
            </w:r>
          </w:p>
        </w:tc>
      </w:tr>
      <w:tr w:rsidR="00E32FE0" w:rsidRPr="005B5EC1" w14:paraId="53921E87" w14:textId="77777777" w:rsidTr="00E07E74">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4E9E02EC" w14:textId="77777777" w:rsidR="00E32FE0" w:rsidRPr="005B5EC1" w:rsidRDefault="00000000" w:rsidP="00E07E7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企业所得税</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1EE2F6E5" w14:textId="77777777" w:rsidR="00E32FE0" w:rsidRPr="005B5EC1" w:rsidRDefault="00000000" w:rsidP="00E07E7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应纳流转税额</w:t>
            </w:r>
          </w:p>
        </w:tc>
        <w:tc>
          <w:tcPr>
            <w:tcW w:w="5244" w:type="dxa"/>
            <w:tcBorders>
              <w:top w:val="single" w:sz="2" w:space="0" w:color="auto"/>
              <w:left w:val="single" w:sz="2" w:space="0" w:color="auto"/>
              <w:bottom w:val="single" w:sz="2" w:space="0" w:color="auto"/>
              <w:right w:val="single" w:sz="2" w:space="0" w:color="auto"/>
            </w:tcBorders>
            <w:shd w:val="clear" w:color="auto" w:fill="auto"/>
            <w:vAlign w:val="center"/>
          </w:tcPr>
          <w:p w14:paraId="04267CE5"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详见下表</w:t>
            </w:r>
          </w:p>
        </w:tc>
      </w:tr>
      <w:tr w:rsidR="00E32FE0" w:rsidRPr="005B5EC1" w14:paraId="5C645A91" w14:textId="77777777" w:rsidTr="00E07E74">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27AA09DF"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教育费附加</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414967E9" w14:textId="77777777" w:rsidR="00E32FE0" w:rsidRPr="005B5EC1" w:rsidRDefault="00000000" w:rsidP="00E07E7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应纳流转税额</w:t>
            </w:r>
          </w:p>
        </w:tc>
        <w:tc>
          <w:tcPr>
            <w:tcW w:w="5244" w:type="dxa"/>
            <w:tcBorders>
              <w:top w:val="single" w:sz="2" w:space="0" w:color="auto"/>
              <w:left w:val="single" w:sz="2" w:space="0" w:color="auto"/>
              <w:bottom w:val="single" w:sz="2" w:space="0" w:color="auto"/>
              <w:right w:val="single" w:sz="2" w:space="0" w:color="auto"/>
            </w:tcBorders>
            <w:shd w:val="clear" w:color="auto" w:fill="auto"/>
            <w:vAlign w:val="center"/>
          </w:tcPr>
          <w:p w14:paraId="38241C74"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按实际缴纳的流转税的</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计缴。</w:t>
            </w:r>
          </w:p>
        </w:tc>
      </w:tr>
      <w:tr w:rsidR="00E32FE0" w:rsidRPr="005B5EC1" w14:paraId="568C9891" w14:textId="77777777" w:rsidTr="00E07E74">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auto"/>
            <w:vAlign w:val="center"/>
          </w:tcPr>
          <w:p w14:paraId="10F35102"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地方教育附加</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61777585" w14:textId="77777777" w:rsidR="00E32FE0" w:rsidRPr="005B5EC1" w:rsidRDefault="00000000" w:rsidP="00E07E7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应纳流转税额</w:t>
            </w:r>
          </w:p>
        </w:tc>
        <w:tc>
          <w:tcPr>
            <w:tcW w:w="5244" w:type="dxa"/>
            <w:tcBorders>
              <w:top w:val="single" w:sz="2" w:space="0" w:color="auto"/>
              <w:left w:val="single" w:sz="2" w:space="0" w:color="auto"/>
              <w:bottom w:val="single" w:sz="2" w:space="0" w:color="auto"/>
              <w:right w:val="single" w:sz="2" w:space="0" w:color="auto"/>
            </w:tcBorders>
            <w:shd w:val="clear" w:color="auto" w:fill="auto"/>
            <w:vAlign w:val="center"/>
          </w:tcPr>
          <w:p w14:paraId="3EE44735"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按实际缴纳的流转税的</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计缴。</w:t>
            </w:r>
          </w:p>
        </w:tc>
      </w:tr>
    </w:tbl>
    <w:p w14:paraId="6AC5C41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存在不同企业所得税税率纳税主体的，披露情况说明</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536"/>
        <w:gridCol w:w="5103"/>
      </w:tblGrid>
      <w:tr w:rsidR="00E32FE0" w:rsidRPr="005B5EC1" w14:paraId="43400336"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4001C41C" w14:textId="77777777" w:rsidR="00E32FE0" w:rsidRPr="005B5EC1" w:rsidRDefault="00000000" w:rsidP="00E07E7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纳税主体名称</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14:paraId="1ECD40EA" w14:textId="77777777" w:rsidR="00E32FE0" w:rsidRPr="005B5EC1" w:rsidRDefault="00000000" w:rsidP="00E07E7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所得税税率</w:t>
            </w:r>
          </w:p>
        </w:tc>
      </w:tr>
      <w:tr w:rsidR="00E32FE0" w:rsidRPr="005B5EC1" w14:paraId="7410DE92"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09C7FCE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山东龙大美食股份有限公司</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14:paraId="583E9617"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38C93579"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46378EA9"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烟台龙大养殖有限公司</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14:paraId="5C68BA8A"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从事牲畜、家禽的饲养项目所得税，免征企业所得税</w:t>
            </w:r>
          </w:p>
        </w:tc>
      </w:tr>
      <w:tr w:rsidR="00E32FE0" w:rsidRPr="005B5EC1" w14:paraId="5D073FE1"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1A1527AB"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烟台龙大饲料有限公司</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14:paraId="389F9440"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25%</w:t>
            </w:r>
          </w:p>
        </w:tc>
      </w:tr>
      <w:tr w:rsidR="00E32FE0" w:rsidRPr="005B5EC1" w14:paraId="79AD5A52"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auto"/>
            <w:vAlign w:val="center"/>
          </w:tcPr>
          <w:p w14:paraId="7A2A7267"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14:paraId="4973C730"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44954DF0"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0A6EEC7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5C730BB7"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411DAD85"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2EDBBD97"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烟台杰科检测服务有限公司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3F0515AF"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4CA5BF04"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2A96A414"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蓬莱富龙肉食品有限公司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70216828"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21ECB864"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0D9DD94B"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北京快厨帮科技有限公司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7BA5C7BE"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52154A96"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116A8B41"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山东龙大生猪产品工程技术研究有限公司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3F6CF58F"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571AFC69"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15DB3BF4"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莱阳龙瑞食品有限公司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1697C2DB"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25%</w:t>
            </w:r>
          </w:p>
        </w:tc>
      </w:tr>
      <w:tr w:rsidR="00E32FE0" w:rsidRPr="005B5EC1" w14:paraId="4DEF47AE"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41523278"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泰麟食品（烟台）有限责任公司</w:t>
            </w:r>
          </w:p>
        </w:tc>
        <w:tc>
          <w:tcPr>
            <w:tcW w:w="5103" w:type="dxa"/>
            <w:tcBorders>
              <w:top w:val="single" w:sz="2" w:space="0" w:color="auto"/>
              <w:left w:val="single" w:sz="2" w:space="0" w:color="auto"/>
              <w:bottom w:val="single" w:sz="2" w:space="0" w:color="auto"/>
              <w:right w:val="single" w:sz="2" w:space="0" w:color="auto"/>
            </w:tcBorders>
            <w:vAlign w:val="center"/>
          </w:tcPr>
          <w:p w14:paraId="0966F5C5"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25%</w:t>
            </w:r>
          </w:p>
        </w:tc>
      </w:tr>
      <w:tr w:rsidR="00E32FE0" w:rsidRPr="005B5EC1" w14:paraId="7483FACA"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6F9DB221"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四川龙炸餐饮管理有限公司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0FC7869D"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17224F61"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06391BB6"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青岛中和盛杰食品有限公司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57E8C033"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25%</w:t>
            </w:r>
          </w:p>
        </w:tc>
      </w:tr>
      <w:tr w:rsidR="00E32FE0" w:rsidRPr="005B5EC1" w14:paraId="46B70177"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1A4BF077"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青岛新胜锦食品商贸有限公司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6E54CFDB"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215A4C88"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75C00446"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乳山中和盛杰食品有限公司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6270EDA9"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4C4DCBCE"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2036B29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6D6EBCC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76AFB114"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5F9074AD"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云南福照食品有限公司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43D8FEB1"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629957E8"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4D2931DE"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香港龙大发展有限公司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406AF72D"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企业首</w:t>
            </w:r>
            <w:r w:rsidRPr="005B5EC1">
              <w:rPr>
                <w:rFonts w:ascii="Times New Roman" w:eastAsia="宋体" w:hAnsi="Times New Roman" w:cs="Times New Roman"/>
                <w:sz w:val="18"/>
                <w:szCs w:val="18"/>
              </w:rPr>
              <w:t>200</w:t>
            </w:r>
            <w:r w:rsidRPr="005B5EC1">
              <w:rPr>
                <w:rFonts w:ascii="Times New Roman" w:eastAsia="宋体" w:hAnsi="Times New Roman" w:cs="Times New Roman"/>
                <w:sz w:val="18"/>
                <w:szCs w:val="18"/>
              </w:rPr>
              <w:t>万港元的利润利得税税率</w:t>
            </w:r>
            <w:r w:rsidRPr="005B5EC1">
              <w:rPr>
                <w:rFonts w:ascii="Times New Roman" w:eastAsia="宋体" w:hAnsi="Times New Roman" w:cs="Times New Roman"/>
                <w:sz w:val="18"/>
                <w:szCs w:val="18"/>
              </w:rPr>
              <w:t>8.25%</w:t>
            </w:r>
            <w:r w:rsidRPr="005B5EC1">
              <w:rPr>
                <w:rFonts w:ascii="Times New Roman" w:eastAsia="宋体" w:hAnsi="Times New Roman" w:cs="Times New Roman"/>
                <w:sz w:val="18"/>
                <w:szCs w:val="18"/>
              </w:rPr>
              <w:t>，其后的利润</w:t>
            </w:r>
            <w:r w:rsidRPr="005B5EC1">
              <w:rPr>
                <w:rFonts w:ascii="Times New Roman" w:eastAsia="宋体" w:hAnsi="Times New Roman" w:cs="Times New Roman"/>
                <w:sz w:val="18"/>
                <w:szCs w:val="18"/>
              </w:rPr>
              <w:t>16.5%</w:t>
            </w:r>
          </w:p>
        </w:tc>
      </w:tr>
      <w:tr w:rsidR="00E32FE0" w:rsidRPr="005B5EC1" w14:paraId="2C811850"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2FCE41F7"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山东龙大美食贸易有限公司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16C55CAD"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25%</w:t>
            </w:r>
          </w:p>
        </w:tc>
      </w:tr>
      <w:tr w:rsidR="00E32FE0" w:rsidRPr="005B5EC1" w14:paraId="226E71BE"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6F8E8921"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黑龙江龙大养殖有限公司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4A2FAF8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从事牲畜、家禽的饲养项目所得税，免征企业所得税</w:t>
            </w:r>
          </w:p>
        </w:tc>
      </w:tr>
      <w:tr w:rsidR="00E32FE0" w:rsidRPr="005B5EC1" w14:paraId="59D41545"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020E3E60"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安丘龙大养殖有限公司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777B8CC3"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从事牲畜、家禽的饲养项目所得税，免征企业所得税</w:t>
            </w:r>
          </w:p>
        </w:tc>
      </w:tr>
      <w:tr w:rsidR="00E32FE0" w:rsidRPr="005B5EC1" w14:paraId="5A6F93BF"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3840CF5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莱阳龙大养殖有限公司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295FC75A"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从事牲畜、家禽的饲养项目所得税，免征企业所得税</w:t>
            </w:r>
          </w:p>
        </w:tc>
      </w:tr>
      <w:tr w:rsidR="00E32FE0" w:rsidRPr="005B5EC1" w14:paraId="019FC5F9"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0583EE3E"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莱州龙大养殖有限公司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31576A8F"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从事牲畜、家禽的饲养项目所得税，免征企业所得税</w:t>
            </w:r>
          </w:p>
        </w:tc>
      </w:tr>
      <w:tr w:rsidR="00E32FE0" w:rsidRPr="005B5EC1" w14:paraId="553C0DAB"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697A82A6"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青岛龙大管理咨询服务有限公司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1BF3060E"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69CD841E"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7BE53701"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江苏龙大沁侬食品有限公司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237C120F"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40BEE7B2"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0C52555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湖北龙大肉食品有限公司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4DA15176"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614DDA5E"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76CB6A9B"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74C5BF6E"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15DBC457"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02BF2849"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7A792DB7"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1C3928CE"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2B07F594"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5103" w:type="dxa"/>
            <w:tcBorders>
              <w:top w:val="single" w:sz="2" w:space="0" w:color="auto"/>
              <w:left w:val="single" w:sz="2" w:space="0" w:color="auto"/>
              <w:bottom w:val="single" w:sz="2" w:space="0" w:color="auto"/>
              <w:right w:val="single" w:sz="2" w:space="0" w:color="auto"/>
            </w:tcBorders>
            <w:vAlign w:val="center"/>
          </w:tcPr>
          <w:p w14:paraId="6B64FC8A"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符合海南省自贸区鼓励类行业，主营业务达到百分之六十以上，享受企业所得税</w:t>
            </w:r>
            <w:r w:rsidRPr="005B5EC1">
              <w:rPr>
                <w:rFonts w:ascii="Times New Roman" w:eastAsia="宋体" w:hAnsi="Times New Roman" w:cs="Times New Roman"/>
                <w:sz w:val="18"/>
                <w:szCs w:val="18"/>
              </w:rPr>
              <w:t>15%</w:t>
            </w:r>
            <w:r w:rsidRPr="005B5EC1">
              <w:rPr>
                <w:rFonts w:ascii="Times New Roman" w:eastAsia="宋体" w:hAnsi="Times New Roman" w:cs="Times New Roman"/>
                <w:sz w:val="18"/>
                <w:szCs w:val="18"/>
              </w:rPr>
              <w:t>的优惠税率。</w:t>
            </w:r>
          </w:p>
        </w:tc>
      </w:tr>
      <w:tr w:rsidR="00E32FE0" w:rsidRPr="005B5EC1" w14:paraId="2045A9BA"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57DF2540"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26A4EDDB"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自产肉类初加工产品项目所得，免征企业所得税，深加工产品等其他项目所得税率为</w:t>
            </w:r>
            <w:r w:rsidRPr="005B5EC1">
              <w:rPr>
                <w:rFonts w:ascii="Times New Roman" w:eastAsia="宋体" w:hAnsi="Times New Roman" w:cs="Times New Roman"/>
                <w:sz w:val="18"/>
                <w:szCs w:val="18"/>
              </w:rPr>
              <w:t>25%</w:t>
            </w:r>
          </w:p>
        </w:tc>
      </w:tr>
      <w:tr w:rsidR="00E32FE0" w:rsidRPr="005B5EC1" w14:paraId="0AEC3969"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2B8CFCC5"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山东龙鲜生供应链管理有限公司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5AC9CDE2"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2A58DF39"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2363309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青岛龙大鲜生供应链有限公司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2F4CA4BE"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7205713B"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2E784B26"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四川龙鲜活供应链管理有限公司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57E7C88B"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0CA473F2"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55D5E47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潍坊振祥食品销售有限公司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09AB5339"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r w:rsidR="00E32FE0" w:rsidRPr="005B5EC1" w14:paraId="27E6A577"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1C00D445"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成都龙大科技有限公司（原成都逸享潮代供应链管理有限公司）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66DC2E3C"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25%</w:t>
            </w:r>
          </w:p>
        </w:tc>
      </w:tr>
      <w:tr w:rsidR="00E32FE0" w:rsidRPr="005B5EC1" w14:paraId="3679F844"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56668EC3"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龙大美食</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北京</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食品科技有限公司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377FA216"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25%</w:t>
            </w:r>
          </w:p>
        </w:tc>
      </w:tr>
      <w:tr w:rsidR="00E32FE0" w:rsidRPr="005B5EC1" w14:paraId="41E0FE48"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00360D1E"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龙大美食</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上海</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食品科技有限公司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34A1E528"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25%</w:t>
            </w:r>
          </w:p>
        </w:tc>
      </w:tr>
      <w:tr w:rsidR="00E32FE0" w:rsidRPr="005B5EC1" w14:paraId="68E2AF87" w14:textId="77777777" w:rsidTr="00E07E74">
        <w:trPr>
          <w:trHeight w:val="240"/>
        </w:trPr>
        <w:tc>
          <w:tcPr>
            <w:tcW w:w="4536" w:type="dxa"/>
            <w:tcBorders>
              <w:top w:val="single" w:sz="2" w:space="0" w:color="auto"/>
              <w:left w:val="single" w:sz="2" w:space="0" w:color="auto"/>
              <w:bottom w:val="single" w:sz="2" w:space="0" w:color="auto"/>
              <w:right w:val="single" w:sz="2" w:space="0" w:color="auto"/>
            </w:tcBorders>
            <w:vAlign w:val="center"/>
          </w:tcPr>
          <w:p w14:paraId="6F87F4B5"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巴中龙大肉食品贸易有限公司</w:t>
            </w:r>
          </w:p>
        </w:tc>
        <w:tc>
          <w:tcPr>
            <w:tcW w:w="5103" w:type="dxa"/>
            <w:tcBorders>
              <w:top w:val="single" w:sz="2" w:space="0" w:color="auto"/>
              <w:left w:val="single" w:sz="2" w:space="0" w:color="auto"/>
              <w:bottom w:val="single" w:sz="2" w:space="0" w:color="auto"/>
              <w:right w:val="single" w:sz="2" w:space="0" w:color="auto"/>
            </w:tcBorders>
            <w:vAlign w:val="center"/>
          </w:tcPr>
          <w:p w14:paraId="4DC3BAD0" w14:textId="77777777" w:rsidR="00E32FE0" w:rsidRPr="005B5EC1" w:rsidRDefault="00000000" w:rsidP="00E07E7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小型微利企业所得税率</w:t>
            </w:r>
          </w:p>
        </w:tc>
      </w:tr>
    </w:tbl>
    <w:p w14:paraId="5B74B272" w14:textId="77777777" w:rsidR="00E32FE0" w:rsidRPr="005B5EC1" w:rsidRDefault="00000000">
      <w:pPr>
        <w:pStyle w:val="3"/>
        <w:spacing w:line="280" w:lineRule="exact"/>
        <w:jc w:val="left"/>
        <w:rPr>
          <w:rFonts w:ascii="Times New Roman" w:hAnsi="Times New Roman" w:cs="Times New Roman"/>
          <w:b/>
          <w:bCs/>
        </w:rPr>
      </w:pPr>
      <w:bookmarkStart w:id="239" w:name="_Toc989124"/>
      <w:r w:rsidRPr="005B5EC1">
        <w:rPr>
          <w:rFonts w:ascii="Times New Roman" w:hAnsi="Times New Roman" w:cs="Times New Roman"/>
          <w:b/>
          <w:bCs/>
        </w:rPr>
        <w:t>2</w:t>
      </w:r>
      <w:r w:rsidRPr="005B5EC1">
        <w:rPr>
          <w:rFonts w:ascii="Times New Roman" w:hAnsi="Times New Roman" w:cs="Times New Roman"/>
          <w:b/>
          <w:bCs/>
        </w:rPr>
        <w:t>、税收优惠</w:t>
      </w:r>
      <w:bookmarkEnd w:id="239"/>
    </w:p>
    <w:p w14:paraId="26EEA88A"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z w:val="21"/>
          <w:szCs w:val="21"/>
        </w:rPr>
      </w:pP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1</w:t>
      </w:r>
      <w:r w:rsidRPr="005B5EC1">
        <w:rPr>
          <w:rFonts w:ascii="Times New Roman" w:hAnsi="Times New Roman" w:cs="Times New Roman"/>
          <w:spacing w:val="-1"/>
          <w:sz w:val="18"/>
          <w:szCs w:val="18"/>
        </w:rPr>
        <w:t>）企业所得税优惠</w:t>
      </w:r>
    </w:p>
    <w:p w14:paraId="2CC489E7"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z w:val="21"/>
          <w:szCs w:val="21"/>
        </w:rPr>
      </w:pPr>
      <w:r w:rsidRPr="005B5EC1">
        <w:rPr>
          <w:rFonts w:ascii="Cambria Math" w:hAnsi="Cambria Math" w:cs="Cambria Math"/>
          <w:spacing w:val="-1"/>
          <w:sz w:val="18"/>
          <w:szCs w:val="18"/>
        </w:rPr>
        <w:t>①</w:t>
      </w:r>
      <w:r w:rsidRPr="005B5EC1">
        <w:rPr>
          <w:rFonts w:ascii="Times New Roman" w:hAnsi="Times New Roman" w:cs="Times New Roman"/>
          <w:spacing w:val="-1"/>
          <w:sz w:val="18"/>
          <w:szCs w:val="18"/>
        </w:rPr>
        <w:t>初级农产品加工</w:t>
      </w:r>
    </w:p>
    <w:p w14:paraId="0AEB3F9C" w14:textId="77777777" w:rsidR="00AF139E" w:rsidRPr="005B5EC1" w:rsidRDefault="00000000" w:rsidP="00280E85">
      <w:pPr>
        <w:pStyle w:val="a3"/>
        <w:spacing w:before="0" w:beforeAutospacing="0" w:after="0" w:afterAutospacing="0" w:line="276" w:lineRule="auto"/>
        <w:ind w:left="35" w:right="29" w:firstLineChars="200" w:firstLine="356"/>
        <w:jc w:val="both"/>
        <w:divId w:val="90123575"/>
        <w:rPr>
          <w:rFonts w:ascii="Times New Roman" w:hAnsi="Times New Roman" w:cs="Times New Roman"/>
          <w:sz w:val="21"/>
          <w:szCs w:val="21"/>
        </w:rPr>
      </w:pPr>
      <w:r w:rsidRPr="005B5EC1">
        <w:rPr>
          <w:rFonts w:ascii="Times New Roman" w:hAnsi="Times New Roman" w:cs="Times New Roman"/>
          <w:spacing w:val="-2"/>
          <w:sz w:val="18"/>
          <w:szCs w:val="18"/>
        </w:rPr>
        <w:t>根据《中华人民共和国企业所得税法》及其实施条例、</w:t>
      </w:r>
      <w:r w:rsidRPr="005B5EC1">
        <w:rPr>
          <w:rFonts w:ascii="Times New Roman" w:hAnsi="Times New Roman" w:cs="Times New Roman"/>
          <w:spacing w:val="-2"/>
          <w:sz w:val="18"/>
          <w:szCs w:val="18"/>
        </w:rPr>
        <w:t>2008</w:t>
      </w:r>
      <w:r w:rsidRPr="005B5EC1">
        <w:rPr>
          <w:rFonts w:ascii="Times New Roman" w:hAnsi="Times New Roman" w:cs="Times New Roman"/>
          <w:spacing w:val="-2"/>
          <w:sz w:val="18"/>
          <w:szCs w:val="18"/>
        </w:rPr>
        <w:t>年</w:t>
      </w:r>
      <w:r w:rsidRPr="005B5EC1">
        <w:rPr>
          <w:rFonts w:ascii="Times New Roman" w:hAnsi="Times New Roman" w:cs="Times New Roman"/>
          <w:spacing w:val="-2"/>
          <w:sz w:val="18"/>
          <w:szCs w:val="18"/>
        </w:rPr>
        <w:t>11</w:t>
      </w:r>
      <w:r w:rsidRPr="005B5EC1">
        <w:rPr>
          <w:rFonts w:ascii="Times New Roman" w:hAnsi="Times New Roman" w:cs="Times New Roman"/>
          <w:spacing w:val="-2"/>
          <w:sz w:val="18"/>
          <w:szCs w:val="18"/>
        </w:rPr>
        <w:t>月</w:t>
      </w:r>
      <w:r w:rsidRPr="005B5EC1">
        <w:rPr>
          <w:rFonts w:ascii="Times New Roman" w:hAnsi="Times New Roman" w:cs="Times New Roman"/>
          <w:spacing w:val="-2"/>
          <w:sz w:val="18"/>
          <w:szCs w:val="18"/>
        </w:rPr>
        <w:t>20</w:t>
      </w:r>
      <w:r w:rsidRPr="005B5EC1">
        <w:rPr>
          <w:rFonts w:ascii="Times New Roman" w:hAnsi="Times New Roman" w:cs="Times New Roman"/>
          <w:spacing w:val="-2"/>
          <w:sz w:val="18"/>
          <w:szCs w:val="18"/>
        </w:rPr>
        <w:t>日《财政部国家税务总局关于发布享受企业所</w:t>
      </w:r>
      <w:r w:rsidRPr="005B5EC1">
        <w:rPr>
          <w:rFonts w:ascii="Times New Roman" w:hAnsi="Times New Roman" w:cs="Times New Roman"/>
          <w:spacing w:val="2"/>
          <w:sz w:val="18"/>
          <w:szCs w:val="18"/>
        </w:rPr>
        <w:t>得税优惠政策的农产品初加工范围（试行）的通知》（财税</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2008</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149</w:t>
      </w:r>
      <w:r w:rsidRPr="005B5EC1">
        <w:rPr>
          <w:rFonts w:ascii="Times New Roman" w:hAnsi="Times New Roman" w:cs="Times New Roman"/>
          <w:spacing w:val="1"/>
          <w:sz w:val="18"/>
          <w:szCs w:val="18"/>
        </w:rPr>
        <w:t>号</w:t>
      </w:r>
      <w:r w:rsidRPr="005B5EC1">
        <w:rPr>
          <w:rFonts w:ascii="Times New Roman" w:hAnsi="Times New Roman" w:cs="Times New Roman"/>
          <w:spacing w:val="6"/>
          <w:sz w:val="18"/>
          <w:szCs w:val="18"/>
        </w:rPr>
        <w:t>），</w:t>
      </w:r>
      <w:r w:rsidRPr="005B5EC1">
        <w:rPr>
          <w:rFonts w:ascii="Times New Roman" w:hAnsi="Times New Roman" w:cs="Times New Roman"/>
          <w:spacing w:val="1"/>
          <w:sz w:val="18"/>
          <w:szCs w:val="18"/>
        </w:rPr>
        <w:t>报告期内本公司及下属子公司从事肉类初</w:t>
      </w:r>
      <w:r w:rsidRPr="005B5EC1">
        <w:rPr>
          <w:rFonts w:ascii="Times New Roman" w:hAnsi="Times New Roman" w:cs="Times New Roman"/>
          <w:spacing w:val="-1"/>
          <w:sz w:val="18"/>
          <w:szCs w:val="18"/>
        </w:rPr>
        <w:t>加工（冷鲜肉、冷冻肉）所实现的利润，免</w:t>
      </w:r>
      <w:r w:rsidRPr="005B5EC1">
        <w:rPr>
          <w:rFonts w:ascii="Times New Roman" w:hAnsi="Times New Roman" w:cs="Times New Roman"/>
          <w:spacing w:val="-2"/>
          <w:sz w:val="18"/>
          <w:szCs w:val="18"/>
        </w:rPr>
        <w:t>征企业所得税。</w:t>
      </w:r>
    </w:p>
    <w:p w14:paraId="7DF3EB3B" w14:textId="77777777" w:rsidR="00AF139E" w:rsidRPr="005B5EC1" w:rsidRDefault="00000000" w:rsidP="00280E85">
      <w:pPr>
        <w:pStyle w:val="a3"/>
        <w:spacing w:before="0" w:beforeAutospacing="0" w:after="0" w:afterAutospacing="0" w:line="276" w:lineRule="auto"/>
        <w:ind w:left="394" w:firstLineChars="200" w:firstLine="358"/>
        <w:jc w:val="both"/>
        <w:divId w:val="90123575"/>
        <w:rPr>
          <w:rFonts w:ascii="Times New Roman" w:hAnsi="Times New Roman" w:cs="Times New Roman"/>
          <w:sz w:val="21"/>
          <w:szCs w:val="21"/>
        </w:rPr>
      </w:pPr>
      <w:r w:rsidRPr="005B5EC1">
        <w:rPr>
          <w:rFonts w:ascii="Cambria Math" w:hAnsi="Cambria Math" w:cs="Cambria Math"/>
          <w:spacing w:val="-1"/>
          <w:sz w:val="18"/>
          <w:szCs w:val="18"/>
        </w:rPr>
        <w:t>②</w:t>
      </w:r>
      <w:r w:rsidRPr="005B5EC1">
        <w:rPr>
          <w:rFonts w:ascii="Times New Roman" w:hAnsi="Times New Roman" w:cs="Times New Roman"/>
          <w:spacing w:val="-1"/>
          <w:sz w:val="18"/>
          <w:szCs w:val="18"/>
        </w:rPr>
        <w:t>牲畜、家禽的饲养</w:t>
      </w:r>
    </w:p>
    <w:p w14:paraId="1194330B" w14:textId="77777777" w:rsidR="00AF139E" w:rsidRPr="005B5EC1" w:rsidRDefault="00000000" w:rsidP="00280E85">
      <w:pPr>
        <w:pStyle w:val="a3"/>
        <w:spacing w:before="0" w:beforeAutospacing="0" w:after="0" w:afterAutospacing="0" w:line="276" w:lineRule="auto"/>
        <w:ind w:left="70" w:right="25" w:firstLineChars="200" w:firstLine="364"/>
        <w:jc w:val="both"/>
        <w:divId w:val="90123575"/>
        <w:rPr>
          <w:rFonts w:ascii="Times New Roman" w:hAnsi="Times New Roman" w:cs="Times New Roman"/>
          <w:sz w:val="21"/>
          <w:szCs w:val="21"/>
        </w:rPr>
      </w:pPr>
      <w:r w:rsidRPr="005B5EC1">
        <w:rPr>
          <w:rFonts w:ascii="Times New Roman" w:hAnsi="Times New Roman" w:cs="Times New Roman"/>
          <w:spacing w:val="2"/>
          <w:sz w:val="18"/>
          <w:szCs w:val="18"/>
        </w:rPr>
        <w:lastRenderedPageBreak/>
        <w:t>根据《中华人民共和国企业所得税法》及其实施条例第八十六条的规定，报告期内本公司下属子</w:t>
      </w:r>
      <w:r w:rsidRPr="005B5EC1">
        <w:rPr>
          <w:rFonts w:ascii="Times New Roman" w:hAnsi="Times New Roman" w:cs="Times New Roman"/>
          <w:spacing w:val="1"/>
          <w:sz w:val="18"/>
          <w:szCs w:val="18"/>
        </w:rPr>
        <w:t>公司从事生猪饲养项</w:t>
      </w:r>
      <w:r w:rsidRPr="005B5EC1">
        <w:rPr>
          <w:rFonts w:ascii="Times New Roman" w:hAnsi="Times New Roman" w:cs="Times New Roman"/>
          <w:spacing w:val="-5"/>
          <w:sz w:val="18"/>
          <w:szCs w:val="18"/>
        </w:rPr>
        <w:t>目的所得，免征企业所得税。</w:t>
      </w:r>
    </w:p>
    <w:p w14:paraId="7D76E32A" w14:textId="77777777" w:rsidR="00AF139E" w:rsidRPr="005B5EC1" w:rsidRDefault="00000000" w:rsidP="00280E85">
      <w:pPr>
        <w:pStyle w:val="a3"/>
        <w:spacing w:before="0" w:beforeAutospacing="0" w:after="0" w:afterAutospacing="0" w:line="276" w:lineRule="auto"/>
        <w:ind w:left="394" w:firstLineChars="200" w:firstLine="358"/>
        <w:jc w:val="both"/>
        <w:divId w:val="90123575"/>
        <w:rPr>
          <w:rFonts w:ascii="Times New Roman" w:hAnsi="Times New Roman" w:cs="Times New Roman"/>
          <w:sz w:val="21"/>
          <w:szCs w:val="21"/>
        </w:rPr>
      </w:pPr>
      <w:r w:rsidRPr="005B5EC1">
        <w:rPr>
          <w:rFonts w:ascii="Cambria Math" w:hAnsi="Cambria Math" w:cs="Cambria Math"/>
          <w:spacing w:val="-1"/>
          <w:sz w:val="18"/>
          <w:szCs w:val="18"/>
        </w:rPr>
        <w:t>③</w:t>
      </w:r>
      <w:r w:rsidRPr="005B5EC1">
        <w:rPr>
          <w:rFonts w:ascii="Times New Roman" w:hAnsi="Times New Roman" w:cs="Times New Roman"/>
          <w:spacing w:val="-1"/>
          <w:sz w:val="18"/>
          <w:szCs w:val="18"/>
        </w:rPr>
        <w:t>小微企业</w:t>
      </w:r>
    </w:p>
    <w:p w14:paraId="54F5CEF9" w14:textId="77777777" w:rsidR="00AF139E" w:rsidRPr="005B5EC1" w:rsidRDefault="00000000" w:rsidP="00280E85">
      <w:pPr>
        <w:pStyle w:val="a3"/>
        <w:spacing w:before="0" w:beforeAutospacing="0" w:after="0" w:afterAutospacing="0" w:line="276" w:lineRule="auto"/>
        <w:ind w:left="32" w:right="26" w:firstLineChars="200" w:firstLine="368"/>
        <w:jc w:val="both"/>
        <w:divId w:val="90123575"/>
        <w:rPr>
          <w:rFonts w:ascii="Times New Roman" w:hAnsi="Times New Roman" w:cs="Times New Roman"/>
          <w:sz w:val="21"/>
          <w:szCs w:val="21"/>
        </w:rPr>
      </w:pPr>
      <w:r w:rsidRPr="005B5EC1">
        <w:rPr>
          <w:rFonts w:ascii="Times New Roman" w:hAnsi="Times New Roman" w:cs="Times New Roman"/>
          <w:spacing w:val="4"/>
          <w:sz w:val="18"/>
          <w:szCs w:val="18"/>
        </w:rPr>
        <w:t>根据《财政部税务总局关于进一步支持小微企业和个体工商户发展有关税费政策的公告》</w:t>
      </w:r>
      <w:r w:rsidRPr="005B5EC1">
        <w:rPr>
          <w:rFonts w:ascii="Times New Roman" w:hAnsi="Times New Roman" w:cs="Times New Roman"/>
          <w:spacing w:val="3"/>
          <w:sz w:val="18"/>
          <w:szCs w:val="18"/>
        </w:rPr>
        <w:t>（财税</w:t>
      </w:r>
      <w:r w:rsidRPr="005B5EC1">
        <w:rPr>
          <w:rFonts w:ascii="Times New Roman" w:hAnsi="Times New Roman" w:cs="Times New Roman"/>
          <w:spacing w:val="3"/>
          <w:sz w:val="18"/>
          <w:szCs w:val="18"/>
        </w:rPr>
        <w:t>[2023]12</w:t>
      </w:r>
      <w:r w:rsidRPr="005B5EC1">
        <w:rPr>
          <w:rFonts w:ascii="Times New Roman" w:hAnsi="Times New Roman" w:cs="Times New Roman"/>
          <w:spacing w:val="3"/>
          <w:sz w:val="18"/>
          <w:szCs w:val="18"/>
        </w:rPr>
        <w:t>号</w:t>
      </w:r>
      <w:r w:rsidRPr="005B5EC1">
        <w:rPr>
          <w:rFonts w:ascii="Times New Roman" w:hAnsi="Times New Roman" w:cs="Times New Roman"/>
          <w:spacing w:val="5"/>
          <w:sz w:val="18"/>
          <w:szCs w:val="18"/>
        </w:rPr>
        <w:t>），</w:t>
      </w:r>
      <w:r w:rsidRPr="005B5EC1">
        <w:rPr>
          <w:rFonts w:ascii="Times New Roman" w:hAnsi="Times New Roman" w:cs="Times New Roman"/>
          <w:spacing w:val="3"/>
          <w:sz w:val="18"/>
          <w:szCs w:val="18"/>
        </w:rPr>
        <w:t>自</w:t>
      </w:r>
      <w:r w:rsidRPr="005B5EC1">
        <w:rPr>
          <w:rFonts w:ascii="Times New Roman" w:hAnsi="Times New Roman" w:cs="Times New Roman"/>
          <w:spacing w:val="-3"/>
          <w:sz w:val="18"/>
          <w:szCs w:val="18"/>
        </w:rPr>
        <w:t>2023</w:t>
      </w:r>
      <w:r w:rsidRPr="005B5EC1">
        <w:rPr>
          <w:rFonts w:ascii="Times New Roman" w:hAnsi="Times New Roman" w:cs="Times New Roman"/>
          <w:spacing w:val="-3"/>
          <w:sz w:val="18"/>
          <w:szCs w:val="18"/>
        </w:rPr>
        <w:t>年</w:t>
      </w:r>
      <w:r w:rsidRPr="005B5EC1">
        <w:rPr>
          <w:rFonts w:ascii="Times New Roman" w:hAnsi="Times New Roman" w:cs="Times New Roman"/>
          <w:spacing w:val="-3"/>
          <w:sz w:val="18"/>
          <w:szCs w:val="18"/>
        </w:rPr>
        <w:t>1</w:t>
      </w:r>
      <w:r w:rsidRPr="005B5EC1">
        <w:rPr>
          <w:rFonts w:ascii="Times New Roman" w:hAnsi="Times New Roman" w:cs="Times New Roman"/>
          <w:spacing w:val="-3"/>
          <w:sz w:val="18"/>
          <w:szCs w:val="18"/>
        </w:rPr>
        <w:t>月</w:t>
      </w:r>
      <w:r w:rsidRPr="005B5EC1">
        <w:rPr>
          <w:rFonts w:ascii="Times New Roman" w:hAnsi="Times New Roman" w:cs="Times New Roman"/>
          <w:spacing w:val="-3"/>
          <w:sz w:val="18"/>
          <w:szCs w:val="18"/>
        </w:rPr>
        <w:t>1</w:t>
      </w:r>
      <w:r w:rsidRPr="005B5EC1">
        <w:rPr>
          <w:rFonts w:ascii="Times New Roman" w:hAnsi="Times New Roman" w:cs="Times New Roman"/>
          <w:spacing w:val="-3"/>
          <w:sz w:val="18"/>
          <w:szCs w:val="18"/>
        </w:rPr>
        <w:t>日至</w:t>
      </w:r>
      <w:r w:rsidRPr="005B5EC1">
        <w:rPr>
          <w:rFonts w:ascii="Times New Roman" w:hAnsi="Times New Roman" w:cs="Times New Roman"/>
          <w:spacing w:val="-3"/>
          <w:sz w:val="18"/>
          <w:szCs w:val="18"/>
        </w:rPr>
        <w:t>2027</w:t>
      </w:r>
      <w:r w:rsidRPr="005B5EC1">
        <w:rPr>
          <w:rFonts w:ascii="Times New Roman" w:hAnsi="Times New Roman" w:cs="Times New Roman"/>
          <w:spacing w:val="-3"/>
          <w:sz w:val="18"/>
          <w:szCs w:val="18"/>
        </w:rPr>
        <w:t>年</w:t>
      </w:r>
      <w:r w:rsidRPr="005B5EC1">
        <w:rPr>
          <w:rFonts w:ascii="Times New Roman" w:hAnsi="Times New Roman" w:cs="Times New Roman"/>
          <w:spacing w:val="-3"/>
          <w:sz w:val="18"/>
          <w:szCs w:val="18"/>
        </w:rPr>
        <w:t>12</w:t>
      </w:r>
      <w:r w:rsidRPr="005B5EC1">
        <w:rPr>
          <w:rFonts w:ascii="Times New Roman" w:hAnsi="Times New Roman" w:cs="Times New Roman"/>
          <w:spacing w:val="-3"/>
          <w:sz w:val="18"/>
          <w:szCs w:val="18"/>
        </w:rPr>
        <w:t>月</w:t>
      </w:r>
      <w:r w:rsidRPr="005B5EC1">
        <w:rPr>
          <w:rFonts w:ascii="Times New Roman" w:hAnsi="Times New Roman" w:cs="Times New Roman"/>
          <w:spacing w:val="-3"/>
          <w:sz w:val="18"/>
          <w:szCs w:val="18"/>
        </w:rPr>
        <w:t>31</w:t>
      </w:r>
      <w:r w:rsidRPr="005B5EC1">
        <w:rPr>
          <w:rFonts w:ascii="Times New Roman" w:hAnsi="Times New Roman" w:cs="Times New Roman"/>
          <w:spacing w:val="-3"/>
          <w:sz w:val="18"/>
          <w:szCs w:val="18"/>
        </w:rPr>
        <w:t>日，对小型微利企业减按</w:t>
      </w:r>
      <w:r w:rsidRPr="005B5EC1">
        <w:rPr>
          <w:rFonts w:ascii="Times New Roman" w:hAnsi="Times New Roman" w:cs="Times New Roman"/>
          <w:spacing w:val="-3"/>
          <w:sz w:val="18"/>
          <w:szCs w:val="18"/>
        </w:rPr>
        <w:t>2</w:t>
      </w:r>
      <w:r w:rsidRPr="005B5EC1">
        <w:rPr>
          <w:rFonts w:ascii="Times New Roman" w:hAnsi="Times New Roman" w:cs="Times New Roman"/>
          <w:spacing w:val="-4"/>
          <w:sz w:val="18"/>
          <w:szCs w:val="18"/>
        </w:rPr>
        <w:t>5%</w:t>
      </w:r>
      <w:r w:rsidRPr="005B5EC1">
        <w:rPr>
          <w:rFonts w:ascii="Times New Roman" w:hAnsi="Times New Roman" w:cs="Times New Roman"/>
          <w:spacing w:val="-4"/>
          <w:sz w:val="18"/>
          <w:szCs w:val="18"/>
        </w:rPr>
        <w:t>计算应纳税所得额，按</w:t>
      </w:r>
      <w:r w:rsidRPr="005B5EC1">
        <w:rPr>
          <w:rFonts w:ascii="Times New Roman" w:hAnsi="Times New Roman" w:cs="Times New Roman"/>
          <w:spacing w:val="-4"/>
          <w:sz w:val="18"/>
          <w:szCs w:val="18"/>
        </w:rPr>
        <w:t>20%</w:t>
      </w:r>
      <w:r w:rsidRPr="005B5EC1">
        <w:rPr>
          <w:rFonts w:ascii="Times New Roman" w:hAnsi="Times New Roman" w:cs="Times New Roman"/>
          <w:spacing w:val="-4"/>
          <w:sz w:val="18"/>
          <w:szCs w:val="18"/>
        </w:rPr>
        <w:t>的税率缴纳企业所得税政策。</w:t>
      </w:r>
    </w:p>
    <w:p w14:paraId="75120517"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Cambria Math" w:hAnsi="Cambria Math" w:cs="Cambria Math"/>
          <w:spacing w:val="-1"/>
          <w:sz w:val="18"/>
          <w:szCs w:val="18"/>
        </w:rPr>
        <w:t>④</w:t>
      </w:r>
      <w:r w:rsidRPr="005B5EC1">
        <w:rPr>
          <w:rFonts w:ascii="Times New Roman" w:hAnsi="Times New Roman" w:cs="Times New Roman"/>
          <w:spacing w:val="-1"/>
          <w:sz w:val="18"/>
          <w:szCs w:val="18"/>
        </w:rPr>
        <w:t>高新技术企业</w:t>
      </w:r>
    </w:p>
    <w:p w14:paraId="4F5A2D01"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Times New Roman" w:hAnsi="Times New Roman" w:cs="Times New Roman"/>
          <w:spacing w:val="-1"/>
          <w:sz w:val="18"/>
          <w:szCs w:val="18"/>
        </w:rPr>
        <w:t>2022</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日本公司之子公司烟台杰科检测服务有限公司取得由山东省科学技术厅、山东省财政厅、国家税务总局山东省税务局批准的</w:t>
      </w:r>
      <w:r w:rsidRPr="005B5EC1">
        <w:rPr>
          <w:rFonts w:ascii="Times New Roman" w:hAnsi="Times New Roman" w:cs="Times New Roman"/>
          <w:spacing w:val="-1"/>
          <w:sz w:val="18"/>
          <w:szCs w:val="18"/>
        </w:rPr>
        <w:t>“GR202237001965”</w:t>
      </w:r>
      <w:r w:rsidRPr="005B5EC1">
        <w:rPr>
          <w:rFonts w:ascii="Times New Roman" w:hAnsi="Times New Roman" w:cs="Times New Roman"/>
          <w:spacing w:val="-1"/>
          <w:sz w:val="18"/>
          <w:szCs w:val="18"/>
        </w:rPr>
        <w:t>号《高新技术企业证书》，有效期为三年，</w:t>
      </w:r>
      <w:r w:rsidRPr="005B5EC1">
        <w:rPr>
          <w:rFonts w:ascii="Times New Roman" w:hAnsi="Times New Roman" w:cs="Times New Roman"/>
          <w:spacing w:val="-1"/>
          <w:sz w:val="18"/>
          <w:szCs w:val="18"/>
        </w:rPr>
        <w:t>2022</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日至</w:t>
      </w:r>
      <w:r w:rsidRPr="005B5EC1">
        <w:rPr>
          <w:rFonts w:ascii="Times New Roman" w:hAnsi="Times New Roman" w:cs="Times New Roman"/>
          <w:spacing w:val="-1"/>
          <w:sz w:val="18"/>
          <w:szCs w:val="18"/>
        </w:rPr>
        <w:t>2025</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11</w:t>
      </w:r>
      <w:r w:rsidRPr="005B5EC1">
        <w:rPr>
          <w:rFonts w:ascii="Times New Roman" w:hAnsi="Times New Roman" w:cs="Times New Roman"/>
          <w:spacing w:val="-1"/>
          <w:sz w:val="18"/>
          <w:szCs w:val="18"/>
        </w:rPr>
        <w:t>日烟台杰科检测服务有限公司适用的所得税率为</w:t>
      </w:r>
      <w:r w:rsidRPr="005B5EC1">
        <w:rPr>
          <w:rFonts w:ascii="Times New Roman" w:hAnsi="Times New Roman" w:cs="Times New Roman"/>
          <w:spacing w:val="-1"/>
          <w:sz w:val="18"/>
          <w:szCs w:val="18"/>
        </w:rPr>
        <w:t>15%</w:t>
      </w:r>
      <w:r w:rsidRPr="005B5EC1">
        <w:rPr>
          <w:rFonts w:ascii="Times New Roman" w:hAnsi="Times New Roman" w:cs="Times New Roman"/>
          <w:spacing w:val="-1"/>
          <w:sz w:val="18"/>
          <w:szCs w:val="18"/>
        </w:rPr>
        <w:t>。</w:t>
      </w:r>
    </w:p>
    <w:p w14:paraId="517D5DB2"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Times New Roman" w:hAnsi="Times New Roman" w:cs="Times New Roman"/>
          <w:spacing w:val="-1"/>
          <w:sz w:val="18"/>
          <w:szCs w:val="18"/>
        </w:rPr>
        <w:t>2024</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7</w:t>
      </w:r>
      <w:r w:rsidRPr="005B5EC1">
        <w:rPr>
          <w:rFonts w:ascii="Times New Roman" w:hAnsi="Times New Roman" w:cs="Times New Roman"/>
          <w:spacing w:val="-1"/>
          <w:sz w:val="18"/>
          <w:szCs w:val="18"/>
        </w:rPr>
        <w:t>日本公司之子公司山东龙大生猪产品工程技术研究有限公司取得由山东省科学技术厅、山东省财政厅、国家税务总局山东省税务局批准的</w:t>
      </w:r>
      <w:r w:rsidRPr="005B5EC1">
        <w:rPr>
          <w:rFonts w:ascii="Times New Roman" w:hAnsi="Times New Roman" w:cs="Times New Roman"/>
          <w:spacing w:val="-1"/>
          <w:sz w:val="18"/>
          <w:szCs w:val="18"/>
        </w:rPr>
        <w:t>“GR202437005684”</w:t>
      </w:r>
      <w:r w:rsidRPr="005B5EC1">
        <w:rPr>
          <w:rFonts w:ascii="Times New Roman" w:hAnsi="Times New Roman" w:cs="Times New Roman"/>
          <w:spacing w:val="-1"/>
          <w:sz w:val="18"/>
          <w:szCs w:val="18"/>
        </w:rPr>
        <w:t>号《高新技术企业证书》，有效期为三年，</w:t>
      </w:r>
      <w:r w:rsidRPr="005B5EC1">
        <w:rPr>
          <w:rFonts w:ascii="Times New Roman" w:hAnsi="Times New Roman" w:cs="Times New Roman"/>
          <w:spacing w:val="-1"/>
          <w:sz w:val="18"/>
          <w:szCs w:val="18"/>
        </w:rPr>
        <w:t>2024</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7</w:t>
      </w:r>
      <w:r w:rsidRPr="005B5EC1">
        <w:rPr>
          <w:rFonts w:ascii="Times New Roman" w:hAnsi="Times New Roman" w:cs="Times New Roman"/>
          <w:spacing w:val="-1"/>
          <w:sz w:val="18"/>
          <w:szCs w:val="18"/>
        </w:rPr>
        <w:t>日至</w:t>
      </w:r>
      <w:r w:rsidRPr="005B5EC1">
        <w:rPr>
          <w:rFonts w:ascii="Times New Roman" w:hAnsi="Times New Roman" w:cs="Times New Roman"/>
          <w:spacing w:val="-1"/>
          <w:sz w:val="18"/>
          <w:szCs w:val="18"/>
        </w:rPr>
        <w:t>2027</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6</w:t>
      </w:r>
      <w:r w:rsidRPr="005B5EC1">
        <w:rPr>
          <w:rFonts w:ascii="Times New Roman" w:hAnsi="Times New Roman" w:cs="Times New Roman"/>
          <w:spacing w:val="-1"/>
          <w:sz w:val="18"/>
          <w:szCs w:val="18"/>
        </w:rPr>
        <w:t>日山东龙大生猪产品工程技术研究有限公司适用的所得税率为</w:t>
      </w:r>
      <w:r w:rsidRPr="005B5EC1">
        <w:rPr>
          <w:rFonts w:ascii="Times New Roman" w:hAnsi="Times New Roman" w:cs="Times New Roman"/>
          <w:spacing w:val="-1"/>
          <w:sz w:val="18"/>
          <w:szCs w:val="18"/>
        </w:rPr>
        <w:t>15%</w:t>
      </w:r>
      <w:r w:rsidRPr="005B5EC1">
        <w:rPr>
          <w:rFonts w:ascii="Times New Roman" w:hAnsi="Times New Roman" w:cs="Times New Roman"/>
          <w:spacing w:val="-1"/>
          <w:sz w:val="18"/>
          <w:szCs w:val="18"/>
        </w:rPr>
        <w:t>。</w:t>
      </w:r>
    </w:p>
    <w:p w14:paraId="518069CD"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Cambria Math" w:hAnsi="Cambria Math" w:cs="Cambria Math"/>
          <w:spacing w:val="-1"/>
          <w:sz w:val="18"/>
          <w:szCs w:val="18"/>
        </w:rPr>
        <w:t>⑤</w:t>
      </w:r>
      <w:r w:rsidRPr="005B5EC1">
        <w:rPr>
          <w:rFonts w:ascii="Times New Roman" w:hAnsi="Times New Roman" w:cs="Times New Roman"/>
          <w:spacing w:val="-1"/>
          <w:sz w:val="18"/>
          <w:szCs w:val="18"/>
        </w:rPr>
        <w:t>海南自由贸易港</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海南自贸港</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企业所得税优惠政策</w:t>
      </w:r>
    </w:p>
    <w:p w14:paraId="4667CC24"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Times New Roman" w:hAnsi="Times New Roman" w:cs="Times New Roman"/>
          <w:spacing w:val="-1"/>
          <w:sz w:val="18"/>
          <w:szCs w:val="18"/>
        </w:rPr>
        <w:t>根据《财政部税务总局关于海南自由贸易港企业所得税优惠政策的通知》</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财税〔</w:t>
      </w:r>
      <w:r w:rsidRPr="005B5EC1">
        <w:rPr>
          <w:rFonts w:ascii="Times New Roman" w:hAnsi="Times New Roman" w:cs="Times New Roman"/>
          <w:spacing w:val="-1"/>
          <w:sz w:val="18"/>
          <w:szCs w:val="18"/>
        </w:rPr>
        <w:t>2020</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31</w:t>
      </w:r>
      <w:r w:rsidRPr="005B5EC1">
        <w:rPr>
          <w:rFonts w:ascii="Times New Roman" w:hAnsi="Times New Roman" w:cs="Times New Roman"/>
          <w:spacing w:val="-1"/>
          <w:sz w:val="18"/>
          <w:szCs w:val="18"/>
        </w:rPr>
        <w:t>号</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，自</w:t>
      </w:r>
      <w:r w:rsidRPr="005B5EC1">
        <w:rPr>
          <w:rFonts w:ascii="Times New Roman" w:hAnsi="Times New Roman" w:cs="Times New Roman"/>
          <w:spacing w:val="-1"/>
          <w:sz w:val="18"/>
          <w:szCs w:val="18"/>
        </w:rPr>
        <w:t>2020</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1</w:t>
      </w:r>
      <w:r w:rsidRPr="005B5EC1">
        <w:rPr>
          <w:rFonts w:ascii="Times New Roman" w:hAnsi="Times New Roman" w:cs="Times New Roman"/>
          <w:spacing w:val="-1"/>
          <w:sz w:val="18"/>
          <w:szCs w:val="18"/>
        </w:rPr>
        <w:t>日至</w:t>
      </w:r>
      <w:r w:rsidRPr="005B5EC1">
        <w:rPr>
          <w:rFonts w:ascii="Times New Roman" w:hAnsi="Times New Roman" w:cs="Times New Roman"/>
          <w:spacing w:val="-1"/>
          <w:sz w:val="18"/>
          <w:szCs w:val="18"/>
        </w:rPr>
        <w:t>2024</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31</w:t>
      </w:r>
      <w:r w:rsidRPr="005B5EC1">
        <w:rPr>
          <w:rFonts w:ascii="Times New Roman" w:hAnsi="Times New Roman" w:cs="Times New Roman"/>
          <w:spacing w:val="-1"/>
          <w:sz w:val="18"/>
          <w:szCs w:val="18"/>
        </w:rPr>
        <w:t>日，对注册在海南自贸港并实质性运营的鼓励类产业企业减按</w:t>
      </w:r>
      <w:r w:rsidRPr="005B5EC1">
        <w:rPr>
          <w:rFonts w:ascii="Times New Roman" w:hAnsi="Times New Roman" w:cs="Times New Roman"/>
          <w:spacing w:val="-1"/>
          <w:sz w:val="18"/>
          <w:szCs w:val="18"/>
        </w:rPr>
        <w:t>15%</w:t>
      </w:r>
      <w:r w:rsidRPr="005B5EC1">
        <w:rPr>
          <w:rFonts w:ascii="Times New Roman" w:hAnsi="Times New Roman" w:cs="Times New Roman"/>
          <w:spacing w:val="-1"/>
          <w:sz w:val="18"/>
          <w:szCs w:val="18"/>
        </w:rPr>
        <w:t>的税率征收企业所得税。上述鼓励类产业企业是指以《产业结构调整指导目录</w:t>
      </w:r>
      <w:r w:rsidRPr="005B5EC1">
        <w:rPr>
          <w:rFonts w:ascii="Times New Roman" w:hAnsi="Times New Roman" w:cs="Times New Roman"/>
          <w:spacing w:val="-1"/>
          <w:sz w:val="18"/>
          <w:szCs w:val="18"/>
        </w:rPr>
        <w:t>(2019</w:t>
      </w:r>
      <w:r w:rsidRPr="005B5EC1">
        <w:rPr>
          <w:rFonts w:ascii="Times New Roman" w:hAnsi="Times New Roman" w:cs="Times New Roman"/>
          <w:spacing w:val="-1"/>
          <w:sz w:val="18"/>
          <w:szCs w:val="18"/>
        </w:rPr>
        <w:t>年本</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》、《鼓励外商投资产业目录</w:t>
      </w:r>
      <w:r w:rsidRPr="005B5EC1">
        <w:rPr>
          <w:rFonts w:ascii="Times New Roman" w:hAnsi="Times New Roman" w:cs="Times New Roman"/>
          <w:spacing w:val="-1"/>
          <w:sz w:val="18"/>
          <w:szCs w:val="18"/>
        </w:rPr>
        <w:t>(2019</w:t>
      </w:r>
      <w:r w:rsidRPr="005B5EC1">
        <w:rPr>
          <w:rFonts w:ascii="Times New Roman" w:hAnsi="Times New Roman" w:cs="Times New Roman"/>
          <w:spacing w:val="-1"/>
          <w:sz w:val="18"/>
          <w:szCs w:val="18"/>
        </w:rPr>
        <w:t>年版</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》和海南自由贸易港新增鼓励类产业目录中规定的产业项目为主营业务，且其主营业务收入占企业收入总额</w:t>
      </w:r>
      <w:r w:rsidRPr="005B5EC1">
        <w:rPr>
          <w:rFonts w:ascii="Times New Roman" w:hAnsi="Times New Roman" w:cs="Times New Roman"/>
          <w:spacing w:val="-1"/>
          <w:sz w:val="18"/>
          <w:szCs w:val="18"/>
        </w:rPr>
        <w:t>60%</w:t>
      </w:r>
      <w:r w:rsidRPr="005B5EC1">
        <w:rPr>
          <w:rFonts w:ascii="Times New Roman" w:hAnsi="Times New Roman" w:cs="Times New Roman"/>
          <w:spacing w:val="-1"/>
          <w:sz w:val="18"/>
          <w:szCs w:val="18"/>
        </w:rPr>
        <w:t>以上的企业。运营公司海南分公司符合于海南自贸港注册并实际运营，以国家规定的鼓励类产业项目为主营业务，且预计满足当年主营业务收入占企业总收入的</w:t>
      </w:r>
      <w:r w:rsidRPr="005B5EC1">
        <w:rPr>
          <w:rFonts w:ascii="Times New Roman" w:hAnsi="Times New Roman" w:cs="Times New Roman"/>
          <w:spacing w:val="-1"/>
          <w:sz w:val="18"/>
          <w:szCs w:val="18"/>
        </w:rPr>
        <w:t>60%</w:t>
      </w:r>
      <w:r w:rsidRPr="005B5EC1">
        <w:rPr>
          <w:rFonts w:ascii="Times New Roman" w:hAnsi="Times New Roman" w:cs="Times New Roman"/>
          <w:spacing w:val="-1"/>
          <w:sz w:val="18"/>
          <w:szCs w:val="18"/>
        </w:rPr>
        <w:t>以上的条件，适用海南自贸港税收优惠政策，适用于</w:t>
      </w:r>
      <w:r w:rsidRPr="005B5EC1">
        <w:rPr>
          <w:rFonts w:ascii="Times New Roman" w:hAnsi="Times New Roman" w:cs="Times New Roman"/>
          <w:spacing w:val="-1"/>
          <w:sz w:val="18"/>
          <w:szCs w:val="18"/>
        </w:rPr>
        <w:t>15%</w:t>
      </w:r>
      <w:r w:rsidRPr="005B5EC1">
        <w:rPr>
          <w:rFonts w:ascii="Times New Roman" w:hAnsi="Times New Roman" w:cs="Times New Roman"/>
          <w:spacing w:val="-1"/>
          <w:sz w:val="18"/>
          <w:szCs w:val="18"/>
        </w:rPr>
        <w:t>的所得税税率。财政部和国家税务总局于</w:t>
      </w:r>
      <w:r w:rsidRPr="005B5EC1">
        <w:rPr>
          <w:rFonts w:ascii="Times New Roman" w:hAnsi="Times New Roman" w:cs="Times New Roman"/>
          <w:spacing w:val="-1"/>
          <w:sz w:val="18"/>
          <w:szCs w:val="18"/>
        </w:rPr>
        <w:t>2025</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24</w:t>
      </w:r>
      <w:r w:rsidRPr="005B5EC1">
        <w:rPr>
          <w:rFonts w:ascii="Times New Roman" w:hAnsi="Times New Roman" w:cs="Times New Roman"/>
          <w:spacing w:val="-1"/>
          <w:sz w:val="18"/>
          <w:szCs w:val="18"/>
        </w:rPr>
        <w:t>日发布通知，延续了该政策至</w:t>
      </w:r>
      <w:r w:rsidRPr="005B5EC1">
        <w:rPr>
          <w:rFonts w:ascii="Times New Roman" w:hAnsi="Times New Roman" w:cs="Times New Roman"/>
          <w:spacing w:val="-1"/>
          <w:sz w:val="18"/>
          <w:szCs w:val="18"/>
        </w:rPr>
        <w:t>2027</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31</w:t>
      </w:r>
      <w:r w:rsidRPr="005B5EC1">
        <w:rPr>
          <w:rFonts w:ascii="Times New Roman" w:hAnsi="Times New Roman" w:cs="Times New Roman"/>
          <w:spacing w:val="-1"/>
          <w:sz w:val="18"/>
          <w:szCs w:val="18"/>
        </w:rPr>
        <w:t>日。</w:t>
      </w:r>
    </w:p>
    <w:p w14:paraId="170F65C9"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2</w:t>
      </w:r>
      <w:r w:rsidRPr="005B5EC1">
        <w:rPr>
          <w:rFonts w:ascii="Times New Roman" w:hAnsi="Times New Roman" w:cs="Times New Roman"/>
          <w:spacing w:val="-1"/>
          <w:sz w:val="18"/>
          <w:szCs w:val="18"/>
        </w:rPr>
        <w:t>）增值税优惠</w:t>
      </w:r>
    </w:p>
    <w:p w14:paraId="44C0884A"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Cambria Math" w:hAnsi="Cambria Math" w:cs="Cambria Math"/>
          <w:spacing w:val="-1"/>
          <w:sz w:val="18"/>
          <w:szCs w:val="18"/>
        </w:rPr>
        <w:t>①</w:t>
      </w:r>
      <w:r w:rsidRPr="005B5EC1">
        <w:rPr>
          <w:rFonts w:ascii="Times New Roman" w:hAnsi="Times New Roman" w:cs="Times New Roman"/>
          <w:spacing w:val="-1"/>
          <w:sz w:val="18"/>
          <w:szCs w:val="18"/>
        </w:rPr>
        <w:t>农业生产者销售自产农产品</w:t>
      </w:r>
    </w:p>
    <w:p w14:paraId="29396889"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Times New Roman" w:hAnsi="Times New Roman" w:cs="Times New Roman"/>
          <w:spacing w:val="-1"/>
          <w:sz w:val="18"/>
          <w:szCs w:val="18"/>
        </w:rPr>
        <w:t>根据《中华人民共和国增值税暂行条例》（中华人民共和国国务院令第</w:t>
      </w:r>
      <w:r w:rsidRPr="005B5EC1">
        <w:rPr>
          <w:rFonts w:ascii="Times New Roman" w:hAnsi="Times New Roman" w:cs="Times New Roman"/>
          <w:spacing w:val="-1"/>
          <w:sz w:val="18"/>
          <w:szCs w:val="18"/>
        </w:rPr>
        <w:t>538</w:t>
      </w:r>
      <w:r w:rsidRPr="005B5EC1">
        <w:rPr>
          <w:rFonts w:ascii="Times New Roman" w:hAnsi="Times New Roman" w:cs="Times New Roman"/>
          <w:spacing w:val="-1"/>
          <w:sz w:val="18"/>
          <w:szCs w:val="18"/>
        </w:rPr>
        <w:t>号）第十五条第（一）项规定，农业生产者销售自产农产品免征增值税，报告期内本公司下属子公司烟台龙大养殖有限公司、安丘龙大养殖有限公司、莱阳龙大养殖有限公司、莱州龙大养殖有限公司销售自产生猪，免征增值税。</w:t>
      </w:r>
    </w:p>
    <w:p w14:paraId="1A6C0798"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Cambria Math" w:hAnsi="Cambria Math" w:cs="Cambria Math"/>
          <w:spacing w:val="-1"/>
          <w:sz w:val="18"/>
          <w:szCs w:val="18"/>
        </w:rPr>
        <w:t>②</w:t>
      </w:r>
      <w:r w:rsidRPr="005B5EC1">
        <w:rPr>
          <w:rFonts w:ascii="Times New Roman" w:hAnsi="Times New Roman" w:cs="Times New Roman"/>
          <w:spacing w:val="-1"/>
          <w:sz w:val="18"/>
          <w:szCs w:val="18"/>
        </w:rPr>
        <w:t>符合条件的饲料产品</w:t>
      </w:r>
    </w:p>
    <w:p w14:paraId="3D6C120F"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Times New Roman" w:hAnsi="Times New Roman" w:cs="Times New Roman"/>
          <w:spacing w:val="-1"/>
          <w:sz w:val="18"/>
          <w:szCs w:val="18"/>
        </w:rPr>
        <w:t>根据《财政部国家税务总局关于饲料产品免征增值税问题的通知》（财税〔</w:t>
      </w:r>
      <w:r w:rsidRPr="005B5EC1">
        <w:rPr>
          <w:rFonts w:ascii="Times New Roman" w:hAnsi="Times New Roman" w:cs="Times New Roman"/>
          <w:spacing w:val="-1"/>
          <w:sz w:val="18"/>
          <w:szCs w:val="18"/>
        </w:rPr>
        <w:t>2001</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121</w:t>
      </w:r>
      <w:r w:rsidRPr="005B5EC1">
        <w:rPr>
          <w:rFonts w:ascii="Times New Roman" w:hAnsi="Times New Roman" w:cs="Times New Roman"/>
          <w:spacing w:val="-1"/>
          <w:sz w:val="18"/>
          <w:szCs w:val="18"/>
        </w:rPr>
        <w:t>号）规定，报告期内本公司下属子公司烟台龙大饲料有限公司生产销售符合条件的饲料产品，免征增值税。</w:t>
      </w:r>
    </w:p>
    <w:p w14:paraId="75FD99FF"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Cambria Math" w:hAnsi="Cambria Math" w:cs="Cambria Math"/>
          <w:spacing w:val="-1"/>
          <w:sz w:val="18"/>
          <w:szCs w:val="18"/>
        </w:rPr>
        <w:t>③</w:t>
      </w:r>
      <w:r w:rsidRPr="005B5EC1">
        <w:rPr>
          <w:rFonts w:ascii="Times New Roman" w:hAnsi="Times New Roman" w:cs="Times New Roman"/>
          <w:spacing w:val="-1"/>
          <w:sz w:val="18"/>
          <w:szCs w:val="18"/>
        </w:rPr>
        <w:t>流通环节的鲜活肉蛋产品</w:t>
      </w:r>
    </w:p>
    <w:p w14:paraId="1D09AF98"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Times New Roman" w:hAnsi="Times New Roman" w:cs="Times New Roman"/>
          <w:spacing w:val="-1"/>
          <w:sz w:val="18"/>
          <w:szCs w:val="18"/>
        </w:rPr>
        <w:t>根据《财政部国家税务总局关于免征部分鲜活肉蛋产品流通环节增值税政策的通知》（财税〔</w:t>
      </w:r>
      <w:r w:rsidRPr="005B5EC1">
        <w:rPr>
          <w:rFonts w:ascii="Times New Roman" w:hAnsi="Times New Roman" w:cs="Times New Roman"/>
          <w:spacing w:val="-1"/>
          <w:sz w:val="18"/>
          <w:szCs w:val="18"/>
        </w:rPr>
        <w:t>2012</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75</w:t>
      </w:r>
      <w:r w:rsidRPr="005B5EC1">
        <w:rPr>
          <w:rFonts w:ascii="Times New Roman" w:hAnsi="Times New Roman" w:cs="Times New Roman"/>
          <w:spacing w:val="-1"/>
          <w:sz w:val="18"/>
          <w:szCs w:val="18"/>
        </w:rPr>
        <w:t>号）规定，报告期内本公司下属子公司青岛新胜锦食品商贸有限公司销售的鲜活肉产品，免征流通环节增值税。</w:t>
      </w:r>
    </w:p>
    <w:p w14:paraId="17A219B0"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Cambria Math" w:hAnsi="Cambria Math" w:cs="Cambria Math"/>
          <w:spacing w:val="-1"/>
          <w:sz w:val="18"/>
          <w:szCs w:val="18"/>
        </w:rPr>
        <w:t>④</w:t>
      </w:r>
      <w:r w:rsidRPr="005B5EC1">
        <w:rPr>
          <w:rFonts w:ascii="Times New Roman" w:hAnsi="Times New Roman" w:cs="Times New Roman"/>
          <w:spacing w:val="-1"/>
          <w:sz w:val="18"/>
          <w:szCs w:val="18"/>
        </w:rPr>
        <w:t>技术转让、技术开发等</w:t>
      </w:r>
    </w:p>
    <w:p w14:paraId="40C022A5" w14:textId="77777777" w:rsidR="00AF139E" w:rsidRPr="005B5EC1" w:rsidRDefault="00000000" w:rsidP="00280E85">
      <w:pPr>
        <w:pStyle w:val="a3"/>
        <w:spacing w:before="0" w:beforeAutospacing="0" w:after="0" w:afterAutospacing="0" w:line="276" w:lineRule="auto"/>
        <w:ind w:left="395" w:firstLineChars="200" w:firstLine="358"/>
        <w:jc w:val="both"/>
        <w:divId w:val="90123575"/>
        <w:rPr>
          <w:rFonts w:ascii="Times New Roman" w:hAnsi="Times New Roman" w:cs="Times New Roman"/>
          <w:spacing w:val="-1"/>
          <w:sz w:val="18"/>
          <w:szCs w:val="18"/>
        </w:rPr>
      </w:pPr>
      <w:r w:rsidRPr="005B5EC1">
        <w:rPr>
          <w:rFonts w:ascii="Times New Roman" w:hAnsi="Times New Roman" w:cs="Times New Roman"/>
          <w:spacing w:val="-1"/>
          <w:sz w:val="18"/>
          <w:szCs w:val="18"/>
        </w:rPr>
        <w:t>根据《财政部、国家税务总局关于全面推开营业税改征增值税试点的通知》（财税〔</w:t>
      </w:r>
      <w:r w:rsidRPr="005B5EC1">
        <w:rPr>
          <w:rFonts w:ascii="Times New Roman" w:hAnsi="Times New Roman" w:cs="Times New Roman"/>
          <w:spacing w:val="-1"/>
          <w:sz w:val="18"/>
          <w:szCs w:val="18"/>
        </w:rPr>
        <w:t>2016</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36</w:t>
      </w:r>
      <w:r w:rsidRPr="005B5EC1">
        <w:rPr>
          <w:rFonts w:ascii="Times New Roman" w:hAnsi="Times New Roman" w:cs="Times New Roman"/>
          <w:spacing w:val="-1"/>
          <w:sz w:val="18"/>
          <w:szCs w:val="18"/>
        </w:rPr>
        <w:t>号）规定，纳税人提供技术转让、技术开发和与之相关的技术咨询、技术服务免征增值税。报告期内本公司下属子公司山东龙大生猪产品工程技术研究有限公司业务范围内的畜禽领域内的技术开发、技术咨询、技术转让及技术服务免征增值税。</w:t>
      </w:r>
    </w:p>
    <w:p w14:paraId="25FDE624" w14:textId="77777777" w:rsidR="00E32FE0" w:rsidRPr="005B5EC1" w:rsidRDefault="00000000">
      <w:pPr>
        <w:pStyle w:val="3"/>
        <w:spacing w:line="280" w:lineRule="exact"/>
        <w:jc w:val="left"/>
        <w:rPr>
          <w:rFonts w:ascii="Times New Roman" w:hAnsi="Times New Roman" w:cs="Times New Roman"/>
          <w:b/>
          <w:bCs/>
        </w:rPr>
      </w:pPr>
      <w:bookmarkStart w:id="240" w:name="_Toc989125"/>
      <w:r w:rsidRPr="005B5EC1">
        <w:rPr>
          <w:rFonts w:ascii="Times New Roman" w:hAnsi="Times New Roman" w:cs="Times New Roman"/>
          <w:b/>
          <w:bCs/>
        </w:rPr>
        <w:lastRenderedPageBreak/>
        <w:t>3</w:t>
      </w:r>
      <w:r w:rsidRPr="005B5EC1">
        <w:rPr>
          <w:rFonts w:ascii="Times New Roman" w:hAnsi="Times New Roman" w:cs="Times New Roman"/>
          <w:b/>
          <w:bCs/>
        </w:rPr>
        <w:t>、其他</w:t>
      </w:r>
      <w:bookmarkEnd w:id="240"/>
    </w:p>
    <w:p w14:paraId="1872B086" w14:textId="77777777" w:rsidR="00AF139E" w:rsidRPr="005B5EC1" w:rsidRDefault="00000000" w:rsidP="00280E85">
      <w:pPr>
        <w:pStyle w:val="a3"/>
        <w:spacing w:before="0" w:beforeAutospacing="0" w:after="0" w:afterAutospacing="0" w:line="276" w:lineRule="auto"/>
        <w:ind w:firstLineChars="200" w:firstLine="358"/>
        <w:jc w:val="both"/>
        <w:divId w:val="1614096764"/>
        <w:rPr>
          <w:rFonts w:ascii="Times New Roman" w:hAnsi="Times New Roman" w:cs="Times New Roman"/>
          <w:spacing w:val="-1"/>
          <w:sz w:val="18"/>
          <w:szCs w:val="18"/>
        </w:rPr>
      </w:pPr>
      <w:r w:rsidRPr="005B5EC1">
        <w:rPr>
          <w:rFonts w:ascii="Times New Roman" w:hAnsi="Times New Roman" w:cs="Times New Roman"/>
          <w:spacing w:val="-1"/>
          <w:sz w:val="18"/>
          <w:szCs w:val="18"/>
        </w:rPr>
        <w:t>根据《财政部税务总局公告</w:t>
      </w:r>
      <w:r w:rsidRPr="005B5EC1">
        <w:rPr>
          <w:rFonts w:ascii="Times New Roman" w:hAnsi="Times New Roman" w:cs="Times New Roman"/>
          <w:spacing w:val="-1"/>
          <w:sz w:val="18"/>
          <w:szCs w:val="18"/>
        </w:rPr>
        <w:t>2023</w:t>
      </w:r>
      <w:r w:rsidRPr="005B5EC1">
        <w:rPr>
          <w:rFonts w:ascii="Times New Roman" w:hAnsi="Times New Roman" w:cs="Times New Roman"/>
          <w:spacing w:val="-1"/>
          <w:sz w:val="18"/>
          <w:szCs w:val="18"/>
        </w:rPr>
        <w:t>年第</w:t>
      </w:r>
      <w:r w:rsidRPr="005B5EC1">
        <w:rPr>
          <w:rFonts w:ascii="Times New Roman" w:hAnsi="Times New Roman" w:cs="Times New Roman"/>
          <w:spacing w:val="-1"/>
          <w:sz w:val="18"/>
          <w:szCs w:val="18"/>
        </w:rPr>
        <w:t>37</w:t>
      </w:r>
      <w:r w:rsidRPr="005B5EC1">
        <w:rPr>
          <w:rFonts w:ascii="Times New Roman" w:hAnsi="Times New Roman" w:cs="Times New Roman"/>
          <w:spacing w:val="-1"/>
          <w:sz w:val="18"/>
          <w:szCs w:val="18"/>
        </w:rPr>
        <w:t>号关于设备、器具扣除有关企业所得税政策的公告》，企业在</w:t>
      </w:r>
      <w:r w:rsidRPr="005B5EC1">
        <w:rPr>
          <w:rFonts w:ascii="Times New Roman" w:hAnsi="Times New Roman" w:cs="Times New Roman"/>
          <w:spacing w:val="-1"/>
          <w:sz w:val="18"/>
          <w:szCs w:val="18"/>
        </w:rPr>
        <w:t>2024</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1</w:t>
      </w:r>
      <w:r w:rsidRPr="005B5EC1">
        <w:rPr>
          <w:rFonts w:ascii="Times New Roman" w:hAnsi="Times New Roman" w:cs="Times New Roman"/>
          <w:spacing w:val="-1"/>
          <w:sz w:val="18"/>
          <w:szCs w:val="18"/>
        </w:rPr>
        <w:t>日至</w:t>
      </w:r>
      <w:r w:rsidRPr="005B5EC1">
        <w:rPr>
          <w:rFonts w:ascii="Times New Roman" w:hAnsi="Times New Roman" w:cs="Times New Roman"/>
          <w:spacing w:val="-1"/>
          <w:sz w:val="18"/>
          <w:szCs w:val="18"/>
        </w:rPr>
        <w:t>2027</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12</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31</w:t>
      </w:r>
      <w:r w:rsidRPr="005B5EC1">
        <w:rPr>
          <w:rFonts w:ascii="Times New Roman" w:hAnsi="Times New Roman" w:cs="Times New Roman"/>
          <w:spacing w:val="-1"/>
          <w:sz w:val="18"/>
          <w:szCs w:val="18"/>
        </w:rPr>
        <w:t>日期间新购进的设备、器具，单位价值不超过</w:t>
      </w:r>
      <w:r w:rsidRPr="005B5EC1">
        <w:rPr>
          <w:rFonts w:ascii="Times New Roman" w:hAnsi="Times New Roman" w:cs="Times New Roman"/>
          <w:spacing w:val="-1"/>
          <w:sz w:val="18"/>
          <w:szCs w:val="18"/>
        </w:rPr>
        <w:t>500</w:t>
      </w:r>
      <w:r w:rsidRPr="005B5EC1">
        <w:rPr>
          <w:rFonts w:ascii="Times New Roman" w:hAnsi="Times New Roman" w:cs="Times New Roman"/>
          <w:spacing w:val="-1"/>
          <w:sz w:val="18"/>
          <w:szCs w:val="18"/>
        </w:rPr>
        <w:t>万元的，允许一次性计入当期成本费用在计算应纳税所得额时扣除，不再分年度计算折旧</w:t>
      </w:r>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单位价值超过</w:t>
      </w:r>
      <w:r w:rsidRPr="005B5EC1">
        <w:rPr>
          <w:rFonts w:ascii="Times New Roman" w:hAnsi="Times New Roman" w:cs="Times New Roman"/>
          <w:spacing w:val="-1"/>
          <w:sz w:val="18"/>
          <w:szCs w:val="18"/>
        </w:rPr>
        <w:t>500</w:t>
      </w:r>
      <w:r w:rsidRPr="005B5EC1">
        <w:rPr>
          <w:rFonts w:ascii="Times New Roman" w:hAnsi="Times New Roman" w:cs="Times New Roman"/>
          <w:spacing w:val="-1"/>
          <w:sz w:val="18"/>
          <w:szCs w:val="18"/>
        </w:rPr>
        <w:t>万元的，仍按</w:t>
      </w:r>
      <w:hyperlink r:id="rId11" w:history="1">
        <w:r w:rsidR="00AF139E" w:rsidRPr="005B5EC1">
          <w:rPr>
            <w:rFonts w:ascii="Times New Roman" w:hAnsi="Times New Roman" w:cs="Times New Roman"/>
            <w:sz w:val="18"/>
            <w:szCs w:val="18"/>
          </w:rPr>
          <w:t>企业所得税法实施条例</w:t>
        </w:r>
      </w:hyperlink>
      <w:r w:rsidRPr="005B5EC1">
        <w:rPr>
          <w:rFonts w:ascii="Times New Roman" w:hAnsi="Times New Roman" w:cs="Times New Roman"/>
          <w:spacing w:val="-1"/>
          <w:sz w:val="18"/>
          <w:szCs w:val="18"/>
        </w:rPr>
        <w:t>、《</w:t>
      </w:r>
      <w:hyperlink r:id="rId12" w:history="1">
        <w:r w:rsidR="00AF139E" w:rsidRPr="005B5EC1">
          <w:rPr>
            <w:rFonts w:ascii="Times New Roman" w:hAnsi="Times New Roman" w:cs="Times New Roman"/>
            <w:sz w:val="18"/>
            <w:szCs w:val="18"/>
          </w:rPr>
          <w:t>财政部</w:t>
        </w:r>
        <w:r w:rsidR="00AF139E" w:rsidRPr="005B5EC1">
          <w:rPr>
            <w:rFonts w:ascii="Times New Roman" w:hAnsi="Times New Roman" w:cs="Times New Roman"/>
            <w:sz w:val="18"/>
            <w:szCs w:val="18"/>
          </w:rPr>
          <w:t xml:space="preserve"> </w:t>
        </w:r>
        <w:r w:rsidR="00AF139E" w:rsidRPr="005B5EC1">
          <w:rPr>
            <w:rFonts w:ascii="Times New Roman" w:hAnsi="Times New Roman" w:cs="Times New Roman"/>
            <w:sz w:val="18"/>
            <w:szCs w:val="18"/>
          </w:rPr>
          <w:t>国家税务总局关于完善固定资产加速折旧企业所得税政策的通知》</w:t>
        </w:r>
        <w:r w:rsidR="00AF139E" w:rsidRPr="005B5EC1">
          <w:rPr>
            <w:rFonts w:ascii="Times New Roman" w:hAnsi="Times New Roman" w:cs="Times New Roman"/>
            <w:sz w:val="18"/>
            <w:szCs w:val="18"/>
          </w:rPr>
          <w:t>(</w:t>
        </w:r>
        <w:r w:rsidR="00AF139E" w:rsidRPr="005B5EC1">
          <w:rPr>
            <w:rFonts w:ascii="Times New Roman" w:hAnsi="Times New Roman" w:cs="Times New Roman"/>
            <w:sz w:val="18"/>
            <w:szCs w:val="18"/>
          </w:rPr>
          <w:t>财税〔</w:t>
        </w:r>
        <w:r w:rsidR="00AF139E" w:rsidRPr="005B5EC1">
          <w:rPr>
            <w:rFonts w:ascii="Times New Roman" w:hAnsi="Times New Roman" w:cs="Times New Roman"/>
            <w:sz w:val="18"/>
            <w:szCs w:val="18"/>
          </w:rPr>
          <w:t>2014</w:t>
        </w:r>
        <w:r w:rsidR="00AF139E" w:rsidRPr="005B5EC1">
          <w:rPr>
            <w:rFonts w:ascii="Times New Roman" w:hAnsi="Times New Roman" w:cs="Times New Roman"/>
            <w:sz w:val="18"/>
            <w:szCs w:val="18"/>
          </w:rPr>
          <w:t>〕</w:t>
        </w:r>
        <w:r w:rsidR="00AF139E" w:rsidRPr="005B5EC1">
          <w:rPr>
            <w:rFonts w:ascii="Times New Roman" w:hAnsi="Times New Roman" w:cs="Times New Roman"/>
            <w:sz w:val="18"/>
            <w:szCs w:val="18"/>
          </w:rPr>
          <w:t>75</w:t>
        </w:r>
        <w:r w:rsidR="00AF139E" w:rsidRPr="005B5EC1">
          <w:rPr>
            <w:rFonts w:ascii="Times New Roman" w:hAnsi="Times New Roman" w:cs="Times New Roman"/>
            <w:sz w:val="18"/>
            <w:szCs w:val="18"/>
          </w:rPr>
          <w:t>号</w:t>
        </w:r>
      </w:hyperlink>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w:t>
      </w:r>
      <w:hyperlink r:id="rId13" w:history="1">
        <w:r w:rsidR="00AF139E" w:rsidRPr="005B5EC1">
          <w:rPr>
            <w:rFonts w:ascii="Times New Roman" w:hAnsi="Times New Roman" w:cs="Times New Roman"/>
            <w:sz w:val="18"/>
            <w:szCs w:val="18"/>
          </w:rPr>
          <w:t>财政部</w:t>
        </w:r>
        <w:r w:rsidR="00AF139E" w:rsidRPr="005B5EC1">
          <w:rPr>
            <w:rFonts w:ascii="Times New Roman" w:hAnsi="Times New Roman" w:cs="Times New Roman"/>
            <w:sz w:val="18"/>
            <w:szCs w:val="18"/>
          </w:rPr>
          <w:t xml:space="preserve"> </w:t>
        </w:r>
        <w:r w:rsidR="00AF139E" w:rsidRPr="005B5EC1">
          <w:rPr>
            <w:rFonts w:ascii="Times New Roman" w:hAnsi="Times New Roman" w:cs="Times New Roman"/>
            <w:sz w:val="18"/>
            <w:szCs w:val="18"/>
          </w:rPr>
          <w:t>国家税务总局关于进一步完善固定资产加速折旧企业所得税政策的通知》</w:t>
        </w:r>
        <w:r w:rsidR="00AF139E" w:rsidRPr="005B5EC1">
          <w:rPr>
            <w:rFonts w:ascii="Times New Roman" w:hAnsi="Times New Roman" w:cs="Times New Roman"/>
            <w:sz w:val="18"/>
            <w:szCs w:val="18"/>
          </w:rPr>
          <w:t>(</w:t>
        </w:r>
        <w:r w:rsidR="00AF139E" w:rsidRPr="005B5EC1">
          <w:rPr>
            <w:rFonts w:ascii="Times New Roman" w:hAnsi="Times New Roman" w:cs="Times New Roman"/>
            <w:sz w:val="18"/>
            <w:szCs w:val="18"/>
          </w:rPr>
          <w:t>财税〔</w:t>
        </w:r>
        <w:r w:rsidR="00AF139E" w:rsidRPr="005B5EC1">
          <w:rPr>
            <w:rFonts w:ascii="Times New Roman" w:hAnsi="Times New Roman" w:cs="Times New Roman"/>
            <w:sz w:val="18"/>
            <w:szCs w:val="18"/>
          </w:rPr>
          <w:t>2015</w:t>
        </w:r>
        <w:r w:rsidR="00AF139E" w:rsidRPr="005B5EC1">
          <w:rPr>
            <w:rFonts w:ascii="Times New Roman" w:hAnsi="Times New Roman" w:cs="Times New Roman"/>
            <w:sz w:val="18"/>
            <w:szCs w:val="18"/>
          </w:rPr>
          <w:t>〕</w:t>
        </w:r>
        <w:r w:rsidR="00AF139E" w:rsidRPr="005B5EC1">
          <w:rPr>
            <w:rFonts w:ascii="Times New Roman" w:hAnsi="Times New Roman" w:cs="Times New Roman"/>
            <w:sz w:val="18"/>
            <w:szCs w:val="18"/>
          </w:rPr>
          <w:t>106</w:t>
        </w:r>
        <w:r w:rsidR="00AF139E" w:rsidRPr="005B5EC1">
          <w:rPr>
            <w:rFonts w:ascii="Times New Roman" w:hAnsi="Times New Roman" w:cs="Times New Roman"/>
            <w:sz w:val="18"/>
            <w:szCs w:val="18"/>
          </w:rPr>
          <w:t>号</w:t>
        </w:r>
      </w:hyperlink>
      <w:r w:rsidRPr="005B5EC1">
        <w:rPr>
          <w:rFonts w:ascii="Times New Roman" w:hAnsi="Times New Roman" w:cs="Times New Roman"/>
          <w:spacing w:val="-1"/>
          <w:sz w:val="18"/>
          <w:szCs w:val="18"/>
        </w:rPr>
        <w:t>)</w:t>
      </w:r>
      <w:r w:rsidRPr="005B5EC1">
        <w:rPr>
          <w:rFonts w:ascii="Times New Roman" w:hAnsi="Times New Roman" w:cs="Times New Roman"/>
          <w:spacing w:val="-1"/>
          <w:sz w:val="18"/>
          <w:szCs w:val="18"/>
        </w:rPr>
        <w:t>等相关规定执行。</w:t>
      </w:r>
    </w:p>
    <w:p w14:paraId="02EAB610"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241" w:name="_Toc989126"/>
      <w:r w:rsidRPr="005B5EC1">
        <w:rPr>
          <w:rFonts w:ascii="Times New Roman" w:eastAsia="宋体" w:hAnsi="Times New Roman" w:cs="Times New Roman"/>
          <w:b/>
          <w:bCs/>
          <w:sz w:val="24"/>
          <w:szCs w:val="24"/>
        </w:rPr>
        <w:t>七、合并财务报表项目注释</w:t>
      </w:r>
      <w:bookmarkEnd w:id="241"/>
    </w:p>
    <w:p w14:paraId="01572BD4" w14:textId="77777777" w:rsidR="00E32FE0" w:rsidRPr="005B5EC1" w:rsidRDefault="00000000">
      <w:pPr>
        <w:pStyle w:val="3"/>
        <w:spacing w:line="280" w:lineRule="exact"/>
        <w:jc w:val="left"/>
        <w:rPr>
          <w:rFonts w:ascii="Times New Roman" w:hAnsi="Times New Roman" w:cs="Times New Roman"/>
          <w:b/>
          <w:bCs/>
        </w:rPr>
      </w:pPr>
      <w:bookmarkStart w:id="242" w:name="_Toc989127"/>
      <w:r w:rsidRPr="005B5EC1">
        <w:rPr>
          <w:rFonts w:ascii="Times New Roman" w:hAnsi="Times New Roman" w:cs="Times New Roman"/>
          <w:b/>
          <w:bCs/>
        </w:rPr>
        <w:t>1</w:t>
      </w:r>
      <w:r w:rsidRPr="005B5EC1">
        <w:rPr>
          <w:rFonts w:ascii="Times New Roman" w:hAnsi="Times New Roman" w:cs="Times New Roman"/>
          <w:b/>
          <w:bCs/>
        </w:rPr>
        <w:t>、货币资金</w:t>
      </w:r>
      <w:bookmarkEnd w:id="242"/>
    </w:p>
    <w:p w14:paraId="0839175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4DDD177"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4165B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4E76FD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BA085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3F46226E"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B99D8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库存现金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7DDF5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5,599.86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26C4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10,752.96</w:t>
            </w:r>
          </w:p>
        </w:tc>
      </w:tr>
      <w:tr w:rsidR="00E32FE0" w:rsidRPr="005B5EC1" w14:paraId="108E5BA8"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A3A8F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银行存款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19688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628,153,339.03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70F49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904,583,287.76</w:t>
            </w:r>
          </w:p>
        </w:tc>
      </w:tr>
      <w:tr w:rsidR="00E32FE0" w:rsidRPr="005B5EC1" w14:paraId="70FDF74B"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05EFDA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734F7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341,958,640.88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6088C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487,978,055.79</w:t>
            </w:r>
          </w:p>
        </w:tc>
      </w:tr>
      <w:tr w:rsidR="00E32FE0" w:rsidRPr="005B5EC1" w14:paraId="29E0E688"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A04EFD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A7194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970,117,579.77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253F4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1,392,572,096.51</w:t>
            </w:r>
          </w:p>
        </w:tc>
      </w:tr>
    </w:tbl>
    <w:p w14:paraId="33F8AA2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65A45D3A" w14:textId="77777777" w:rsidR="00AF139E" w:rsidRPr="005B5EC1" w:rsidRDefault="00000000" w:rsidP="00280E85">
      <w:pPr>
        <w:pStyle w:val="a3"/>
        <w:spacing w:before="0" w:beforeAutospacing="0" w:after="0" w:afterAutospacing="0" w:line="276" w:lineRule="auto"/>
        <w:ind w:firstLineChars="200" w:firstLine="358"/>
        <w:jc w:val="both"/>
        <w:divId w:val="500315279"/>
        <w:rPr>
          <w:rFonts w:ascii="Times New Roman" w:hAnsi="Times New Roman" w:cs="Times New Roman"/>
          <w:spacing w:val="-1"/>
          <w:sz w:val="18"/>
          <w:szCs w:val="18"/>
        </w:rPr>
      </w:pPr>
      <w:r w:rsidRPr="005B5EC1">
        <w:rPr>
          <w:rFonts w:ascii="Times New Roman" w:hAnsi="Times New Roman" w:cs="Times New Roman"/>
          <w:spacing w:val="-1"/>
          <w:sz w:val="18"/>
          <w:szCs w:val="18"/>
        </w:rPr>
        <w:t>无</w:t>
      </w:r>
    </w:p>
    <w:p w14:paraId="6D9969B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酒制造企业应详细披露是否存在与相关方建立资金共管账户等特殊利益安排的情形</w:t>
      </w:r>
    </w:p>
    <w:p w14:paraId="31795DA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80BD213" w14:textId="77777777" w:rsidR="00E32FE0" w:rsidRPr="005B5EC1" w:rsidRDefault="00000000">
      <w:pPr>
        <w:pStyle w:val="3"/>
        <w:spacing w:line="280" w:lineRule="exact"/>
        <w:jc w:val="left"/>
        <w:rPr>
          <w:rFonts w:ascii="Times New Roman" w:hAnsi="Times New Roman" w:cs="Times New Roman"/>
          <w:b/>
          <w:bCs/>
        </w:rPr>
      </w:pPr>
      <w:bookmarkStart w:id="243" w:name="_Toc989128"/>
      <w:r w:rsidRPr="005B5EC1">
        <w:rPr>
          <w:rFonts w:ascii="Times New Roman" w:hAnsi="Times New Roman" w:cs="Times New Roman"/>
          <w:b/>
          <w:bCs/>
        </w:rPr>
        <w:t>2</w:t>
      </w:r>
      <w:r w:rsidRPr="005B5EC1">
        <w:rPr>
          <w:rFonts w:ascii="Times New Roman" w:hAnsi="Times New Roman" w:cs="Times New Roman"/>
          <w:b/>
          <w:bCs/>
        </w:rPr>
        <w:t>、交易性金融资产</w:t>
      </w:r>
      <w:bookmarkEnd w:id="243"/>
    </w:p>
    <w:p w14:paraId="1886F20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0920CA21"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BFFC93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ED61DB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73DCE5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0AFA8233"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9F6F92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2C12A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1,293,700.05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78C433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04F7EDA"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61985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61F570C"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B5B155D" w14:textId="77777777" w:rsidR="00E32FE0" w:rsidRPr="005B5EC1" w:rsidRDefault="00E32FE0">
            <w:pPr>
              <w:rPr>
                <w:rFonts w:ascii="Times New Roman" w:hAnsi="Times New Roman" w:cs="Times New Roman"/>
              </w:rPr>
            </w:pPr>
          </w:p>
        </w:tc>
      </w:tr>
      <w:tr w:rsidR="00E32FE0" w:rsidRPr="005B5EC1" w14:paraId="58469B0B"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4C26AF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18DF2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1,293,700.05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DAD313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BB29D8A"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7B6E37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E4035DA"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05EB0D4" w14:textId="77777777" w:rsidR="00E32FE0" w:rsidRPr="005B5EC1" w:rsidRDefault="00E32FE0">
            <w:pPr>
              <w:rPr>
                <w:rFonts w:ascii="Times New Roman" w:hAnsi="Times New Roman" w:cs="Times New Roman"/>
              </w:rPr>
            </w:pPr>
          </w:p>
        </w:tc>
      </w:tr>
      <w:tr w:rsidR="00E32FE0" w:rsidRPr="005B5EC1" w14:paraId="4A2CAAE8"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529FF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2CF58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1,293,700.05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77CCF62"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2EA56AF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1B06242F" w14:textId="77777777" w:rsidR="00AF139E" w:rsidRPr="005B5EC1" w:rsidRDefault="00000000" w:rsidP="00280E85">
      <w:pPr>
        <w:pStyle w:val="a3"/>
        <w:spacing w:before="0" w:beforeAutospacing="0" w:after="0" w:afterAutospacing="0" w:line="276" w:lineRule="auto"/>
        <w:ind w:firstLineChars="200" w:firstLine="358"/>
        <w:jc w:val="both"/>
        <w:divId w:val="157506426"/>
        <w:rPr>
          <w:rFonts w:ascii="Times New Roman" w:hAnsi="Times New Roman" w:cs="Times New Roman"/>
          <w:spacing w:val="-1"/>
          <w:sz w:val="18"/>
          <w:szCs w:val="18"/>
        </w:rPr>
      </w:pPr>
      <w:r w:rsidRPr="005B5EC1">
        <w:rPr>
          <w:rFonts w:ascii="Times New Roman" w:hAnsi="Times New Roman" w:cs="Times New Roman"/>
          <w:spacing w:val="-1"/>
          <w:sz w:val="18"/>
          <w:szCs w:val="18"/>
        </w:rPr>
        <w:t>2024</w:t>
      </w:r>
      <w:r w:rsidRPr="005B5EC1">
        <w:rPr>
          <w:rFonts w:ascii="Times New Roman" w:hAnsi="Times New Roman" w:cs="Times New Roman"/>
          <w:spacing w:val="-1"/>
          <w:sz w:val="18"/>
          <w:szCs w:val="18"/>
        </w:rPr>
        <w:t>年</w:t>
      </w:r>
      <w:r w:rsidRPr="005B5EC1">
        <w:rPr>
          <w:rFonts w:ascii="Times New Roman" w:hAnsi="Times New Roman" w:cs="Times New Roman"/>
          <w:spacing w:val="-1"/>
          <w:sz w:val="18"/>
          <w:szCs w:val="18"/>
        </w:rPr>
        <w:t>10</w:t>
      </w:r>
      <w:r w:rsidRPr="005B5EC1">
        <w:rPr>
          <w:rFonts w:ascii="Times New Roman" w:hAnsi="Times New Roman" w:cs="Times New Roman"/>
          <w:spacing w:val="-1"/>
          <w:sz w:val="18"/>
          <w:szCs w:val="18"/>
        </w:rPr>
        <w:t>月</w:t>
      </w:r>
      <w:r w:rsidRPr="005B5EC1">
        <w:rPr>
          <w:rFonts w:ascii="Times New Roman" w:hAnsi="Times New Roman" w:cs="Times New Roman"/>
          <w:spacing w:val="-1"/>
          <w:sz w:val="18"/>
          <w:szCs w:val="18"/>
        </w:rPr>
        <w:t>18</w:t>
      </w:r>
      <w:r w:rsidRPr="005B5EC1">
        <w:rPr>
          <w:rFonts w:ascii="Times New Roman" w:hAnsi="Times New Roman" w:cs="Times New Roman"/>
          <w:spacing w:val="-1"/>
          <w:sz w:val="18"/>
          <w:szCs w:val="18"/>
        </w:rPr>
        <w:t>日，根据步步高商业连锁股份有限公司重整方案，公司作为其债权人，通过以股抵债，获得其股票</w:t>
      </w:r>
      <w:r w:rsidRPr="005B5EC1">
        <w:rPr>
          <w:rFonts w:ascii="Times New Roman" w:hAnsi="Times New Roman" w:cs="Times New Roman"/>
          <w:spacing w:val="-1"/>
          <w:sz w:val="18"/>
          <w:szCs w:val="18"/>
        </w:rPr>
        <w:t>647,519</w:t>
      </w:r>
      <w:r w:rsidRPr="005B5EC1">
        <w:rPr>
          <w:rFonts w:ascii="Times New Roman" w:hAnsi="Times New Roman" w:cs="Times New Roman"/>
          <w:spacing w:val="-1"/>
          <w:sz w:val="18"/>
          <w:szCs w:val="18"/>
        </w:rPr>
        <w:t>股。</w:t>
      </w:r>
    </w:p>
    <w:p w14:paraId="55A6E25C" w14:textId="77777777" w:rsidR="00E32FE0" w:rsidRPr="005B5EC1" w:rsidRDefault="00000000">
      <w:pPr>
        <w:pStyle w:val="3"/>
        <w:spacing w:line="280" w:lineRule="exact"/>
        <w:jc w:val="left"/>
        <w:rPr>
          <w:rFonts w:ascii="Times New Roman" w:hAnsi="Times New Roman" w:cs="Times New Roman"/>
          <w:b/>
          <w:bCs/>
        </w:rPr>
      </w:pPr>
      <w:bookmarkStart w:id="244" w:name="_Toc989129"/>
      <w:r w:rsidRPr="005B5EC1">
        <w:rPr>
          <w:rFonts w:ascii="Times New Roman" w:hAnsi="Times New Roman" w:cs="Times New Roman"/>
          <w:b/>
          <w:bCs/>
        </w:rPr>
        <w:t>3</w:t>
      </w:r>
      <w:r w:rsidRPr="005B5EC1">
        <w:rPr>
          <w:rFonts w:ascii="Times New Roman" w:hAnsi="Times New Roman" w:cs="Times New Roman"/>
          <w:b/>
          <w:bCs/>
        </w:rPr>
        <w:t>、衍生金融资产</w:t>
      </w:r>
      <w:bookmarkEnd w:id="244"/>
    </w:p>
    <w:p w14:paraId="18568CB2" w14:textId="77777777" w:rsidR="00AF139E" w:rsidRPr="005B5EC1" w:rsidRDefault="00000000" w:rsidP="00280E85">
      <w:pPr>
        <w:pStyle w:val="a3"/>
        <w:spacing w:before="0" w:beforeAutospacing="0" w:after="0" w:afterAutospacing="0" w:line="276" w:lineRule="auto"/>
        <w:ind w:firstLineChars="200" w:firstLine="358"/>
        <w:jc w:val="both"/>
        <w:divId w:val="514416681"/>
        <w:rPr>
          <w:rFonts w:ascii="Times New Roman" w:hAnsi="Times New Roman" w:cs="Times New Roman"/>
          <w:spacing w:val="-1"/>
          <w:sz w:val="18"/>
          <w:szCs w:val="18"/>
        </w:rPr>
      </w:pPr>
      <w:r w:rsidRPr="005B5EC1">
        <w:rPr>
          <w:rFonts w:ascii="Times New Roman" w:hAnsi="Times New Roman" w:cs="Times New Roman"/>
          <w:spacing w:val="-1"/>
          <w:sz w:val="18"/>
          <w:szCs w:val="18"/>
        </w:rPr>
        <w:t>无</w:t>
      </w:r>
    </w:p>
    <w:p w14:paraId="4B603998" w14:textId="77777777" w:rsidR="00E32FE0" w:rsidRPr="005B5EC1" w:rsidRDefault="00000000">
      <w:pPr>
        <w:pStyle w:val="3"/>
        <w:spacing w:line="280" w:lineRule="exact"/>
        <w:jc w:val="left"/>
        <w:rPr>
          <w:rFonts w:ascii="Times New Roman" w:hAnsi="Times New Roman" w:cs="Times New Roman"/>
          <w:b/>
          <w:bCs/>
        </w:rPr>
      </w:pPr>
      <w:bookmarkStart w:id="245" w:name="_Toc989130"/>
      <w:r w:rsidRPr="005B5EC1">
        <w:rPr>
          <w:rFonts w:ascii="Times New Roman" w:hAnsi="Times New Roman" w:cs="Times New Roman"/>
          <w:b/>
          <w:bCs/>
        </w:rPr>
        <w:lastRenderedPageBreak/>
        <w:t>4</w:t>
      </w:r>
      <w:r w:rsidRPr="005B5EC1">
        <w:rPr>
          <w:rFonts w:ascii="Times New Roman" w:hAnsi="Times New Roman" w:cs="Times New Roman"/>
          <w:b/>
          <w:bCs/>
        </w:rPr>
        <w:t>、应收票据</w:t>
      </w:r>
      <w:bookmarkEnd w:id="245"/>
    </w:p>
    <w:p w14:paraId="458E4726"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46" w:name="_Toc98913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应收票据分类列示</w:t>
      </w:r>
      <w:bookmarkEnd w:id="246"/>
    </w:p>
    <w:p w14:paraId="7E4C48DA"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B957671"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F93E16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3B49B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886EF4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602B7E70"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FEDA11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A4AF4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4,765,410.11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9110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2,341,021.98</w:t>
            </w:r>
          </w:p>
        </w:tc>
      </w:tr>
      <w:tr w:rsidR="00E32FE0" w:rsidRPr="005B5EC1" w14:paraId="313B16FA"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9E836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24C64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4,765,410.11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0D7C8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2,341,021.98</w:t>
            </w:r>
          </w:p>
        </w:tc>
      </w:tr>
    </w:tbl>
    <w:p w14:paraId="42ED4525"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47" w:name="_Toc989132"/>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按坏账计提方法分类披露</w:t>
      </w:r>
      <w:bookmarkEnd w:id="247"/>
    </w:p>
    <w:p w14:paraId="7F4ED745" w14:textId="0EA5799D" w:rsidR="002A6312" w:rsidRDefault="002A6312" w:rsidP="002A6312">
      <w:pPr>
        <w:spacing w:before="40" w:after="4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无</w:t>
      </w:r>
    </w:p>
    <w:p w14:paraId="60432AD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48" w:name="_Toc989133"/>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本期计提、收回或转回的坏账准备情况</w:t>
      </w:r>
      <w:bookmarkEnd w:id="248"/>
    </w:p>
    <w:p w14:paraId="7D0A7CB5" w14:textId="77777777" w:rsidR="002A6312" w:rsidRDefault="002A6312" w:rsidP="002A6312">
      <w:pPr>
        <w:spacing w:before="40" w:after="40" w:line="240" w:lineRule="exact"/>
        <w:rPr>
          <w:rFonts w:ascii="Times New Roman" w:eastAsia="宋体" w:hAnsi="Times New Roman" w:cs="Times New Roman"/>
          <w:sz w:val="18"/>
          <w:szCs w:val="18"/>
        </w:rPr>
      </w:pPr>
      <w:bookmarkStart w:id="249" w:name="_Toc989134"/>
      <w:r>
        <w:rPr>
          <w:rFonts w:ascii="Times New Roman" w:eastAsia="宋体" w:hAnsi="Times New Roman" w:cs="Times New Roman" w:hint="eastAsia"/>
          <w:sz w:val="18"/>
          <w:szCs w:val="18"/>
        </w:rPr>
        <w:t>无</w:t>
      </w:r>
    </w:p>
    <w:p w14:paraId="031185B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期末公司已质押的应收票据</w:t>
      </w:r>
      <w:bookmarkEnd w:id="249"/>
    </w:p>
    <w:p w14:paraId="165F1E66" w14:textId="77777777" w:rsidR="002A6312" w:rsidRDefault="002A6312" w:rsidP="002A6312">
      <w:pPr>
        <w:spacing w:before="40" w:after="40" w:line="240" w:lineRule="exact"/>
        <w:rPr>
          <w:rFonts w:ascii="Times New Roman" w:eastAsia="宋体" w:hAnsi="Times New Roman" w:cs="Times New Roman"/>
          <w:sz w:val="18"/>
          <w:szCs w:val="18"/>
        </w:rPr>
      </w:pPr>
      <w:bookmarkStart w:id="250" w:name="_Toc989135"/>
      <w:r>
        <w:rPr>
          <w:rFonts w:ascii="Times New Roman" w:eastAsia="宋体" w:hAnsi="Times New Roman" w:cs="Times New Roman" w:hint="eastAsia"/>
          <w:sz w:val="18"/>
          <w:szCs w:val="18"/>
        </w:rPr>
        <w:t>无</w:t>
      </w:r>
    </w:p>
    <w:p w14:paraId="583D755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期末公司已背书或贴现且在资产负债表日尚未到期的应收票据</w:t>
      </w:r>
      <w:bookmarkEnd w:id="250"/>
    </w:p>
    <w:p w14:paraId="48CA585A"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7090F81"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5AC49D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98979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FC4C5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期末未终止确认金额</w:t>
            </w:r>
          </w:p>
        </w:tc>
      </w:tr>
      <w:tr w:rsidR="00E32FE0" w:rsidRPr="005B5EC1" w14:paraId="09F6375D"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A48B4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080CE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6,644,921.13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87B9F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C07E87A"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B69D5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9BFC39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6,644,921.13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CBE4FCB"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666E5FF8"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51" w:name="_Toc98913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6</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本期实际核销的应收票据情况</w:t>
      </w:r>
      <w:bookmarkEnd w:id="251"/>
    </w:p>
    <w:p w14:paraId="55636669" w14:textId="77777777" w:rsidR="00AF139E" w:rsidRPr="005B5EC1" w:rsidRDefault="00000000">
      <w:pPr>
        <w:pStyle w:val="a3"/>
        <w:divId w:val="1895505260"/>
        <w:rPr>
          <w:rFonts w:ascii="Times New Roman" w:hAnsi="Times New Roman" w:cs="Times New Roman"/>
          <w:sz w:val="18"/>
          <w:szCs w:val="18"/>
        </w:rPr>
      </w:pPr>
      <w:r w:rsidRPr="005B5EC1">
        <w:rPr>
          <w:rFonts w:ascii="Times New Roman" w:hAnsi="Times New Roman" w:cs="Times New Roman"/>
          <w:sz w:val="18"/>
          <w:szCs w:val="18"/>
        </w:rPr>
        <w:t>无</w:t>
      </w:r>
    </w:p>
    <w:p w14:paraId="615CA854" w14:textId="77777777" w:rsidR="00E32FE0" w:rsidRPr="005B5EC1" w:rsidRDefault="00000000">
      <w:pPr>
        <w:pStyle w:val="3"/>
        <w:spacing w:line="280" w:lineRule="exact"/>
        <w:jc w:val="left"/>
        <w:rPr>
          <w:rFonts w:ascii="Times New Roman" w:hAnsi="Times New Roman" w:cs="Times New Roman"/>
          <w:b/>
          <w:bCs/>
        </w:rPr>
      </w:pPr>
      <w:bookmarkStart w:id="252" w:name="_Toc989137"/>
      <w:r w:rsidRPr="005B5EC1">
        <w:rPr>
          <w:rFonts w:ascii="Times New Roman" w:hAnsi="Times New Roman" w:cs="Times New Roman"/>
          <w:b/>
          <w:bCs/>
        </w:rPr>
        <w:t>5</w:t>
      </w:r>
      <w:r w:rsidRPr="005B5EC1">
        <w:rPr>
          <w:rFonts w:ascii="Times New Roman" w:hAnsi="Times New Roman" w:cs="Times New Roman"/>
          <w:b/>
          <w:bCs/>
        </w:rPr>
        <w:t>、应收账款</w:t>
      </w:r>
      <w:bookmarkEnd w:id="252"/>
    </w:p>
    <w:p w14:paraId="3AB284B8"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53" w:name="_Toc989138"/>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按账龄披露</w:t>
      </w:r>
      <w:bookmarkEnd w:id="253"/>
    </w:p>
    <w:p w14:paraId="6D9A5764"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4482899"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5177B48"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E15EFD"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05BD9D"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期初账面余额</w:t>
            </w:r>
          </w:p>
        </w:tc>
      </w:tr>
      <w:tr w:rsidR="00E32FE0" w:rsidRPr="005B5EC1" w14:paraId="0D525AF6"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F4A3E7D"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年以内（含</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E4C1122"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402,662,121.70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3A2961"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423,052,751.88</w:t>
            </w:r>
          </w:p>
        </w:tc>
      </w:tr>
      <w:tr w:rsidR="00E32FE0" w:rsidRPr="005B5EC1" w14:paraId="11A18438"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B78586D"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2E504E5"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369,427,226.14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6F9A0FA"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377,982,308.58</w:t>
            </w:r>
          </w:p>
        </w:tc>
      </w:tr>
      <w:tr w:rsidR="00E32FE0" w:rsidRPr="005B5EC1" w14:paraId="7D169AB7"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5A134F"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A3BC08"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27,407,176.98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2713BF8"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37,600,155.37</w:t>
            </w:r>
          </w:p>
        </w:tc>
      </w:tr>
      <w:tr w:rsidR="00E32FE0" w:rsidRPr="005B5EC1" w14:paraId="39C4100D"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73A67F9"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7-9</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6B3A14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1,728,056.18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3F4196"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5,104,597.71</w:t>
            </w:r>
          </w:p>
        </w:tc>
      </w:tr>
      <w:tr w:rsidR="00E32FE0" w:rsidRPr="005B5EC1" w14:paraId="0D6AC596"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A8A69A"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10-12</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E0C40A8"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4,099,662.40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719374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2,365,690.22</w:t>
            </w:r>
          </w:p>
        </w:tc>
      </w:tr>
      <w:tr w:rsidR="00E32FE0" w:rsidRPr="005B5EC1" w14:paraId="1749F8EB"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42ACBB4"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8D5ABC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17,426,348.15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82BE702"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56,683,372.53</w:t>
            </w:r>
          </w:p>
        </w:tc>
      </w:tr>
      <w:tr w:rsidR="00E32FE0" w:rsidRPr="005B5EC1" w14:paraId="7EC934AC"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BDF03E6"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5A54EB2"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47,666,285.30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C8C8B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15,408,067.41</w:t>
            </w:r>
          </w:p>
        </w:tc>
      </w:tr>
      <w:tr w:rsidR="00E32FE0" w:rsidRPr="005B5EC1" w14:paraId="5BBE3F05"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7F6B807"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FE9CAB"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13,524,754.91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CD017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963,570.66</w:t>
            </w:r>
          </w:p>
        </w:tc>
      </w:tr>
      <w:tr w:rsidR="00E32FE0" w:rsidRPr="005B5EC1" w14:paraId="53D37A4F"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C848845" w14:textId="77777777" w:rsidR="00E32FE0" w:rsidRPr="005B5EC1" w:rsidRDefault="00000000" w:rsidP="00280E85">
            <w:pPr>
              <w:spacing w:before="40" w:after="40" w:line="276" w:lineRule="auto"/>
              <w:ind w:firstLineChars="100" w:firstLine="180"/>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3</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36C96A8"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13,341,499.94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7DC91D6"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963,570.66</w:t>
            </w:r>
          </w:p>
        </w:tc>
      </w:tr>
      <w:tr w:rsidR="00E32FE0" w:rsidRPr="005B5EC1" w14:paraId="11C6D224"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308120C" w14:textId="77777777" w:rsidR="00E32FE0" w:rsidRPr="005B5EC1" w:rsidRDefault="00000000" w:rsidP="00280E85">
            <w:pPr>
              <w:spacing w:before="40" w:after="40" w:line="276" w:lineRule="auto"/>
              <w:ind w:firstLineChars="100" w:firstLine="180"/>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7A93F0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183,254.97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2E40CAB" w14:textId="77777777" w:rsidR="00E32FE0" w:rsidRPr="005B5EC1" w:rsidRDefault="00E32FE0" w:rsidP="00280E85">
            <w:pPr>
              <w:spacing w:after="0" w:line="276" w:lineRule="auto"/>
              <w:jc w:val="right"/>
              <w:rPr>
                <w:rFonts w:ascii="Times New Roman" w:eastAsia="宋体" w:hAnsi="Times New Roman" w:cs="Times New Roman"/>
                <w:sz w:val="18"/>
                <w:szCs w:val="18"/>
              </w:rPr>
            </w:pPr>
          </w:p>
        </w:tc>
      </w:tr>
      <w:tr w:rsidR="00E32FE0" w:rsidRPr="005B5EC1" w14:paraId="1B740EB8"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37876A3"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F6C109A"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481,279,510.06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FC59F10"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496,107,762.48</w:t>
            </w:r>
          </w:p>
        </w:tc>
      </w:tr>
    </w:tbl>
    <w:p w14:paraId="4E655D85"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54" w:name="_Toc989139"/>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按坏账计提方法分类披露</w:t>
      </w:r>
      <w:bookmarkEnd w:id="254"/>
    </w:p>
    <w:p w14:paraId="21C18565"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56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57"/>
        <w:gridCol w:w="1209"/>
        <w:gridCol w:w="710"/>
        <w:gridCol w:w="1133"/>
        <w:gridCol w:w="709"/>
        <w:gridCol w:w="1276"/>
        <w:gridCol w:w="1134"/>
        <w:gridCol w:w="708"/>
        <w:gridCol w:w="1134"/>
        <w:gridCol w:w="624"/>
        <w:gridCol w:w="958"/>
        <w:gridCol w:w="14"/>
      </w:tblGrid>
      <w:tr w:rsidR="00E32FE0" w:rsidRPr="005B5EC1" w14:paraId="791ED36B" w14:textId="77777777" w:rsidTr="00280E85">
        <w:trPr>
          <w:trHeight w:val="241"/>
          <w:jc w:val="center"/>
        </w:trPr>
        <w:tc>
          <w:tcPr>
            <w:tcW w:w="95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827318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类别</w:t>
            </w:r>
          </w:p>
        </w:tc>
        <w:tc>
          <w:tcPr>
            <w:tcW w:w="5037"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2A31C7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4572"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3687218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280E85" w:rsidRPr="005B5EC1" w14:paraId="5B041380" w14:textId="77777777" w:rsidTr="00280E85">
        <w:trPr>
          <w:trHeight w:val="241"/>
          <w:jc w:val="center"/>
        </w:trPr>
        <w:tc>
          <w:tcPr>
            <w:tcW w:w="95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EA1AEBA" w14:textId="77777777" w:rsidR="00E32FE0" w:rsidRPr="005B5EC1" w:rsidRDefault="00E32FE0">
            <w:pPr>
              <w:rPr>
                <w:rFonts w:ascii="Times New Roman" w:hAnsi="Times New Roman" w:cs="Times New Roman"/>
              </w:rPr>
            </w:pPr>
          </w:p>
        </w:tc>
        <w:tc>
          <w:tcPr>
            <w:tcW w:w="191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BB8DCF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8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E0240A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7764A3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184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009DEC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75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5B40DA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9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77C6A3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r>
      <w:tr w:rsidR="005B5EC1" w:rsidRPr="005B5EC1" w14:paraId="2E40DAFC" w14:textId="77777777" w:rsidTr="00280E85">
        <w:trPr>
          <w:gridAfter w:val="1"/>
          <w:wAfter w:w="14" w:type="dxa"/>
          <w:trHeight w:val="241"/>
          <w:jc w:val="center"/>
        </w:trPr>
        <w:tc>
          <w:tcPr>
            <w:tcW w:w="95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466D0CF0" w14:textId="77777777" w:rsidR="00E32FE0" w:rsidRPr="005B5EC1" w:rsidRDefault="00E32FE0">
            <w:pPr>
              <w:rPr>
                <w:rFonts w:ascii="Times New Roman" w:hAnsi="Times New Roman" w:cs="Times New Roman"/>
              </w:rPr>
            </w:pPr>
          </w:p>
        </w:tc>
        <w:tc>
          <w:tcPr>
            <w:tcW w:w="1209" w:type="dxa"/>
            <w:tcBorders>
              <w:top w:val="single" w:sz="2" w:space="0" w:color="auto"/>
              <w:left w:val="single" w:sz="2" w:space="0" w:color="auto"/>
              <w:bottom w:val="single" w:sz="2" w:space="0" w:color="auto"/>
              <w:right w:val="single" w:sz="2" w:space="0" w:color="auto"/>
            </w:tcBorders>
            <w:shd w:val="clear" w:color="auto" w:fill="auto"/>
            <w:vAlign w:val="center"/>
          </w:tcPr>
          <w:p w14:paraId="60961B3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710" w:type="dxa"/>
            <w:tcBorders>
              <w:top w:val="single" w:sz="2" w:space="0" w:color="auto"/>
              <w:left w:val="single" w:sz="2" w:space="0" w:color="auto"/>
              <w:bottom w:val="single" w:sz="2" w:space="0" w:color="auto"/>
              <w:right w:val="single" w:sz="2" w:space="0" w:color="auto"/>
            </w:tcBorders>
            <w:shd w:val="clear" w:color="auto" w:fill="auto"/>
            <w:vAlign w:val="center"/>
          </w:tcPr>
          <w:p w14:paraId="799E15F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c>
          <w:tcPr>
            <w:tcW w:w="1133" w:type="dxa"/>
            <w:tcBorders>
              <w:top w:val="single" w:sz="2" w:space="0" w:color="auto"/>
              <w:left w:val="single" w:sz="2" w:space="0" w:color="auto"/>
              <w:bottom w:val="single" w:sz="2" w:space="0" w:color="auto"/>
              <w:right w:val="single" w:sz="2" w:space="0" w:color="auto"/>
            </w:tcBorders>
            <w:shd w:val="clear" w:color="auto" w:fill="auto"/>
            <w:vAlign w:val="center"/>
          </w:tcPr>
          <w:p w14:paraId="40BEA06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C1C04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c>
          <w:tcPr>
            <w:tcW w:w="1276"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9E78877" w14:textId="77777777" w:rsidR="00E32FE0" w:rsidRPr="005B5EC1" w:rsidRDefault="00E32FE0">
            <w:pP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26AFEC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2DBD891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B41EF6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0B8B3D4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c>
          <w:tcPr>
            <w:tcW w:w="958" w:type="dxa"/>
            <w:tcBorders>
              <w:top w:val="single" w:sz="2" w:space="0" w:color="auto"/>
              <w:left w:val="single" w:sz="2" w:space="0" w:color="auto"/>
              <w:bottom w:val="single" w:sz="2" w:space="0" w:color="auto"/>
              <w:right w:val="single" w:sz="2" w:space="0" w:color="auto"/>
            </w:tcBorders>
            <w:shd w:val="clear" w:color="auto" w:fill="auto"/>
            <w:vAlign w:val="center"/>
          </w:tcPr>
          <w:p w14:paraId="77B9CED6" w14:textId="77777777" w:rsidR="00E32FE0" w:rsidRPr="005B5EC1" w:rsidRDefault="00E32FE0">
            <w:pPr>
              <w:rPr>
                <w:rFonts w:ascii="Times New Roman" w:hAnsi="Times New Roman" w:cs="Times New Roman"/>
              </w:rPr>
            </w:pPr>
          </w:p>
        </w:tc>
      </w:tr>
      <w:tr w:rsidR="00280E85" w:rsidRPr="005B5EC1" w14:paraId="46A20AF0" w14:textId="77777777" w:rsidTr="00280E85">
        <w:trPr>
          <w:gridAfter w:val="1"/>
          <w:wAfter w:w="14" w:type="dxa"/>
          <w:trHeight w:val="241"/>
          <w:jc w:val="center"/>
        </w:trPr>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14:paraId="091DB71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按单项计提坏账准备的应收账款</w:t>
            </w:r>
          </w:p>
        </w:tc>
        <w:tc>
          <w:tcPr>
            <w:tcW w:w="1209" w:type="dxa"/>
            <w:tcBorders>
              <w:top w:val="single" w:sz="2" w:space="0" w:color="auto"/>
              <w:left w:val="single" w:sz="2" w:space="0" w:color="auto"/>
              <w:bottom w:val="single" w:sz="2" w:space="0" w:color="auto"/>
              <w:right w:val="single" w:sz="2" w:space="0" w:color="auto"/>
            </w:tcBorders>
            <w:shd w:val="clear" w:color="auto" w:fill="auto"/>
            <w:vAlign w:val="center"/>
          </w:tcPr>
          <w:p w14:paraId="540684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30,938,932.05</w:t>
            </w:r>
          </w:p>
        </w:tc>
        <w:tc>
          <w:tcPr>
            <w:tcW w:w="710" w:type="dxa"/>
            <w:tcBorders>
              <w:top w:val="single" w:sz="2" w:space="0" w:color="auto"/>
              <w:left w:val="single" w:sz="2" w:space="0" w:color="auto"/>
              <w:bottom w:val="single" w:sz="2" w:space="0" w:color="auto"/>
              <w:right w:val="single" w:sz="2" w:space="0" w:color="auto"/>
            </w:tcBorders>
            <w:shd w:val="clear" w:color="auto" w:fill="auto"/>
            <w:vAlign w:val="center"/>
          </w:tcPr>
          <w:p w14:paraId="191774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6.43%</w:t>
            </w:r>
          </w:p>
        </w:tc>
        <w:tc>
          <w:tcPr>
            <w:tcW w:w="1133" w:type="dxa"/>
            <w:tcBorders>
              <w:top w:val="single" w:sz="2" w:space="0" w:color="auto"/>
              <w:left w:val="single" w:sz="2" w:space="0" w:color="auto"/>
              <w:bottom w:val="single" w:sz="2" w:space="0" w:color="auto"/>
              <w:right w:val="single" w:sz="2" w:space="0" w:color="auto"/>
            </w:tcBorders>
            <w:shd w:val="clear" w:color="auto" w:fill="auto"/>
            <w:vAlign w:val="center"/>
          </w:tcPr>
          <w:p w14:paraId="33CB1E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23,838,932.05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26ADFF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77.05%</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91EF9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7,100,000.00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46886D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39,843,943.39</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590AE2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19DE33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32,323,907.24</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712195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81.13%</w:t>
            </w:r>
          </w:p>
        </w:tc>
        <w:tc>
          <w:tcPr>
            <w:tcW w:w="958" w:type="dxa"/>
            <w:tcBorders>
              <w:top w:val="single" w:sz="2" w:space="0" w:color="auto"/>
              <w:left w:val="single" w:sz="2" w:space="0" w:color="auto"/>
              <w:bottom w:val="single" w:sz="2" w:space="0" w:color="auto"/>
              <w:right w:val="single" w:sz="2" w:space="0" w:color="auto"/>
            </w:tcBorders>
            <w:shd w:val="clear" w:color="auto" w:fill="auto"/>
            <w:vAlign w:val="center"/>
          </w:tcPr>
          <w:p w14:paraId="3083AD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7,520,036.15</w:t>
            </w:r>
          </w:p>
        </w:tc>
      </w:tr>
      <w:tr w:rsidR="00280E85" w:rsidRPr="005B5EC1" w14:paraId="3EE78604" w14:textId="77777777" w:rsidTr="00280E85">
        <w:trPr>
          <w:gridAfter w:val="1"/>
          <w:wAfter w:w="14" w:type="dxa"/>
          <w:trHeight w:val="241"/>
          <w:jc w:val="center"/>
        </w:trPr>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14:paraId="518A842F"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1209" w:type="dxa"/>
            <w:tcBorders>
              <w:top w:val="single" w:sz="2" w:space="0" w:color="auto"/>
              <w:left w:val="single" w:sz="2" w:space="0" w:color="auto"/>
              <w:bottom w:val="single" w:sz="2" w:space="0" w:color="auto"/>
              <w:right w:val="single" w:sz="2" w:space="0" w:color="auto"/>
            </w:tcBorders>
            <w:shd w:val="clear" w:color="auto" w:fill="auto"/>
            <w:vAlign w:val="center"/>
          </w:tcPr>
          <w:p w14:paraId="49FDE799" w14:textId="77777777" w:rsidR="00E32FE0" w:rsidRPr="005B5EC1" w:rsidRDefault="00E32FE0">
            <w:pPr>
              <w:rPr>
                <w:rFonts w:ascii="Times New Roman" w:hAnsi="Times New Roman" w:cs="Times New Roman"/>
              </w:rPr>
            </w:pPr>
          </w:p>
        </w:tc>
        <w:tc>
          <w:tcPr>
            <w:tcW w:w="710" w:type="dxa"/>
            <w:tcBorders>
              <w:top w:val="single" w:sz="2" w:space="0" w:color="auto"/>
              <w:left w:val="single" w:sz="2" w:space="0" w:color="auto"/>
              <w:bottom w:val="single" w:sz="2" w:space="0" w:color="auto"/>
              <w:right w:val="single" w:sz="2" w:space="0" w:color="auto"/>
            </w:tcBorders>
            <w:shd w:val="clear" w:color="auto" w:fill="auto"/>
            <w:vAlign w:val="center"/>
          </w:tcPr>
          <w:p w14:paraId="2CAAC155" w14:textId="77777777" w:rsidR="00E32FE0" w:rsidRPr="005B5EC1" w:rsidRDefault="00E32FE0">
            <w:pPr>
              <w:rPr>
                <w:rFonts w:ascii="Times New Roman" w:hAnsi="Times New Roman" w:cs="Times New Roman"/>
              </w:rPr>
            </w:pPr>
          </w:p>
        </w:tc>
        <w:tc>
          <w:tcPr>
            <w:tcW w:w="1133" w:type="dxa"/>
            <w:tcBorders>
              <w:top w:val="single" w:sz="2" w:space="0" w:color="auto"/>
              <w:left w:val="single" w:sz="2" w:space="0" w:color="auto"/>
              <w:bottom w:val="single" w:sz="2" w:space="0" w:color="auto"/>
              <w:right w:val="single" w:sz="2" w:space="0" w:color="auto"/>
            </w:tcBorders>
            <w:shd w:val="clear" w:color="auto" w:fill="auto"/>
            <w:vAlign w:val="center"/>
          </w:tcPr>
          <w:p w14:paraId="2DC7B12C" w14:textId="77777777" w:rsidR="00E32FE0" w:rsidRPr="005B5EC1" w:rsidRDefault="00E32FE0">
            <w:pPr>
              <w:rPr>
                <w:rFonts w:ascii="Times New Roman" w:hAnsi="Times New Roman" w:cs="Times New Roman"/>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0E4AFE9" w14:textId="77777777" w:rsidR="00E32FE0" w:rsidRPr="005B5EC1" w:rsidRDefault="00E32FE0">
            <w:pPr>
              <w:rPr>
                <w:rFonts w:ascii="Times New Roman" w:hAnsi="Times New Roman" w:cs="Times New Roman"/>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03D700F" w14:textId="77777777" w:rsidR="00E32FE0" w:rsidRPr="005B5EC1" w:rsidRDefault="00E32FE0">
            <w:pP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000D74E" w14:textId="77777777" w:rsidR="00E32FE0" w:rsidRPr="005B5EC1" w:rsidRDefault="00E32FE0">
            <w:pPr>
              <w:rPr>
                <w:rFonts w:ascii="Times New Roman" w:hAnsi="Times New Roman" w:cs="Times New Roman"/>
              </w:rPr>
            </w:pP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0B507560" w14:textId="77777777" w:rsidR="00E32FE0" w:rsidRPr="005B5EC1" w:rsidRDefault="00E32FE0">
            <w:pP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8B39388" w14:textId="77777777" w:rsidR="00E32FE0" w:rsidRPr="005B5EC1" w:rsidRDefault="00E32FE0">
            <w:pPr>
              <w:rPr>
                <w:rFonts w:ascii="Times New Roman" w:hAnsi="Times New Roman" w:cs="Times New Roman"/>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0C2F8FF7" w14:textId="77777777" w:rsidR="00E32FE0" w:rsidRPr="005B5EC1" w:rsidRDefault="00E32FE0">
            <w:pPr>
              <w:rPr>
                <w:rFonts w:ascii="Times New Roman" w:hAnsi="Times New Roman" w:cs="Times New Roman"/>
              </w:rPr>
            </w:pPr>
          </w:p>
        </w:tc>
        <w:tc>
          <w:tcPr>
            <w:tcW w:w="958" w:type="dxa"/>
            <w:tcBorders>
              <w:top w:val="single" w:sz="2" w:space="0" w:color="auto"/>
              <w:left w:val="single" w:sz="2" w:space="0" w:color="auto"/>
              <w:bottom w:val="single" w:sz="2" w:space="0" w:color="auto"/>
              <w:right w:val="single" w:sz="2" w:space="0" w:color="auto"/>
            </w:tcBorders>
            <w:shd w:val="clear" w:color="auto" w:fill="auto"/>
            <w:vAlign w:val="center"/>
          </w:tcPr>
          <w:p w14:paraId="17B2BC1E" w14:textId="77777777" w:rsidR="00E32FE0" w:rsidRPr="005B5EC1" w:rsidRDefault="00E32FE0">
            <w:pPr>
              <w:rPr>
                <w:rFonts w:ascii="Times New Roman" w:hAnsi="Times New Roman" w:cs="Times New Roman"/>
              </w:rPr>
            </w:pPr>
          </w:p>
        </w:tc>
      </w:tr>
      <w:tr w:rsidR="00280E85" w:rsidRPr="005B5EC1" w14:paraId="1A8F387A" w14:textId="77777777" w:rsidTr="00280E85">
        <w:trPr>
          <w:gridAfter w:val="1"/>
          <w:wAfter w:w="14" w:type="dxa"/>
          <w:trHeight w:val="241"/>
          <w:jc w:val="center"/>
        </w:trPr>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14:paraId="530D2D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按单项计提坏账准备</w:t>
            </w:r>
          </w:p>
        </w:tc>
        <w:tc>
          <w:tcPr>
            <w:tcW w:w="1209" w:type="dxa"/>
            <w:tcBorders>
              <w:top w:val="single" w:sz="2" w:space="0" w:color="auto"/>
              <w:left w:val="single" w:sz="2" w:space="0" w:color="auto"/>
              <w:bottom w:val="single" w:sz="2" w:space="0" w:color="auto"/>
              <w:right w:val="single" w:sz="2" w:space="0" w:color="auto"/>
            </w:tcBorders>
            <w:shd w:val="clear" w:color="auto" w:fill="auto"/>
            <w:vAlign w:val="center"/>
          </w:tcPr>
          <w:p w14:paraId="3B91D7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30,938,932.05</w:t>
            </w:r>
          </w:p>
        </w:tc>
        <w:tc>
          <w:tcPr>
            <w:tcW w:w="710" w:type="dxa"/>
            <w:tcBorders>
              <w:top w:val="single" w:sz="2" w:space="0" w:color="auto"/>
              <w:left w:val="single" w:sz="2" w:space="0" w:color="auto"/>
              <w:bottom w:val="single" w:sz="2" w:space="0" w:color="auto"/>
              <w:right w:val="single" w:sz="2" w:space="0" w:color="auto"/>
            </w:tcBorders>
            <w:shd w:val="clear" w:color="auto" w:fill="auto"/>
            <w:vAlign w:val="center"/>
          </w:tcPr>
          <w:p w14:paraId="64F5A8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6.43%</w:t>
            </w:r>
          </w:p>
        </w:tc>
        <w:tc>
          <w:tcPr>
            <w:tcW w:w="1133" w:type="dxa"/>
            <w:tcBorders>
              <w:top w:val="single" w:sz="2" w:space="0" w:color="auto"/>
              <w:left w:val="single" w:sz="2" w:space="0" w:color="auto"/>
              <w:bottom w:val="single" w:sz="2" w:space="0" w:color="auto"/>
              <w:right w:val="single" w:sz="2" w:space="0" w:color="auto"/>
            </w:tcBorders>
            <w:shd w:val="clear" w:color="auto" w:fill="auto"/>
            <w:vAlign w:val="center"/>
          </w:tcPr>
          <w:p w14:paraId="3F40EA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23,838,932.05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8791C5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77.05%</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940EF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7,100,000.00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B2C11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39,843,943.39</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14A5CE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7E382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32,323,907.24</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2E0396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81.13%</w:t>
            </w:r>
          </w:p>
        </w:tc>
        <w:tc>
          <w:tcPr>
            <w:tcW w:w="958" w:type="dxa"/>
            <w:tcBorders>
              <w:top w:val="single" w:sz="2" w:space="0" w:color="auto"/>
              <w:left w:val="single" w:sz="2" w:space="0" w:color="auto"/>
              <w:bottom w:val="single" w:sz="2" w:space="0" w:color="auto"/>
              <w:right w:val="single" w:sz="2" w:space="0" w:color="auto"/>
            </w:tcBorders>
            <w:shd w:val="clear" w:color="auto" w:fill="auto"/>
            <w:vAlign w:val="center"/>
          </w:tcPr>
          <w:p w14:paraId="5AB987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7,520,036.15</w:t>
            </w:r>
          </w:p>
        </w:tc>
      </w:tr>
      <w:tr w:rsidR="00280E85" w:rsidRPr="005B5EC1" w14:paraId="4A867E50" w14:textId="77777777" w:rsidTr="00280E85">
        <w:trPr>
          <w:gridAfter w:val="1"/>
          <w:wAfter w:w="14" w:type="dxa"/>
          <w:trHeight w:val="241"/>
          <w:jc w:val="center"/>
        </w:trPr>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14:paraId="03765C0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按组合计提坏账准备的应收账款</w:t>
            </w:r>
          </w:p>
        </w:tc>
        <w:tc>
          <w:tcPr>
            <w:tcW w:w="1209" w:type="dxa"/>
            <w:tcBorders>
              <w:top w:val="single" w:sz="2" w:space="0" w:color="auto"/>
              <w:left w:val="single" w:sz="2" w:space="0" w:color="auto"/>
              <w:bottom w:val="single" w:sz="2" w:space="0" w:color="auto"/>
              <w:right w:val="single" w:sz="2" w:space="0" w:color="auto"/>
            </w:tcBorders>
            <w:shd w:val="clear" w:color="auto" w:fill="auto"/>
            <w:vAlign w:val="center"/>
          </w:tcPr>
          <w:p w14:paraId="6EB5BC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450,340,578.01</w:t>
            </w:r>
          </w:p>
        </w:tc>
        <w:tc>
          <w:tcPr>
            <w:tcW w:w="710" w:type="dxa"/>
            <w:tcBorders>
              <w:top w:val="single" w:sz="2" w:space="0" w:color="auto"/>
              <w:left w:val="single" w:sz="2" w:space="0" w:color="auto"/>
              <w:bottom w:val="single" w:sz="2" w:space="0" w:color="auto"/>
              <w:right w:val="single" w:sz="2" w:space="0" w:color="auto"/>
            </w:tcBorders>
            <w:shd w:val="clear" w:color="auto" w:fill="auto"/>
            <w:vAlign w:val="center"/>
          </w:tcPr>
          <w:p w14:paraId="4D0F74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93.57%</w:t>
            </w:r>
          </w:p>
        </w:tc>
        <w:tc>
          <w:tcPr>
            <w:tcW w:w="1133" w:type="dxa"/>
            <w:tcBorders>
              <w:top w:val="single" w:sz="2" w:space="0" w:color="auto"/>
              <w:left w:val="single" w:sz="2" w:space="0" w:color="auto"/>
              <w:bottom w:val="single" w:sz="2" w:space="0" w:color="auto"/>
              <w:right w:val="single" w:sz="2" w:space="0" w:color="auto"/>
            </w:tcBorders>
            <w:shd w:val="clear" w:color="auto" w:fill="auto"/>
            <w:vAlign w:val="center"/>
          </w:tcPr>
          <w:p w14:paraId="64E2B4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28,706,522.69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84536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6.37%</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25082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421,634,055.32</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5A9D8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456,263,819.09</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7FDE26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91.97%</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86698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19,356,743.17</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62F0FBE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4.24%</w:t>
            </w:r>
          </w:p>
        </w:tc>
        <w:tc>
          <w:tcPr>
            <w:tcW w:w="958" w:type="dxa"/>
            <w:tcBorders>
              <w:top w:val="single" w:sz="2" w:space="0" w:color="auto"/>
              <w:left w:val="single" w:sz="2" w:space="0" w:color="auto"/>
              <w:bottom w:val="single" w:sz="2" w:space="0" w:color="auto"/>
              <w:right w:val="single" w:sz="2" w:space="0" w:color="auto"/>
            </w:tcBorders>
            <w:shd w:val="clear" w:color="auto" w:fill="auto"/>
            <w:vAlign w:val="center"/>
          </w:tcPr>
          <w:p w14:paraId="51FBF8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436,907,075.92</w:t>
            </w:r>
          </w:p>
        </w:tc>
      </w:tr>
      <w:tr w:rsidR="00280E85" w:rsidRPr="005B5EC1" w14:paraId="457E6219" w14:textId="77777777" w:rsidTr="00280E85">
        <w:trPr>
          <w:gridAfter w:val="1"/>
          <w:wAfter w:w="14" w:type="dxa"/>
          <w:trHeight w:val="241"/>
          <w:jc w:val="center"/>
        </w:trPr>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14:paraId="24A8A8F8"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1209" w:type="dxa"/>
            <w:tcBorders>
              <w:top w:val="single" w:sz="2" w:space="0" w:color="auto"/>
              <w:left w:val="single" w:sz="2" w:space="0" w:color="auto"/>
              <w:bottom w:val="single" w:sz="2" w:space="0" w:color="auto"/>
              <w:right w:val="single" w:sz="2" w:space="0" w:color="auto"/>
            </w:tcBorders>
            <w:shd w:val="clear" w:color="auto" w:fill="auto"/>
            <w:vAlign w:val="center"/>
          </w:tcPr>
          <w:p w14:paraId="7566E6C4" w14:textId="77777777" w:rsidR="00E32FE0" w:rsidRPr="005B5EC1" w:rsidRDefault="00E32FE0">
            <w:pPr>
              <w:rPr>
                <w:rFonts w:ascii="Times New Roman" w:hAnsi="Times New Roman" w:cs="Times New Roman"/>
              </w:rPr>
            </w:pPr>
          </w:p>
        </w:tc>
        <w:tc>
          <w:tcPr>
            <w:tcW w:w="710" w:type="dxa"/>
            <w:tcBorders>
              <w:top w:val="single" w:sz="2" w:space="0" w:color="auto"/>
              <w:left w:val="single" w:sz="2" w:space="0" w:color="auto"/>
              <w:bottom w:val="single" w:sz="2" w:space="0" w:color="auto"/>
              <w:right w:val="single" w:sz="2" w:space="0" w:color="auto"/>
            </w:tcBorders>
            <w:shd w:val="clear" w:color="auto" w:fill="auto"/>
            <w:vAlign w:val="center"/>
          </w:tcPr>
          <w:p w14:paraId="07AFE1A5" w14:textId="77777777" w:rsidR="00E32FE0" w:rsidRPr="005B5EC1" w:rsidRDefault="00E32FE0">
            <w:pPr>
              <w:rPr>
                <w:rFonts w:ascii="Times New Roman" w:hAnsi="Times New Roman" w:cs="Times New Roman"/>
              </w:rPr>
            </w:pPr>
          </w:p>
        </w:tc>
        <w:tc>
          <w:tcPr>
            <w:tcW w:w="1133" w:type="dxa"/>
            <w:tcBorders>
              <w:top w:val="single" w:sz="2" w:space="0" w:color="auto"/>
              <w:left w:val="single" w:sz="2" w:space="0" w:color="auto"/>
              <w:bottom w:val="single" w:sz="2" w:space="0" w:color="auto"/>
              <w:right w:val="single" w:sz="2" w:space="0" w:color="auto"/>
            </w:tcBorders>
            <w:shd w:val="clear" w:color="auto" w:fill="auto"/>
            <w:vAlign w:val="center"/>
          </w:tcPr>
          <w:p w14:paraId="017034E9" w14:textId="77777777" w:rsidR="00E32FE0" w:rsidRPr="005B5EC1" w:rsidRDefault="00E32FE0">
            <w:pPr>
              <w:rPr>
                <w:rFonts w:ascii="Times New Roman" w:hAnsi="Times New Roman" w:cs="Times New Roman"/>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8AA8A70" w14:textId="77777777" w:rsidR="00E32FE0" w:rsidRPr="005B5EC1" w:rsidRDefault="00E32FE0">
            <w:pPr>
              <w:rPr>
                <w:rFonts w:ascii="Times New Roman" w:hAnsi="Times New Roman" w:cs="Times New Roman"/>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518DC294" w14:textId="77777777" w:rsidR="00E32FE0" w:rsidRPr="005B5EC1" w:rsidRDefault="00E32FE0">
            <w:pP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66E8F8B" w14:textId="77777777" w:rsidR="00E32FE0" w:rsidRPr="005B5EC1" w:rsidRDefault="00E32FE0">
            <w:pPr>
              <w:rPr>
                <w:rFonts w:ascii="Times New Roman" w:hAnsi="Times New Roman" w:cs="Times New Roman"/>
              </w:rPr>
            </w:pP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1A8590EE" w14:textId="77777777" w:rsidR="00E32FE0" w:rsidRPr="005B5EC1" w:rsidRDefault="00E32FE0">
            <w:pP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115AE3D" w14:textId="77777777" w:rsidR="00E32FE0" w:rsidRPr="005B5EC1" w:rsidRDefault="00E32FE0">
            <w:pPr>
              <w:rPr>
                <w:rFonts w:ascii="Times New Roman" w:hAnsi="Times New Roman" w:cs="Times New Roman"/>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07CA2159" w14:textId="77777777" w:rsidR="00E32FE0" w:rsidRPr="005B5EC1" w:rsidRDefault="00E32FE0">
            <w:pPr>
              <w:rPr>
                <w:rFonts w:ascii="Times New Roman" w:hAnsi="Times New Roman" w:cs="Times New Roman"/>
              </w:rPr>
            </w:pPr>
          </w:p>
        </w:tc>
        <w:tc>
          <w:tcPr>
            <w:tcW w:w="958" w:type="dxa"/>
            <w:tcBorders>
              <w:top w:val="single" w:sz="2" w:space="0" w:color="auto"/>
              <w:left w:val="single" w:sz="2" w:space="0" w:color="auto"/>
              <w:bottom w:val="single" w:sz="2" w:space="0" w:color="auto"/>
              <w:right w:val="single" w:sz="2" w:space="0" w:color="auto"/>
            </w:tcBorders>
            <w:shd w:val="clear" w:color="auto" w:fill="auto"/>
            <w:vAlign w:val="center"/>
          </w:tcPr>
          <w:p w14:paraId="706DF5DF" w14:textId="77777777" w:rsidR="00E32FE0" w:rsidRPr="005B5EC1" w:rsidRDefault="00E32FE0">
            <w:pPr>
              <w:rPr>
                <w:rFonts w:ascii="Times New Roman" w:hAnsi="Times New Roman" w:cs="Times New Roman"/>
              </w:rPr>
            </w:pPr>
          </w:p>
        </w:tc>
      </w:tr>
      <w:tr w:rsidR="00280E85" w:rsidRPr="005B5EC1" w14:paraId="7746269B" w14:textId="77777777" w:rsidTr="00280E85">
        <w:trPr>
          <w:gridAfter w:val="1"/>
          <w:wAfter w:w="14" w:type="dxa"/>
          <w:trHeight w:val="241"/>
          <w:jc w:val="center"/>
        </w:trPr>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14:paraId="1C863D1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账龄组合</w:t>
            </w:r>
          </w:p>
        </w:tc>
        <w:tc>
          <w:tcPr>
            <w:tcW w:w="1209" w:type="dxa"/>
            <w:tcBorders>
              <w:top w:val="single" w:sz="2" w:space="0" w:color="auto"/>
              <w:left w:val="single" w:sz="2" w:space="0" w:color="auto"/>
              <w:bottom w:val="single" w:sz="2" w:space="0" w:color="auto"/>
              <w:right w:val="single" w:sz="2" w:space="0" w:color="auto"/>
            </w:tcBorders>
            <w:shd w:val="clear" w:color="auto" w:fill="auto"/>
            <w:vAlign w:val="center"/>
          </w:tcPr>
          <w:p w14:paraId="64E347D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450,340,578.01</w:t>
            </w:r>
          </w:p>
        </w:tc>
        <w:tc>
          <w:tcPr>
            <w:tcW w:w="710" w:type="dxa"/>
            <w:tcBorders>
              <w:top w:val="single" w:sz="2" w:space="0" w:color="auto"/>
              <w:left w:val="single" w:sz="2" w:space="0" w:color="auto"/>
              <w:bottom w:val="single" w:sz="2" w:space="0" w:color="auto"/>
              <w:right w:val="single" w:sz="2" w:space="0" w:color="auto"/>
            </w:tcBorders>
            <w:shd w:val="clear" w:color="auto" w:fill="auto"/>
            <w:vAlign w:val="center"/>
          </w:tcPr>
          <w:p w14:paraId="7E4705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93.57%</w:t>
            </w:r>
          </w:p>
        </w:tc>
        <w:tc>
          <w:tcPr>
            <w:tcW w:w="1133" w:type="dxa"/>
            <w:tcBorders>
              <w:top w:val="single" w:sz="2" w:space="0" w:color="auto"/>
              <w:left w:val="single" w:sz="2" w:space="0" w:color="auto"/>
              <w:bottom w:val="single" w:sz="2" w:space="0" w:color="auto"/>
              <w:right w:val="single" w:sz="2" w:space="0" w:color="auto"/>
            </w:tcBorders>
            <w:shd w:val="clear" w:color="auto" w:fill="auto"/>
            <w:vAlign w:val="center"/>
          </w:tcPr>
          <w:p w14:paraId="05A335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28,706,522.69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1533F8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6.37%</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51B9F4C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421,634,055.32</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5EFD6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456,263,819.09</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3CFD0C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91.97%</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2CDFF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19,356,743.17</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43C9F29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4.24%</w:t>
            </w:r>
          </w:p>
        </w:tc>
        <w:tc>
          <w:tcPr>
            <w:tcW w:w="958" w:type="dxa"/>
            <w:tcBorders>
              <w:top w:val="single" w:sz="2" w:space="0" w:color="auto"/>
              <w:left w:val="single" w:sz="2" w:space="0" w:color="auto"/>
              <w:bottom w:val="single" w:sz="2" w:space="0" w:color="auto"/>
              <w:right w:val="single" w:sz="2" w:space="0" w:color="auto"/>
            </w:tcBorders>
            <w:shd w:val="clear" w:color="auto" w:fill="auto"/>
            <w:vAlign w:val="center"/>
          </w:tcPr>
          <w:p w14:paraId="356B7A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436,907,075.92</w:t>
            </w:r>
          </w:p>
        </w:tc>
      </w:tr>
      <w:tr w:rsidR="00280E85" w:rsidRPr="005B5EC1" w14:paraId="567B50C3" w14:textId="77777777" w:rsidTr="00280E85">
        <w:trPr>
          <w:gridAfter w:val="1"/>
          <w:wAfter w:w="14" w:type="dxa"/>
          <w:trHeight w:val="241"/>
          <w:jc w:val="center"/>
        </w:trPr>
        <w:tc>
          <w:tcPr>
            <w:tcW w:w="957" w:type="dxa"/>
            <w:tcBorders>
              <w:top w:val="single" w:sz="2" w:space="0" w:color="auto"/>
              <w:left w:val="single" w:sz="2" w:space="0" w:color="auto"/>
              <w:bottom w:val="single" w:sz="2" w:space="0" w:color="auto"/>
              <w:right w:val="single" w:sz="2" w:space="0" w:color="auto"/>
            </w:tcBorders>
            <w:shd w:val="clear" w:color="auto" w:fill="auto"/>
            <w:vAlign w:val="center"/>
          </w:tcPr>
          <w:p w14:paraId="5944006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209" w:type="dxa"/>
            <w:tcBorders>
              <w:top w:val="single" w:sz="2" w:space="0" w:color="auto"/>
              <w:left w:val="single" w:sz="2" w:space="0" w:color="auto"/>
              <w:bottom w:val="single" w:sz="2" w:space="0" w:color="auto"/>
              <w:right w:val="single" w:sz="2" w:space="0" w:color="auto"/>
            </w:tcBorders>
            <w:shd w:val="clear" w:color="auto" w:fill="auto"/>
            <w:vAlign w:val="center"/>
          </w:tcPr>
          <w:p w14:paraId="20D0E9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481,279,510.06</w:t>
            </w:r>
          </w:p>
        </w:tc>
        <w:tc>
          <w:tcPr>
            <w:tcW w:w="710" w:type="dxa"/>
            <w:tcBorders>
              <w:top w:val="single" w:sz="2" w:space="0" w:color="auto"/>
              <w:left w:val="single" w:sz="2" w:space="0" w:color="auto"/>
              <w:bottom w:val="single" w:sz="2" w:space="0" w:color="auto"/>
              <w:right w:val="single" w:sz="2" w:space="0" w:color="auto"/>
            </w:tcBorders>
            <w:shd w:val="clear" w:color="auto" w:fill="auto"/>
            <w:vAlign w:val="center"/>
          </w:tcPr>
          <w:p w14:paraId="099326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133" w:type="dxa"/>
            <w:tcBorders>
              <w:top w:val="single" w:sz="2" w:space="0" w:color="auto"/>
              <w:left w:val="single" w:sz="2" w:space="0" w:color="auto"/>
              <w:bottom w:val="single" w:sz="2" w:space="0" w:color="auto"/>
              <w:right w:val="single" w:sz="2" w:space="0" w:color="auto"/>
            </w:tcBorders>
            <w:shd w:val="clear" w:color="auto" w:fill="auto"/>
            <w:vAlign w:val="center"/>
          </w:tcPr>
          <w:p w14:paraId="6D3552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52,545,454.74</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19D6B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10.92%</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F1EA7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428,734,055.32</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6167F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496,107,762.48</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381D19C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F7221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51,680,650.41</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6874BA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10.42%</w:t>
            </w:r>
          </w:p>
        </w:tc>
        <w:tc>
          <w:tcPr>
            <w:tcW w:w="958" w:type="dxa"/>
            <w:tcBorders>
              <w:top w:val="single" w:sz="2" w:space="0" w:color="auto"/>
              <w:left w:val="single" w:sz="2" w:space="0" w:color="auto"/>
              <w:bottom w:val="single" w:sz="2" w:space="0" w:color="auto"/>
              <w:right w:val="single" w:sz="2" w:space="0" w:color="auto"/>
            </w:tcBorders>
            <w:shd w:val="clear" w:color="auto" w:fill="auto"/>
            <w:vAlign w:val="center"/>
          </w:tcPr>
          <w:p w14:paraId="613201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444,427,112.07</w:t>
            </w:r>
          </w:p>
        </w:tc>
      </w:tr>
    </w:tbl>
    <w:p w14:paraId="53D6336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按单项计提坏账准备：</w:t>
      </w:r>
    </w:p>
    <w:p w14:paraId="5B7E420B"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57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510"/>
        <w:gridCol w:w="1510"/>
        <w:gridCol w:w="1512"/>
        <w:gridCol w:w="1510"/>
        <w:gridCol w:w="1510"/>
        <w:gridCol w:w="1282"/>
        <w:gridCol w:w="1742"/>
      </w:tblGrid>
      <w:tr w:rsidR="00E32FE0" w:rsidRPr="005B5EC1" w14:paraId="0D6A203B" w14:textId="77777777" w:rsidTr="00280E85">
        <w:trPr>
          <w:trHeight w:val="244"/>
          <w:jc w:val="center"/>
        </w:trPr>
        <w:tc>
          <w:tcPr>
            <w:tcW w:w="151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5B87B1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名称</w:t>
            </w:r>
          </w:p>
        </w:tc>
        <w:tc>
          <w:tcPr>
            <w:tcW w:w="302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157B63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6044"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CF63C0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5B5EC1" w:rsidRPr="005B5EC1" w14:paraId="3D244499" w14:textId="77777777" w:rsidTr="00280E85">
        <w:trPr>
          <w:trHeight w:val="244"/>
          <w:jc w:val="center"/>
        </w:trPr>
        <w:tc>
          <w:tcPr>
            <w:tcW w:w="151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B632DC2" w14:textId="77777777" w:rsidR="00E32FE0" w:rsidRPr="005B5EC1" w:rsidRDefault="00E32FE0">
            <w:pPr>
              <w:rPr>
                <w:rFonts w:ascii="Times New Roman" w:hAnsi="Times New Roman" w:cs="Times New Roman"/>
              </w:rPr>
            </w:pP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66DF396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1CA9FAA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400201D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280E0DF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3E39B92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47810ED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计提理由</w:t>
            </w:r>
          </w:p>
        </w:tc>
      </w:tr>
      <w:tr w:rsidR="00E32FE0" w:rsidRPr="005B5EC1" w14:paraId="46933D92" w14:textId="77777777" w:rsidTr="00280E85">
        <w:trPr>
          <w:trHeight w:val="244"/>
          <w:jc w:val="center"/>
        </w:trPr>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3368754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青岛家乐福商业有限公司</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4967FA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779,775.48</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350245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779,775.48</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333654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779,775.48</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4644899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779,775.48</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4E6019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57C549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客户经营出现问题，无力偿还债务。</w:t>
            </w:r>
          </w:p>
        </w:tc>
      </w:tr>
      <w:tr w:rsidR="00E32FE0" w:rsidRPr="005B5EC1" w14:paraId="6D54C7B5" w14:textId="77777777" w:rsidTr="00280E85">
        <w:trPr>
          <w:trHeight w:val="244"/>
          <w:jc w:val="center"/>
        </w:trPr>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19ADE7E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步步高商业连锁股份有限公司</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3FA739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6,199,524.11</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0D52EB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6,199,524.11</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412661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78884E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203145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1D3AA190"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47DD999B" w14:textId="77777777" w:rsidTr="00280E85">
        <w:trPr>
          <w:trHeight w:val="244"/>
          <w:jc w:val="center"/>
        </w:trPr>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687E66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平顶山市正安商贸有限公司</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541C534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901,530.87</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5DB3FB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901,530.87</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5CBD76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896,156.87</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6B86FD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896,156.87</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34BA7D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716842F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客户经营出现问题，无力偿还债务。</w:t>
            </w:r>
          </w:p>
        </w:tc>
      </w:tr>
      <w:tr w:rsidR="00E32FE0" w:rsidRPr="005B5EC1" w14:paraId="44075403" w14:textId="77777777" w:rsidTr="00280E85">
        <w:trPr>
          <w:trHeight w:val="244"/>
          <w:jc w:val="center"/>
        </w:trPr>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1B5A98A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个人批发商云南宣威徐欢</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7D9F84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700,000.00</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6BBB69C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700,000.00</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0FD54C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700,000.00</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04F07B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700,000.00</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18BE3F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559805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客户经营出现问题，无力偿还债务。</w:t>
            </w:r>
          </w:p>
        </w:tc>
      </w:tr>
      <w:tr w:rsidR="00E32FE0" w:rsidRPr="005B5EC1" w14:paraId="3DD321B4" w14:textId="77777777" w:rsidTr="00280E85">
        <w:trPr>
          <w:trHeight w:val="244"/>
          <w:jc w:val="center"/>
        </w:trPr>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682ED4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贵州杨老奶食品有限公司</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678AC6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648,094.70</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51F5AD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648,094.70</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590068C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648,094.70</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7FBFF8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648,094.70</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02AD23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473455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客户经营出现问题，无力偿还债务。</w:t>
            </w:r>
          </w:p>
        </w:tc>
      </w:tr>
      <w:tr w:rsidR="00E32FE0" w:rsidRPr="005B5EC1" w14:paraId="7B05C429" w14:textId="77777777" w:rsidTr="00280E85">
        <w:trPr>
          <w:trHeight w:val="244"/>
          <w:jc w:val="center"/>
        </w:trPr>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67C0C4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云南森茂食品有限公司</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6943AD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15,040,162.30</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64567D2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7,940,162.30</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650BD55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15,040,162.30</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1203A5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7,940,162.30</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30F78D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52.79%</w:t>
            </w: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23EDF6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诉讼后管理层预计可收回金额。</w:t>
            </w:r>
          </w:p>
        </w:tc>
      </w:tr>
      <w:tr w:rsidR="00E32FE0" w:rsidRPr="005B5EC1" w14:paraId="7C2C3688" w14:textId="77777777" w:rsidTr="00280E85">
        <w:trPr>
          <w:trHeight w:val="244"/>
          <w:jc w:val="center"/>
        </w:trPr>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27435ED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云南亚东宏工贸有限公司</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5E9B3B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12,692,500.40</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0451D0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12,692,500.40</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51A8A0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11,468,585.62</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4D29E2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11,468,585.62</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5AE3EC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7505D7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客户经营出现问题，无力偿还债务。</w:t>
            </w:r>
          </w:p>
        </w:tc>
      </w:tr>
      <w:tr w:rsidR="00E32FE0" w:rsidRPr="005B5EC1" w14:paraId="268D8335" w14:textId="77777777" w:rsidTr="00280E85">
        <w:trPr>
          <w:trHeight w:val="244"/>
          <w:jc w:val="center"/>
        </w:trPr>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473503A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57DA0E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2,882,355.53</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6368A0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2,462,319.38</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3FDB6E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1,406,157.08</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602A7F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1,406,157.08</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595E1C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0A8189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客户经营出现问题，无力偿还债务。</w:t>
            </w:r>
          </w:p>
        </w:tc>
      </w:tr>
      <w:tr w:rsidR="00E32FE0" w:rsidRPr="005B5EC1" w14:paraId="28D41A5F" w14:textId="77777777" w:rsidTr="00280E85">
        <w:trPr>
          <w:trHeight w:val="244"/>
          <w:jc w:val="center"/>
        </w:trPr>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1DEF4B8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0031CB5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39,843,943.39</w:t>
            </w:r>
          </w:p>
        </w:tc>
        <w:tc>
          <w:tcPr>
            <w:tcW w:w="1512" w:type="dxa"/>
            <w:tcBorders>
              <w:top w:val="single" w:sz="2" w:space="0" w:color="auto"/>
              <w:left w:val="single" w:sz="2" w:space="0" w:color="auto"/>
              <w:bottom w:val="single" w:sz="2" w:space="0" w:color="auto"/>
              <w:right w:val="single" w:sz="2" w:space="0" w:color="auto"/>
            </w:tcBorders>
            <w:shd w:val="clear" w:color="auto" w:fill="auto"/>
            <w:vAlign w:val="center"/>
          </w:tcPr>
          <w:p w14:paraId="1151C8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32,323,907.24</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098A99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30,938,932.05</w:t>
            </w:r>
          </w:p>
        </w:tc>
        <w:tc>
          <w:tcPr>
            <w:tcW w:w="1510" w:type="dxa"/>
            <w:tcBorders>
              <w:top w:val="single" w:sz="2" w:space="0" w:color="auto"/>
              <w:left w:val="single" w:sz="2" w:space="0" w:color="auto"/>
              <w:bottom w:val="single" w:sz="2" w:space="0" w:color="auto"/>
              <w:right w:val="single" w:sz="2" w:space="0" w:color="auto"/>
            </w:tcBorders>
            <w:shd w:val="clear" w:color="auto" w:fill="auto"/>
            <w:vAlign w:val="center"/>
          </w:tcPr>
          <w:p w14:paraId="251DE0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23,838,932.05</w:t>
            </w:r>
          </w:p>
        </w:tc>
        <w:tc>
          <w:tcPr>
            <w:tcW w:w="1282" w:type="dxa"/>
            <w:tcBorders>
              <w:top w:val="single" w:sz="2" w:space="0" w:color="auto"/>
              <w:left w:val="single" w:sz="2" w:space="0" w:color="auto"/>
              <w:bottom w:val="single" w:sz="2" w:space="0" w:color="auto"/>
              <w:right w:val="single" w:sz="2" w:space="0" w:color="auto"/>
            </w:tcBorders>
            <w:shd w:val="clear" w:color="auto" w:fill="auto"/>
            <w:vAlign w:val="center"/>
          </w:tcPr>
          <w:p w14:paraId="063DE997" w14:textId="77777777" w:rsidR="00E32FE0" w:rsidRPr="005B5EC1" w:rsidRDefault="00E32FE0">
            <w:pPr>
              <w:rPr>
                <w:rFonts w:ascii="Times New Roman" w:hAnsi="Times New Roman" w:cs="Times New Roman"/>
              </w:rPr>
            </w:pPr>
          </w:p>
        </w:tc>
        <w:tc>
          <w:tcPr>
            <w:tcW w:w="1742" w:type="dxa"/>
            <w:tcBorders>
              <w:top w:val="single" w:sz="2" w:space="0" w:color="auto"/>
              <w:left w:val="single" w:sz="2" w:space="0" w:color="auto"/>
              <w:bottom w:val="single" w:sz="2" w:space="0" w:color="auto"/>
              <w:right w:val="single" w:sz="2" w:space="0" w:color="auto"/>
            </w:tcBorders>
            <w:shd w:val="clear" w:color="auto" w:fill="auto"/>
            <w:vAlign w:val="center"/>
          </w:tcPr>
          <w:p w14:paraId="1036FEA8" w14:textId="77777777" w:rsidR="00E32FE0" w:rsidRPr="005B5EC1" w:rsidRDefault="00E32FE0">
            <w:pPr>
              <w:rPr>
                <w:rFonts w:ascii="Times New Roman" w:hAnsi="Times New Roman" w:cs="Times New Roman"/>
              </w:rPr>
            </w:pPr>
          </w:p>
        </w:tc>
      </w:tr>
    </w:tbl>
    <w:p w14:paraId="6C046FD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按组合计提坏账准备：</w:t>
      </w:r>
    </w:p>
    <w:p w14:paraId="0143C0A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41F731E8" w14:textId="77777777" w:rsidTr="00280E85">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F42CB5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080A2E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30975FE9" w14:textId="77777777" w:rsidTr="00280E85">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43425E4F" w14:textId="77777777" w:rsidR="00E32FE0" w:rsidRPr="005B5EC1" w:rsidRDefault="00E32FE0">
            <w:pP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428CC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C28CFE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4BCF88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r>
      <w:tr w:rsidR="00E32FE0" w:rsidRPr="005B5EC1" w14:paraId="59EA7584" w14:textId="77777777" w:rsidTr="00280E85">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A4733B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89753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369,427,226.14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07906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8,200,835.79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DEBCB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w:t>
            </w:r>
          </w:p>
        </w:tc>
      </w:tr>
      <w:tr w:rsidR="00E32FE0" w:rsidRPr="005B5EC1" w14:paraId="4CA7D615" w14:textId="77777777" w:rsidTr="00280E85">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2AB33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CE67A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27,407,176.98</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0F464C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610,704.13</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ACAAE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w:t>
            </w:r>
          </w:p>
        </w:tc>
      </w:tr>
      <w:tr w:rsidR="00E32FE0" w:rsidRPr="005B5EC1" w14:paraId="19439BA9" w14:textId="77777777" w:rsidTr="00280E85">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CCCA0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7-9</w:t>
            </w:r>
            <w:r w:rsidRPr="005B5EC1">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47060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1,728,056.18</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63465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38,211.42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32F51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2.21%</w:t>
            </w:r>
          </w:p>
        </w:tc>
      </w:tr>
      <w:tr w:rsidR="00E32FE0" w:rsidRPr="005B5EC1" w14:paraId="09FC4838" w14:textId="77777777" w:rsidTr="00280E85">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1B7656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10-12</w:t>
            </w:r>
            <w:r w:rsidRPr="005B5EC1">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3B922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4,099,662.40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07D3B5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92,218.05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F59FAE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w:t>
            </w:r>
          </w:p>
        </w:tc>
      </w:tr>
      <w:tr w:rsidR="00E32FE0" w:rsidRPr="005B5EC1" w14:paraId="759543F3" w14:textId="77777777" w:rsidTr="00280E85">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E6B31F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16864E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16,896,679.36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CF32C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4,224,169.84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811953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25.00%</w:t>
            </w:r>
          </w:p>
        </w:tc>
      </w:tr>
      <w:tr w:rsidR="00E32FE0" w:rsidRPr="005B5EC1" w14:paraId="3755B778" w14:textId="77777777" w:rsidTr="00280E85">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A5CC89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48871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30,283,460.36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16C50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15,141,730.19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36791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w:t>
            </w:r>
          </w:p>
        </w:tc>
      </w:tr>
      <w:tr w:rsidR="00E32FE0" w:rsidRPr="005B5EC1" w14:paraId="08739950" w14:textId="77777777" w:rsidTr="00280E85">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E6C3AE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3-4</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91D89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315,061.62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D21F0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252,049.30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A137B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80.00%</w:t>
            </w:r>
          </w:p>
        </w:tc>
      </w:tr>
      <w:tr w:rsidR="00E32FE0" w:rsidRPr="005B5EC1" w14:paraId="7F6DF36D" w14:textId="77777777" w:rsidTr="00280E85">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5CD3DD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4-5</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DC97E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183,254.97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5F86D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146,603.97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68D22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80.00%</w:t>
            </w:r>
          </w:p>
        </w:tc>
      </w:tr>
      <w:tr w:rsidR="00E32FE0" w:rsidRPr="005B5EC1" w14:paraId="2E083713" w14:textId="77777777" w:rsidTr="00280E85">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820A24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6FE0C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450,340,578.01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B3A34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28,706,522.69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30A5268" w14:textId="77777777" w:rsidR="00E32FE0" w:rsidRPr="005B5EC1" w:rsidRDefault="00E32FE0">
            <w:pPr>
              <w:rPr>
                <w:rFonts w:ascii="Times New Roman" w:hAnsi="Times New Roman" w:cs="Times New Roman"/>
              </w:rPr>
            </w:pPr>
          </w:p>
        </w:tc>
      </w:tr>
    </w:tbl>
    <w:p w14:paraId="0C359ED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确定该组合依据的说明：</w:t>
      </w:r>
    </w:p>
    <w:p w14:paraId="001B1D6F" w14:textId="77777777" w:rsidR="00AF139E" w:rsidRPr="005B5EC1" w:rsidRDefault="00000000">
      <w:pPr>
        <w:pStyle w:val="a3"/>
        <w:divId w:val="28452254"/>
        <w:rPr>
          <w:rFonts w:ascii="Times New Roman" w:hAnsi="Times New Roman" w:cs="Times New Roman"/>
          <w:sz w:val="18"/>
          <w:szCs w:val="18"/>
        </w:rPr>
      </w:pPr>
      <w:r w:rsidRPr="005B5EC1">
        <w:rPr>
          <w:rFonts w:ascii="Times New Roman" w:hAnsi="Times New Roman" w:cs="Times New Roman"/>
          <w:sz w:val="18"/>
          <w:szCs w:val="18"/>
        </w:rPr>
        <w:t>无</w:t>
      </w:r>
    </w:p>
    <w:p w14:paraId="2B44ECD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如是按照预期信用损失一般模型计提应收账款坏账准备：</w:t>
      </w:r>
    </w:p>
    <w:p w14:paraId="0E3DB7F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0C73CC5"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55" w:name="_Toc989140"/>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本期计提、收回或转回的坏账准备情况</w:t>
      </w:r>
      <w:bookmarkEnd w:id="255"/>
    </w:p>
    <w:p w14:paraId="26733AB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本期计提坏账准备情况：</w:t>
      </w:r>
    </w:p>
    <w:p w14:paraId="2D9F6C26"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4A4E27D1" w14:textId="77777777" w:rsidTr="00280E85">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804AB1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624A7E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749861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2AA9AC9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48181C75" w14:textId="77777777" w:rsidTr="00280E85">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35A6168" w14:textId="77777777" w:rsidR="00E32FE0" w:rsidRPr="005B5EC1" w:rsidRDefault="00E32FE0">
            <w:pPr>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D579C83" w14:textId="77777777" w:rsidR="00E32FE0" w:rsidRPr="005B5EC1" w:rsidRDefault="00E32FE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51C1D3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9A8A3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B5771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5A7554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F7E3731" w14:textId="77777777" w:rsidR="00E32FE0" w:rsidRPr="005B5EC1" w:rsidRDefault="00E32FE0">
            <w:pPr>
              <w:rPr>
                <w:rFonts w:ascii="Times New Roman" w:hAnsi="Times New Roman" w:cs="Times New Roman"/>
              </w:rPr>
            </w:pPr>
          </w:p>
        </w:tc>
      </w:tr>
      <w:tr w:rsidR="00E32FE0" w:rsidRPr="005B5EC1" w14:paraId="7D8B533B" w14:textId="77777777" w:rsidTr="00280E8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0087D2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0B755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51,680,650.41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44E8F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7,846,760.42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4D104E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1B545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-6,752,697.58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2682E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-229,258.51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788B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52,545,454.74</w:t>
            </w:r>
          </w:p>
        </w:tc>
      </w:tr>
      <w:tr w:rsidR="00E32FE0" w:rsidRPr="005B5EC1" w14:paraId="7DD8766A" w14:textId="77777777" w:rsidTr="00280E8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504FA2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AFD0C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51,680,650.41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8DDE04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7,846,760.42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F22A8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F559C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-6,752,697.58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26E8E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-229,258.51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66C8F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52,545,454.74</w:t>
            </w:r>
          </w:p>
        </w:tc>
      </w:tr>
    </w:tbl>
    <w:p w14:paraId="7443ABE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其中本期坏账准备收回或转回金额重要的：</w:t>
      </w:r>
    </w:p>
    <w:p w14:paraId="11C9682B" w14:textId="77777777" w:rsidR="00AF139E" w:rsidRPr="005B5EC1" w:rsidRDefault="00000000">
      <w:pPr>
        <w:pStyle w:val="a3"/>
        <w:divId w:val="1509716469"/>
        <w:rPr>
          <w:rFonts w:ascii="Times New Roman" w:hAnsi="Times New Roman" w:cs="Times New Roman"/>
          <w:sz w:val="18"/>
          <w:szCs w:val="18"/>
        </w:rPr>
      </w:pPr>
      <w:r w:rsidRPr="005B5EC1">
        <w:rPr>
          <w:rFonts w:ascii="Times New Roman" w:hAnsi="Times New Roman" w:cs="Times New Roman"/>
          <w:sz w:val="18"/>
          <w:szCs w:val="18"/>
        </w:rPr>
        <w:t>无</w:t>
      </w:r>
    </w:p>
    <w:p w14:paraId="76AE0419"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56" w:name="_Toc98914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本期实际核销的应收账款情况</w:t>
      </w:r>
      <w:bookmarkEnd w:id="256"/>
    </w:p>
    <w:p w14:paraId="0CE0220E"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67809F47" w14:textId="77777777" w:rsidTr="00280E85">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D87270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4F0733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核销金额</w:t>
            </w:r>
          </w:p>
        </w:tc>
      </w:tr>
      <w:tr w:rsidR="00E32FE0" w:rsidRPr="005B5EC1" w14:paraId="1C11F9C2" w14:textId="77777777" w:rsidTr="00280E85">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C6B5DA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DF3C6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6,752,697.58</w:t>
            </w:r>
          </w:p>
        </w:tc>
      </w:tr>
    </w:tbl>
    <w:p w14:paraId="78A74D3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其中重要的应收账款核销情况：</w:t>
      </w:r>
    </w:p>
    <w:p w14:paraId="454AD4C2"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22801EBB"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2D0E7E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5E339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应收账款性质</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FEDB5B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D611E7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1DADE8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496A6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款项是否由关联交易产生</w:t>
            </w:r>
          </w:p>
        </w:tc>
      </w:tr>
      <w:tr w:rsidR="00E32FE0" w:rsidRPr="005B5EC1" w14:paraId="0FF929E5"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827A5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步步高商业连锁股份有限公司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407063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货款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C8626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6,199,524.11</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17A11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债转股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2F5AED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640D3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95FE2DD"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4C8F5E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栖霞真空办个人消费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C8DA1B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货款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081AF5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56,256.41</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A2F74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确认损失</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9A8017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D4C763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34BA13DF"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E8F0B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昆明梅香食品工贸有限责任公司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0BFF26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货款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EC3D5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372,040.00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9DEA4C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确认损失</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D64A1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88A826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21D72CC"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19913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宣威市态丽火腿有限公司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87CA6A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货款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11303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54,333.70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16FB3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确认损失</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54F5A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05403A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4782B14"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ECA032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个人批发商安徽黄山孙海鹏</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6E6EF1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货款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4701B8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37,362.00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BDDDF4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确认损失</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9CB15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EF2D23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8635916"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1196B9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贵州磐福食品有限公司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7416B1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货款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3B5B5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3,145.20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CFA5A4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确认损失</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B65BB1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8C854A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5F30FB7"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65D8E7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个人批发商四川营山县舒科文</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E2F2D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货款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2E49E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30,036.16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7A01EF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确认损失</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4D0942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0CFFB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3878C9E7"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8AECD1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4FF2E52"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CA0CB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6,752,697.58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FA79FBB"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CA7B210"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866BD4C" w14:textId="77777777" w:rsidR="00E32FE0" w:rsidRPr="005B5EC1" w:rsidRDefault="00E32FE0">
            <w:pPr>
              <w:rPr>
                <w:rFonts w:ascii="Times New Roman" w:hAnsi="Times New Roman" w:cs="Times New Roman"/>
              </w:rPr>
            </w:pPr>
          </w:p>
        </w:tc>
      </w:tr>
    </w:tbl>
    <w:p w14:paraId="0CE66CB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应收账款核销说明：</w:t>
      </w:r>
    </w:p>
    <w:p w14:paraId="7EE5CBD2" w14:textId="77777777" w:rsidR="00AF139E" w:rsidRPr="005B5EC1" w:rsidRDefault="00000000">
      <w:pPr>
        <w:pStyle w:val="a3"/>
        <w:divId w:val="1162702582"/>
        <w:rPr>
          <w:rFonts w:ascii="Times New Roman" w:hAnsi="Times New Roman" w:cs="Times New Roman"/>
          <w:sz w:val="18"/>
          <w:szCs w:val="18"/>
        </w:rPr>
      </w:pPr>
      <w:r w:rsidRPr="005B5EC1">
        <w:rPr>
          <w:rFonts w:ascii="Times New Roman" w:hAnsi="Times New Roman" w:cs="Times New Roman"/>
          <w:sz w:val="18"/>
          <w:szCs w:val="18"/>
        </w:rPr>
        <w:t>无</w:t>
      </w:r>
    </w:p>
    <w:p w14:paraId="50C93697"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57" w:name="_Toc989142"/>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按欠款方归集的期末余额前五名的应收账款和合同资产情况</w:t>
      </w:r>
      <w:bookmarkEnd w:id="257"/>
    </w:p>
    <w:p w14:paraId="52403012"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36EBE204"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810DF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902688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C70865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3DE912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C73149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5EA41D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应收账款坏账准备和合同资产减值准备期末余额</w:t>
            </w:r>
          </w:p>
        </w:tc>
      </w:tr>
      <w:tr w:rsidR="00E32FE0" w:rsidRPr="005B5EC1" w14:paraId="33DEC492"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24A8D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A</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11B47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40,833,000.00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EA2DB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8D596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40,833,000.00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4EAD5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01DD7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876,982.50</w:t>
            </w:r>
          </w:p>
        </w:tc>
      </w:tr>
      <w:tr w:rsidR="00E32FE0" w:rsidRPr="005B5EC1" w14:paraId="49F3E140"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427E99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B</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A37E8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27,426,911.94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DE2DA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2DD6F9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27,426,911.94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40F203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352C8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13,713,455.96</w:t>
            </w:r>
          </w:p>
        </w:tc>
      </w:tr>
      <w:tr w:rsidR="00E32FE0" w:rsidRPr="005B5EC1" w14:paraId="00185C54"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C153F7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C</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630DC0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25,371,782.56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B75AE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CB6C9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25,371,782.56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B4D5E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5.27%</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21F26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570,865.11</w:t>
            </w:r>
          </w:p>
        </w:tc>
      </w:tr>
      <w:tr w:rsidR="00E32FE0" w:rsidRPr="005B5EC1" w14:paraId="1AEA3D9A"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19AC47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D</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96F80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23,374,080.19</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5B40D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76B4C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23,374,080.19</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A655E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DE23A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525,916.80</w:t>
            </w:r>
          </w:p>
        </w:tc>
      </w:tr>
      <w:tr w:rsidR="00E32FE0" w:rsidRPr="005B5EC1" w14:paraId="678AF83C"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74A0A5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E</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E7BC4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18,901,390.96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D212B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C9BB3D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18,901,390.96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C5020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3.93%</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8FD46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491,940.88</w:t>
            </w:r>
          </w:p>
        </w:tc>
      </w:tr>
      <w:tr w:rsidR="00E32FE0" w:rsidRPr="005B5EC1" w14:paraId="463D8D39"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961F1A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D80AE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135,907,165.65</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CAF35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8B3B7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135,907,165.65</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18A3EC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28.24%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F9871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16,179,161.25</w:t>
            </w:r>
          </w:p>
        </w:tc>
      </w:tr>
    </w:tbl>
    <w:p w14:paraId="425FAFFB" w14:textId="77777777" w:rsidR="00E32FE0" w:rsidRPr="005B5EC1" w:rsidRDefault="00000000">
      <w:pPr>
        <w:pStyle w:val="3"/>
        <w:spacing w:line="280" w:lineRule="exact"/>
        <w:jc w:val="left"/>
        <w:rPr>
          <w:rFonts w:ascii="Times New Roman" w:hAnsi="Times New Roman" w:cs="Times New Roman"/>
          <w:b/>
          <w:bCs/>
        </w:rPr>
      </w:pPr>
      <w:bookmarkStart w:id="258" w:name="_Toc989143"/>
      <w:r w:rsidRPr="005B5EC1">
        <w:rPr>
          <w:rFonts w:ascii="Times New Roman" w:hAnsi="Times New Roman" w:cs="Times New Roman"/>
          <w:b/>
          <w:bCs/>
        </w:rPr>
        <w:t>6</w:t>
      </w:r>
      <w:r w:rsidRPr="005B5EC1">
        <w:rPr>
          <w:rFonts w:ascii="Times New Roman" w:hAnsi="Times New Roman" w:cs="Times New Roman"/>
          <w:b/>
          <w:bCs/>
        </w:rPr>
        <w:t>、合同资产</w:t>
      </w:r>
      <w:bookmarkEnd w:id="258"/>
    </w:p>
    <w:p w14:paraId="64F425D6" w14:textId="77777777" w:rsidR="00AF139E" w:rsidRPr="005B5EC1" w:rsidRDefault="00000000">
      <w:pPr>
        <w:pStyle w:val="a3"/>
        <w:divId w:val="1754088471"/>
        <w:rPr>
          <w:rFonts w:ascii="Times New Roman" w:hAnsi="Times New Roman" w:cs="Times New Roman"/>
          <w:sz w:val="18"/>
          <w:szCs w:val="18"/>
        </w:rPr>
      </w:pPr>
      <w:r w:rsidRPr="005B5EC1">
        <w:rPr>
          <w:rFonts w:ascii="Times New Roman" w:hAnsi="Times New Roman" w:cs="Times New Roman"/>
          <w:sz w:val="18"/>
          <w:szCs w:val="18"/>
        </w:rPr>
        <w:t>无</w:t>
      </w:r>
    </w:p>
    <w:p w14:paraId="055C6859" w14:textId="77777777" w:rsidR="00E32FE0" w:rsidRPr="005B5EC1" w:rsidRDefault="00000000">
      <w:pPr>
        <w:pStyle w:val="3"/>
        <w:spacing w:line="280" w:lineRule="exact"/>
        <w:jc w:val="left"/>
        <w:rPr>
          <w:rFonts w:ascii="Times New Roman" w:hAnsi="Times New Roman" w:cs="Times New Roman"/>
          <w:b/>
          <w:bCs/>
        </w:rPr>
      </w:pPr>
      <w:bookmarkStart w:id="259" w:name="_Toc989149"/>
      <w:r w:rsidRPr="005B5EC1">
        <w:rPr>
          <w:rFonts w:ascii="Times New Roman" w:hAnsi="Times New Roman" w:cs="Times New Roman"/>
          <w:b/>
          <w:bCs/>
        </w:rPr>
        <w:t>7</w:t>
      </w:r>
      <w:r w:rsidRPr="005B5EC1">
        <w:rPr>
          <w:rFonts w:ascii="Times New Roman" w:hAnsi="Times New Roman" w:cs="Times New Roman"/>
          <w:b/>
          <w:bCs/>
        </w:rPr>
        <w:t>、应收款项融资</w:t>
      </w:r>
      <w:bookmarkEnd w:id="259"/>
    </w:p>
    <w:p w14:paraId="118C2433" w14:textId="77777777" w:rsidR="00AF139E" w:rsidRPr="005B5EC1" w:rsidRDefault="00000000">
      <w:pPr>
        <w:pStyle w:val="a3"/>
        <w:divId w:val="2107386131"/>
        <w:rPr>
          <w:rFonts w:ascii="Times New Roman" w:hAnsi="Times New Roman" w:cs="Times New Roman"/>
          <w:sz w:val="18"/>
          <w:szCs w:val="18"/>
        </w:rPr>
      </w:pPr>
      <w:r w:rsidRPr="005B5EC1">
        <w:rPr>
          <w:rFonts w:ascii="Times New Roman" w:hAnsi="Times New Roman" w:cs="Times New Roman"/>
          <w:sz w:val="18"/>
          <w:szCs w:val="18"/>
        </w:rPr>
        <w:t>无</w:t>
      </w:r>
    </w:p>
    <w:p w14:paraId="48558195" w14:textId="77777777" w:rsidR="00E32FE0" w:rsidRPr="005B5EC1" w:rsidRDefault="00000000">
      <w:pPr>
        <w:pStyle w:val="3"/>
        <w:spacing w:line="280" w:lineRule="exact"/>
        <w:jc w:val="left"/>
        <w:rPr>
          <w:rFonts w:ascii="Times New Roman" w:hAnsi="Times New Roman" w:cs="Times New Roman"/>
          <w:b/>
          <w:bCs/>
        </w:rPr>
      </w:pPr>
      <w:bookmarkStart w:id="260" w:name="_Toc989158"/>
      <w:r w:rsidRPr="005B5EC1">
        <w:rPr>
          <w:rFonts w:ascii="Times New Roman" w:hAnsi="Times New Roman" w:cs="Times New Roman"/>
          <w:b/>
          <w:bCs/>
        </w:rPr>
        <w:t>8</w:t>
      </w:r>
      <w:r w:rsidRPr="005B5EC1">
        <w:rPr>
          <w:rFonts w:ascii="Times New Roman" w:hAnsi="Times New Roman" w:cs="Times New Roman"/>
          <w:b/>
          <w:bCs/>
        </w:rPr>
        <w:t>、其他应收款</w:t>
      </w:r>
      <w:bookmarkEnd w:id="260"/>
    </w:p>
    <w:p w14:paraId="13590ECB"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C7AF2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99372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E65A0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182CC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6D05B21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C890D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4068E2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96,538,090.22</w:t>
            </w:r>
          </w:p>
        </w:tc>
        <w:tc>
          <w:tcPr>
            <w:tcW w:w="3213" w:type="dxa"/>
            <w:tcBorders>
              <w:top w:val="single" w:sz="2" w:space="0" w:color="auto"/>
              <w:left w:val="single" w:sz="2" w:space="0" w:color="auto"/>
              <w:bottom w:val="single" w:sz="2" w:space="0" w:color="auto"/>
              <w:right w:val="single" w:sz="2" w:space="0" w:color="auto"/>
            </w:tcBorders>
            <w:vAlign w:val="center"/>
          </w:tcPr>
          <w:p w14:paraId="12C00E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44,828,566.76</w:t>
            </w:r>
          </w:p>
        </w:tc>
      </w:tr>
      <w:tr w:rsidR="00E32FE0" w:rsidRPr="005B5EC1" w14:paraId="77A85B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8DAC0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C0CED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96,538,090.22</w:t>
            </w:r>
          </w:p>
        </w:tc>
        <w:tc>
          <w:tcPr>
            <w:tcW w:w="3213" w:type="dxa"/>
            <w:tcBorders>
              <w:top w:val="single" w:sz="2" w:space="0" w:color="auto"/>
              <w:left w:val="single" w:sz="2" w:space="0" w:color="auto"/>
              <w:bottom w:val="single" w:sz="2" w:space="0" w:color="auto"/>
              <w:right w:val="single" w:sz="2" w:space="0" w:color="auto"/>
            </w:tcBorders>
            <w:vAlign w:val="center"/>
          </w:tcPr>
          <w:p w14:paraId="471124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44,828,566.76</w:t>
            </w:r>
          </w:p>
        </w:tc>
      </w:tr>
    </w:tbl>
    <w:p w14:paraId="10D3DC6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61" w:name="_Toc989159"/>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应收利息</w:t>
      </w:r>
      <w:bookmarkEnd w:id="261"/>
    </w:p>
    <w:p w14:paraId="2FA65443" w14:textId="77777777" w:rsidR="00AF139E" w:rsidRPr="005B5EC1" w:rsidRDefault="00000000">
      <w:pPr>
        <w:pStyle w:val="a3"/>
        <w:divId w:val="227231920"/>
        <w:rPr>
          <w:rFonts w:ascii="Times New Roman" w:hAnsi="Times New Roman" w:cs="Times New Roman"/>
          <w:sz w:val="18"/>
          <w:szCs w:val="18"/>
        </w:rPr>
      </w:pPr>
      <w:r w:rsidRPr="005B5EC1">
        <w:rPr>
          <w:rFonts w:ascii="Times New Roman" w:hAnsi="Times New Roman" w:cs="Times New Roman"/>
          <w:sz w:val="18"/>
          <w:szCs w:val="18"/>
        </w:rPr>
        <w:t>无</w:t>
      </w:r>
    </w:p>
    <w:p w14:paraId="1AFB4989"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62" w:name="_Toc98916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应收股利</w:t>
      </w:r>
      <w:bookmarkEnd w:id="262"/>
    </w:p>
    <w:p w14:paraId="72FCB0EA" w14:textId="77777777" w:rsidR="00AF139E" w:rsidRPr="005B5EC1" w:rsidRDefault="00000000">
      <w:pPr>
        <w:pStyle w:val="a3"/>
        <w:divId w:val="1185052407"/>
        <w:rPr>
          <w:rFonts w:ascii="Times New Roman" w:hAnsi="Times New Roman" w:cs="Times New Roman"/>
          <w:sz w:val="18"/>
          <w:szCs w:val="18"/>
        </w:rPr>
      </w:pPr>
      <w:r w:rsidRPr="005B5EC1">
        <w:rPr>
          <w:rFonts w:ascii="Times New Roman" w:hAnsi="Times New Roman" w:cs="Times New Roman"/>
          <w:sz w:val="18"/>
          <w:szCs w:val="18"/>
        </w:rPr>
        <w:t>无</w:t>
      </w:r>
    </w:p>
    <w:p w14:paraId="631BE6FC"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63" w:name="_Toc989171"/>
      <w:r w:rsidRPr="005B5EC1">
        <w:rPr>
          <w:rFonts w:ascii="Times New Roman" w:eastAsia="宋体" w:hAnsi="Times New Roman" w:cs="Times New Roman"/>
          <w:b/>
          <w:bCs/>
          <w:sz w:val="21"/>
          <w:szCs w:val="21"/>
        </w:rPr>
        <w:lastRenderedPageBreak/>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其他应收款</w:t>
      </w:r>
      <w:bookmarkEnd w:id="263"/>
    </w:p>
    <w:p w14:paraId="407933A1" w14:textId="77777777" w:rsidR="00E32FE0" w:rsidRPr="005B5EC1" w:rsidRDefault="00000000">
      <w:pPr>
        <w:keepNext/>
        <w:keepLines/>
        <w:spacing w:before="300" w:after="300" w:line="280" w:lineRule="exact"/>
        <w:outlineLvl w:val="4"/>
        <w:rPr>
          <w:rFonts w:ascii="Times New Roman" w:eastAsia="宋体" w:hAnsi="Times New Roman" w:cs="Times New Roman"/>
          <w:b/>
          <w:bCs/>
          <w:sz w:val="21"/>
          <w:szCs w:val="21"/>
        </w:rPr>
      </w:pPr>
      <w:bookmarkStart w:id="264" w:name="_Toc989172"/>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其他应收款按款项性质分类情况</w:t>
      </w:r>
      <w:bookmarkEnd w:id="264"/>
    </w:p>
    <w:p w14:paraId="04BE786A"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45A0935E"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1E349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3D3E2D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2B21A1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期初账面余额</w:t>
            </w:r>
          </w:p>
        </w:tc>
      </w:tr>
      <w:tr w:rsidR="00E32FE0" w:rsidRPr="005B5EC1" w14:paraId="75FE284F"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4245E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备用金借支</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58097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4,036,344.33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13053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3,503,026.69</w:t>
            </w:r>
          </w:p>
        </w:tc>
      </w:tr>
      <w:tr w:rsidR="00E32FE0" w:rsidRPr="005B5EC1" w14:paraId="5C09CA95"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25D4E1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08AB2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51,636,238.57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3F3D3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45,544,005.01</w:t>
            </w:r>
          </w:p>
        </w:tc>
      </w:tr>
      <w:tr w:rsidR="00E32FE0" w:rsidRPr="005B5EC1" w14:paraId="0BC2909C"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AD97D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国储补贴收入</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4A6C1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5,827,196.67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C4E1D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5,827,196.67</w:t>
            </w:r>
          </w:p>
        </w:tc>
      </w:tr>
      <w:tr w:rsidR="00E32FE0" w:rsidRPr="005B5EC1" w14:paraId="1A0754FD"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2325FF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应收股权转让款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197DE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64,200,000.00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A4812D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28C4AD5"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543F0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903F1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1,727,631.99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51A7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7,712,934.67</w:t>
            </w:r>
          </w:p>
        </w:tc>
      </w:tr>
      <w:tr w:rsidR="00E32FE0" w:rsidRPr="005B5EC1" w14:paraId="1DE3F527"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B1F8B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3D10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-30,889,321.34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5B2F81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-17,758,596.28</w:t>
            </w:r>
          </w:p>
        </w:tc>
      </w:tr>
      <w:tr w:rsidR="00E32FE0" w:rsidRPr="005B5EC1" w14:paraId="5C3B70AA"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40A37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3CD20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96,538,090.22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F57F41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44,828,566.76</w:t>
            </w:r>
          </w:p>
        </w:tc>
      </w:tr>
    </w:tbl>
    <w:p w14:paraId="6F5E1BF2" w14:textId="77777777" w:rsidR="00E32FE0" w:rsidRPr="005B5EC1" w:rsidRDefault="00000000">
      <w:pPr>
        <w:keepNext/>
        <w:keepLines/>
        <w:spacing w:before="300" w:after="300" w:line="280" w:lineRule="exact"/>
        <w:outlineLvl w:val="4"/>
        <w:rPr>
          <w:rFonts w:ascii="Times New Roman" w:eastAsia="宋体" w:hAnsi="Times New Roman" w:cs="Times New Roman"/>
          <w:b/>
          <w:bCs/>
          <w:sz w:val="21"/>
          <w:szCs w:val="21"/>
        </w:rPr>
      </w:pPr>
      <w:bookmarkStart w:id="265" w:name="_Toc989173"/>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按账龄披露</w:t>
      </w:r>
      <w:bookmarkEnd w:id="265"/>
    </w:p>
    <w:p w14:paraId="08630C3A"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A26E672"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AD8C38B"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8D2875C"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F9FA26C"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期初账面余额</w:t>
            </w:r>
          </w:p>
        </w:tc>
      </w:tr>
      <w:tr w:rsidR="00E32FE0" w:rsidRPr="005B5EC1" w14:paraId="1D963D48"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1637BC2"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年以内（含</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08F7ADF"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81,355,592.23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B699C18"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19,932,481.67</w:t>
            </w:r>
          </w:p>
        </w:tc>
      </w:tr>
      <w:tr w:rsidR="00E32FE0" w:rsidRPr="005B5EC1" w14:paraId="507407EF"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7B9B0AD"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BB9532"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70,546,523.43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C57696B"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12,640,249.71</w:t>
            </w:r>
          </w:p>
        </w:tc>
      </w:tr>
      <w:tr w:rsidR="00E32FE0" w:rsidRPr="005B5EC1" w14:paraId="73CB5A63"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614268"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43D3672"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3,160,842.18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B5E82C3"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1,589,711.47</w:t>
            </w:r>
          </w:p>
        </w:tc>
      </w:tr>
      <w:tr w:rsidR="00E32FE0" w:rsidRPr="005B5EC1" w14:paraId="63C0E993"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B57895D"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7-9</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83DA94C"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2,098,287.11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94B3C3"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4,229,371.07</w:t>
            </w:r>
          </w:p>
        </w:tc>
      </w:tr>
      <w:tr w:rsidR="00E32FE0" w:rsidRPr="005B5EC1" w14:paraId="67C87620"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ACD8CE8"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10-12 </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AA3AA26"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5,549,939.51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3C3560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1,473,149.42</w:t>
            </w:r>
          </w:p>
        </w:tc>
      </w:tr>
      <w:tr w:rsidR="00E32FE0" w:rsidRPr="005B5EC1" w14:paraId="0E134849"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068A82F"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08BE8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10,718,355.74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C824EBB"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28,916,450.03</w:t>
            </w:r>
          </w:p>
        </w:tc>
      </w:tr>
      <w:tr w:rsidR="00E32FE0" w:rsidRPr="005B5EC1" w14:paraId="6995AB90"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4C8BEA9"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471E53"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26,702,009.60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7635A8C"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9,002,837.26</w:t>
            </w:r>
          </w:p>
        </w:tc>
      </w:tr>
      <w:tr w:rsidR="00E32FE0" w:rsidRPr="005B5EC1" w14:paraId="31973562"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E39313"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8DF8A0"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8,651,453.99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87D8DB"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4,735,394.08</w:t>
            </w:r>
          </w:p>
        </w:tc>
      </w:tr>
      <w:tr w:rsidR="00E32FE0" w:rsidRPr="005B5EC1" w14:paraId="55CC77BB"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0E7B2C4"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3C1CB97"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4,303,309.91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CAC3725"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3,260,995.56</w:t>
            </w:r>
          </w:p>
        </w:tc>
      </w:tr>
      <w:tr w:rsidR="00E32FE0" w:rsidRPr="005B5EC1" w14:paraId="6E9333F9"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01A335A"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30C52F"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3,878,605.56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2096C78"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181,912.50</w:t>
            </w:r>
          </w:p>
        </w:tc>
      </w:tr>
      <w:tr w:rsidR="00E32FE0" w:rsidRPr="005B5EC1" w14:paraId="3DB37278"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03DC561"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C9DFB2"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469,538.52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797981D"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1,292,486.02</w:t>
            </w:r>
          </w:p>
        </w:tc>
      </w:tr>
      <w:tr w:rsidR="00E32FE0" w:rsidRPr="005B5EC1" w14:paraId="7775A2EC" w14:textId="77777777" w:rsidTr="00280E85">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3B2895" w14:textId="77777777" w:rsidR="00E32FE0" w:rsidRPr="005B5EC1" w:rsidRDefault="00000000" w:rsidP="00280E85">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909E72"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127,427,411.56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1B2560"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62,587,163.04</w:t>
            </w:r>
          </w:p>
        </w:tc>
      </w:tr>
    </w:tbl>
    <w:p w14:paraId="76F8353C" w14:textId="77777777" w:rsidR="00E32FE0" w:rsidRPr="005B5EC1" w:rsidRDefault="00000000">
      <w:pPr>
        <w:keepNext/>
        <w:keepLines/>
        <w:spacing w:before="300" w:after="300" w:line="280" w:lineRule="exact"/>
        <w:outlineLvl w:val="4"/>
        <w:rPr>
          <w:rFonts w:ascii="Times New Roman" w:eastAsia="宋体" w:hAnsi="Times New Roman" w:cs="Times New Roman"/>
          <w:b/>
          <w:bCs/>
          <w:sz w:val="21"/>
          <w:szCs w:val="21"/>
        </w:rPr>
      </w:pPr>
      <w:bookmarkStart w:id="266" w:name="_Toc989174"/>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按坏账计提方法分类披露</w:t>
      </w:r>
      <w:bookmarkEnd w:id="266"/>
    </w:p>
    <w:p w14:paraId="2B1F489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6A30A43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927"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78"/>
        <w:gridCol w:w="1161"/>
        <w:gridCol w:w="801"/>
        <w:gridCol w:w="1183"/>
        <w:gridCol w:w="709"/>
        <w:gridCol w:w="1052"/>
        <w:gridCol w:w="1216"/>
        <w:gridCol w:w="744"/>
        <w:gridCol w:w="1099"/>
        <w:gridCol w:w="861"/>
        <w:gridCol w:w="1123"/>
      </w:tblGrid>
      <w:tr w:rsidR="00E32FE0" w:rsidRPr="005B5EC1" w14:paraId="474F9366" w14:textId="77777777" w:rsidTr="00280E85">
        <w:trPr>
          <w:trHeight w:val="244"/>
          <w:jc w:val="center"/>
        </w:trPr>
        <w:tc>
          <w:tcPr>
            <w:tcW w:w="97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6717D5BF"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类别</w:t>
            </w:r>
          </w:p>
        </w:tc>
        <w:tc>
          <w:tcPr>
            <w:tcW w:w="4906"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86FFA73"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504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AE7BD22"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280E85" w:rsidRPr="005B5EC1" w14:paraId="6F585B44" w14:textId="77777777" w:rsidTr="00280E85">
        <w:trPr>
          <w:trHeight w:val="244"/>
          <w:jc w:val="center"/>
        </w:trPr>
        <w:tc>
          <w:tcPr>
            <w:tcW w:w="97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52D685EC" w14:textId="77777777" w:rsidR="00E32FE0" w:rsidRPr="005B5EC1" w:rsidRDefault="00E32FE0" w:rsidP="00280E85">
            <w:pPr>
              <w:spacing w:line="276" w:lineRule="auto"/>
              <w:rPr>
                <w:rFonts w:ascii="Times New Roman" w:hAnsi="Times New Roman" w:cs="Times New Roman"/>
              </w:rPr>
            </w:pPr>
          </w:p>
        </w:tc>
        <w:tc>
          <w:tcPr>
            <w:tcW w:w="196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ADC8EB9"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89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A5BF678"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05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50B3A54"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19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AC96F19"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9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CB7EFF7"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123"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77DC76C"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r>
      <w:tr w:rsidR="00280E85" w:rsidRPr="005B5EC1" w14:paraId="2448BDAE" w14:textId="77777777" w:rsidTr="00280E85">
        <w:trPr>
          <w:trHeight w:val="244"/>
          <w:jc w:val="center"/>
        </w:trPr>
        <w:tc>
          <w:tcPr>
            <w:tcW w:w="97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BB22229" w14:textId="77777777" w:rsidR="00E32FE0" w:rsidRPr="005B5EC1" w:rsidRDefault="00E32FE0" w:rsidP="00280E85">
            <w:pPr>
              <w:spacing w:line="276" w:lineRule="auto"/>
              <w:rPr>
                <w:rFonts w:ascii="Times New Roman" w:hAnsi="Times New Roman" w:cs="Times New Roman"/>
              </w:rPr>
            </w:pPr>
          </w:p>
        </w:tc>
        <w:tc>
          <w:tcPr>
            <w:tcW w:w="1161" w:type="dxa"/>
            <w:tcBorders>
              <w:top w:val="single" w:sz="2" w:space="0" w:color="auto"/>
              <w:left w:val="single" w:sz="2" w:space="0" w:color="auto"/>
              <w:bottom w:val="single" w:sz="2" w:space="0" w:color="auto"/>
              <w:right w:val="single" w:sz="2" w:space="0" w:color="auto"/>
            </w:tcBorders>
            <w:shd w:val="clear" w:color="auto" w:fill="auto"/>
            <w:vAlign w:val="center"/>
          </w:tcPr>
          <w:p w14:paraId="6BD54C71"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801" w:type="dxa"/>
            <w:tcBorders>
              <w:top w:val="single" w:sz="2" w:space="0" w:color="auto"/>
              <w:left w:val="single" w:sz="2" w:space="0" w:color="auto"/>
              <w:bottom w:val="single" w:sz="2" w:space="0" w:color="auto"/>
              <w:right w:val="single" w:sz="2" w:space="0" w:color="auto"/>
            </w:tcBorders>
            <w:shd w:val="clear" w:color="auto" w:fill="auto"/>
            <w:vAlign w:val="center"/>
          </w:tcPr>
          <w:p w14:paraId="70E28B2D"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center"/>
          </w:tcPr>
          <w:p w14:paraId="3E022E91"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4C135D5"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c>
          <w:tcPr>
            <w:tcW w:w="1052"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33B1F52" w14:textId="77777777" w:rsidR="00E32FE0" w:rsidRPr="005B5EC1" w:rsidRDefault="00E32FE0" w:rsidP="00280E85">
            <w:pPr>
              <w:spacing w:line="276" w:lineRule="auto"/>
              <w:rPr>
                <w:rFonts w:ascii="Times New Roman" w:hAnsi="Times New Roman" w:cs="Times New Roman"/>
              </w:rPr>
            </w:pPr>
          </w:p>
        </w:tc>
        <w:tc>
          <w:tcPr>
            <w:tcW w:w="1216" w:type="dxa"/>
            <w:tcBorders>
              <w:top w:val="single" w:sz="2" w:space="0" w:color="auto"/>
              <w:left w:val="single" w:sz="2" w:space="0" w:color="auto"/>
              <w:bottom w:val="single" w:sz="2" w:space="0" w:color="auto"/>
              <w:right w:val="single" w:sz="2" w:space="0" w:color="auto"/>
            </w:tcBorders>
            <w:shd w:val="clear" w:color="auto" w:fill="auto"/>
            <w:vAlign w:val="center"/>
          </w:tcPr>
          <w:p w14:paraId="7E2D58D6"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2CB617F5"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c>
          <w:tcPr>
            <w:tcW w:w="1099" w:type="dxa"/>
            <w:tcBorders>
              <w:top w:val="single" w:sz="2" w:space="0" w:color="auto"/>
              <w:left w:val="single" w:sz="2" w:space="0" w:color="auto"/>
              <w:bottom w:val="single" w:sz="2" w:space="0" w:color="auto"/>
              <w:right w:val="single" w:sz="2" w:space="0" w:color="auto"/>
            </w:tcBorders>
            <w:shd w:val="clear" w:color="auto" w:fill="auto"/>
            <w:vAlign w:val="center"/>
          </w:tcPr>
          <w:p w14:paraId="60C1E28D"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861" w:type="dxa"/>
            <w:tcBorders>
              <w:top w:val="single" w:sz="2" w:space="0" w:color="auto"/>
              <w:left w:val="single" w:sz="2" w:space="0" w:color="auto"/>
              <w:bottom w:val="single" w:sz="2" w:space="0" w:color="auto"/>
              <w:right w:val="single" w:sz="2" w:space="0" w:color="auto"/>
            </w:tcBorders>
            <w:shd w:val="clear" w:color="auto" w:fill="auto"/>
            <w:vAlign w:val="center"/>
          </w:tcPr>
          <w:p w14:paraId="091D1F2E" w14:textId="77777777" w:rsidR="00E32FE0" w:rsidRPr="005B5EC1" w:rsidRDefault="00000000" w:rsidP="00280E85">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c>
          <w:tcPr>
            <w:tcW w:w="1123"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D41E707" w14:textId="77777777" w:rsidR="00E32FE0" w:rsidRPr="005B5EC1" w:rsidRDefault="00E32FE0" w:rsidP="00280E85">
            <w:pPr>
              <w:spacing w:line="276" w:lineRule="auto"/>
              <w:rPr>
                <w:rFonts w:ascii="Times New Roman" w:hAnsi="Times New Roman" w:cs="Times New Roman"/>
              </w:rPr>
            </w:pPr>
          </w:p>
        </w:tc>
      </w:tr>
      <w:tr w:rsidR="00280E85" w:rsidRPr="005B5EC1" w14:paraId="4BCB5812" w14:textId="77777777" w:rsidTr="00280E85">
        <w:trPr>
          <w:trHeight w:val="244"/>
          <w:jc w:val="center"/>
        </w:trPr>
        <w:tc>
          <w:tcPr>
            <w:tcW w:w="978" w:type="dxa"/>
            <w:tcBorders>
              <w:top w:val="single" w:sz="2" w:space="0" w:color="auto"/>
              <w:left w:val="single" w:sz="2" w:space="0" w:color="auto"/>
              <w:bottom w:val="single" w:sz="2" w:space="0" w:color="auto"/>
              <w:right w:val="single" w:sz="2" w:space="0" w:color="auto"/>
            </w:tcBorders>
            <w:shd w:val="clear" w:color="auto" w:fill="auto"/>
            <w:vAlign w:val="center"/>
          </w:tcPr>
          <w:p w14:paraId="15A1704A" w14:textId="77777777" w:rsidR="00E32FE0" w:rsidRPr="005B5EC1" w:rsidRDefault="00000000" w:rsidP="00280E85">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按单项计提坏账准备</w:t>
            </w:r>
          </w:p>
        </w:tc>
        <w:tc>
          <w:tcPr>
            <w:tcW w:w="1161" w:type="dxa"/>
            <w:tcBorders>
              <w:top w:val="single" w:sz="2" w:space="0" w:color="auto"/>
              <w:left w:val="single" w:sz="2" w:space="0" w:color="auto"/>
              <w:bottom w:val="single" w:sz="2" w:space="0" w:color="auto"/>
              <w:right w:val="single" w:sz="2" w:space="0" w:color="auto"/>
            </w:tcBorders>
            <w:shd w:val="clear" w:color="auto" w:fill="auto"/>
            <w:vAlign w:val="center"/>
          </w:tcPr>
          <w:p w14:paraId="6D5D8393"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4,966,326.39</w:t>
            </w:r>
          </w:p>
        </w:tc>
        <w:tc>
          <w:tcPr>
            <w:tcW w:w="801" w:type="dxa"/>
            <w:tcBorders>
              <w:top w:val="single" w:sz="2" w:space="0" w:color="auto"/>
              <w:left w:val="single" w:sz="2" w:space="0" w:color="auto"/>
              <w:bottom w:val="single" w:sz="2" w:space="0" w:color="auto"/>
              <w:right w:val="single" w:sz="2" w:space="0" w:color="auto"/>
            </w:tcBorders>
            <w:shd w:val="clear" w:color="auto" w:fill="auto"/>
            <w:vAlign w:val="center"/>
          </w:tcPr>
          <w:p w14:paraId="378D7D30"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3.90%</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center"/>
          </w:tcPr>
          <w:p w14:paraId="4A086BBC"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4,287,081.80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019E835"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86.32%</w:t>
            </w:r>
          </w:p>
        </w:tc>
        <w:tc>
          <w:tcPr>
            <w:tcW w:w="1052" w:type="dxa"/>
            <w:tcBorders>
              <w:top w:val="single" w:sz="2" w:space="0" w:color="auto"/>
              <w:left w:val="single" w:sz="2" w:space="0" w:color="auto"/>
              <w:bottom w:val="single" w:sz="2" w:space="0" w:color="auto"/>
              <w:right w:val="single" w:sz="2" w:space="0" w:color="auto"/>
            </w:tcBorders>
            <w:shd w:val="clear" w:color="auto" w:fill="auto"/>
            <w:vAlign w:val="center"/>
          </w:tcPr>
          <w:p w14:paraId="3CEE1C16"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679,244.59</w:t>
            </w:r>
          </w:p>
        </w:tc>
        <w:tc>
          <w:tcPr>
            <w:tcW w:w="1216" w:type="dxa"/>
            <w:tcBorders>
              <w:top w:val="single" w:sz="2" w:space="0" w:color="auto"/>
              <w:left w:val="single" w:sz="2" w:space="0" w:color="auto"/>
              <w:bottom w:val="single" w:sz="2" w:space="0" w:color="auto"/>
              <w:right w:val="single" w:sz="2" w:space="0" w:color="auto"/>
            </w:tcBorders>
            <w:shd w:val="clear" w:color="auto" w:fill="auto"/>
            <w:vAlign w:val="center"/>
          </w:tcPr>
          <w:p w14:paraId="15B841E0"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5,731,075.55</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58C3E59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9.16%</w:t>
            </w:r>
          </w:p>
        </w:tc>
        <w:tc>
          <w:tcPr>
            <w:tcW w:w="1099" w:type="dxa"/>
            <w:tcBorders>
              <w:top w:val="single" w:sz="2" w:space="0" w:color="auto"/>
              <w:left w:val="single" w:sz="2" w:space="0" w:color="auto"/>
              <w:bottom w:val="single" w:sz="2" w:space="0" w:color="auto"/>
              <w:right w:val="single" w:sz="2" w:space="0" w:color="auto"/>
            </w:tcBorders>
            <w:shd w:val="clear" w:color="auto" w:fill="auto"/>
            <w:vAlign w:val="center"/>
          </w:tcPr>
          <w:p w14:paraId="6E4BF366"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5,026,175.55</w:t>
            </w:r>
          </w:p>
        </w:tc>
        <w:tc>
          <w:tcPr>
            <w:tcW w:w="861" w:type="dxa"/>
            <w:tcBorders>
              <w:top w:val="single" w:sz="2" w:space="0" w:color="auto"/>
              <w:left w:val="single" w:sz="2" w:space="0" w:color="auto"/>
              <w:bottom w:val="single" w:sz="2" w:space="0" w:color="auto"/>
              <w:right w:val="single" w:sz="2" w:space="0" w:color="auto"/>
            </w:tcBorders>
            <w:shd w:val="clear" w:color="auto" w:fill="auto"/>
            <w:vAlign w:val="center"/>
          </w:tcPr>
          <w:p w14:paraId="72C58191"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87.70%</w:t>
            </w:r>
          </w:p>
        </w:tc>
        <w:tc>
          <w:tcPr>
            <w:tcW w:w="1123" w:type="dxa"/>
            <w:tcBorders>
              <w:top w:val="single" w:sz="2" w:space="0" w:color="auto"/>
              <w:left w:val="single" w:sz="2" w:space="0" w:color="auto"/>
              <w:bottom w:val="single" w:sz="2" w:space="0" w:color="auto"/>
              <w:right w:val="single" w:sz="2" w:space="0" w:color="auto"/>
            </w:tcBorders>
            <w:shd w:val="clear" w:color="auto" w:fill="auto"/>
            <w:vAlign w:val="center"/>
          </w:tcPr>
          <w:p w14:paraId="1E089F13"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704,900.00</w:t>
            </w:r>
          </w:p>
        </w:tc>
      </w:tr>
      <w:tr w:rsidR="00280E85" w:rsidRPr="005B5EC1" w14:paraId="3014A836" w14:textId="77777777" w:rsidTr="00280E85">
        <w:trPr>
          <w:trHeight w:val="244"/>
          <w:jc w:val="center"/>
        </w:trPr>
        <w:tc>
          <w:tcPr>
            <w:tcW w:w="978" w:type="dxa"/>
            <w:tcBorders>
              <w:top w:val="single" w:sz="2" w:space="0" w:color="auto"/>
              <w:left w:val="single" w:sz="2" w:space="0" w:color="auto"/>
              <w:bottom w:val="single" w:sz="2" w:space="0" w:color="auto"/>
              <w:right w:val="single" w:sz="2" w:space="0" w:color="auto"/>
            </w:tcBorders>
            <w:shd w:val="clear" w:color="auto" w:fill="auto"/>
            <w:vAlign w:val="center"/>
          </w:tcPr>
          <w:p w14:paraId="52FE7EE8" w14:textId="77777777" w:rsidR="00E32FE0" w:rsidRPr="005B5EC1" w:rsidRDefault="00000000" w:rsidP="00280E85">
            <w:pPr>
              <w:spacing w:before="40" w:after="40" w:line="276" w:lineRule="auto"/>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1161" w:type="dxa"/>
            <w:tcBorders>
              <w:top w:val="single" w:sz="2" w:space="0" w:color="auto"/>
              <w:left w:val="single" w:sz="2" w:space="0" w:color="auto"/>
              <w:bottom w:val="single" w:sz="2" w:space="0" w:color="auto"/>
              <w:right w:val="single" w:sz="2" w:space="0" w:color="auto"/>
            </w:tcBorders>
            <w:shd w:val="clear" w:color="auto" w:fill="auto"/>
            <w:vAlign w:val="center"/>
          </w:tcPr>
          <w:p w14:paraId="0857785B" w14:textId="77777777" w:rsidR="00E32FE0" w:rsidRPr="005B5EC1" w:rsidRDefault="00E32FE0" w:rsidP="00280E85">
            <w:pPr>
              <w:spacing w:line="276" w:lineRule="auto"/>
              <w:rPr>
                <w:rFonts w:ascii="Times New Roman" w:hAnsi="Times New Roman" w:cs="Times New Roman"/>
              </w:rPr>
            </w:pPr>
          </w:p>
        </w:tc>
        <w:tc>
          <w:tcPr>
            <w:tcW w:w="801" w:type="dxa"/>
            <w:tcBorders>
              <w:top w:val="single" w:sz="2" w:space="0" w:color="auto"/>
              <w:left w:val="single" w:sz="2" w:space="0" w:color="auto"/>
              <w:bottom w:val="single" w:sz="2" w:space="0" w:color="auto"/>
              <w:right w:val="single" w:sz="2" w:space="0" w:color="auto"/>
            </w:tcBorders>
            <w:shd w:val="clear" w:color="auto" w:fill="auto"/>
            <w:vAlign w:val="center"/>
          </w:tcPr>
          <w:p w14:paraId="1EB0E805" w14:textId="77777777" w:rsidR="00E32FE0" w:rsidRPr="005B5EC1" w:rsidRDefault="00E32FE0" w:rsidP="00280E85">
            <w:pPr>
              <w:spacing w:line="276" w:lineRule="auto"/>
              <w:rPr>
                <w:rFonts w:ascii="Times New Roman" w:hAnsi="Times New Roman" w:cs="Times New Roman"/>
              </w:rPr>
            </w:pPr>
          </w:p>
        </w:tc>
        <w:tc>
          <w:tcPr>
            <w:tcW w:w="1183" w:type="dxa"/>
            <w:tcBorders>
              <w:top w:val="single" w:sz="2" w:space="0" w:color="auto"/>
              <w:left w:val="single" w:sz="2" w:space="0" w:color="auto"/>
              <w:bottom w:val="single" w:sz="2" w:space="0" w:color="auto"/>
              <w:right w:val="single" w:sz="2" w:space="0" w:color="auto"/>
            </w:tcBorders>
            <w:shd w:val="clear" w:color="auto" w:fill="auto"/>
            <w:vAlign w:val="center"/>
          </w:tcPr>
          <w:p w14:paraId="03C1BAB2" w14:textId="77777777" w:rsidR="00E32FE0" w:rsidRPr="005B5EC1" w:rsidRDefault="00E32FE0" w:rsidP="00280E85">
            <w:pPr>
              <w:spacing w:line="276" w:lineRule="auto"/>
              <w:rPr>
                <w:rFonts w:ascii="Times New Roman" w:hAnsi="Times New Roman" w:cs="Times New Roman"/>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A23FEF4" w14:textId="77777777" w:rsidR="00E32FE0" w:rsidRPr="005B5EC1" w:rsidRDefault="00E32FE0" w:rsidP="00280E85">
            <w:pPr>
              <w:spacing w:line="276" w:lineRule="auto"/>
              <w:rPr>
                <w:rFonts w:ascii="Times New Roman" w:hAnsi="Times New Roman" w:cs="Times New Roman"/>
              </w:rPr>
            </w:pPr>
          </w:p>
        </w:tc>
        <w:tc>
          <w:tcPr>
            <w:tcW w:w="1052" w:type="dxa"/>
            <w:tcBorders>
              <w:top w:val="single" w:sz="2" w:space="0" w:color="auto"/>
              <w:left w:val="single" w:sz="2" w:space="0" w:color="auto"/>
              <w:bottom w:val="single" w:sz="2" w:space="0" w:color="auto"/>
              <w:right w:val="single" w:sz="2" w:space="0" w:color="auto"/>
            </w:tcBorders>
            <w:shd w:val="clear" w:color="auto" w:fill="auto"/>
            <w:vAlign w:val="center"/>
          </w:tcPr>
          <w:p w14:paraId="11F8AAA3" w14:textId="77777777" w:rsidR="00E32FE0" w:rsidRPr="005B5EC1" w:rsidRDefault="00E32FE0" w:rsidP="00280E85">
            <w:pPr>
              <w:spacing w:line="276" w:lineRule="auto"/>
              <w:rPr>
                <w:rFonts w:ascii="Times New Roman" w:hAnsi="Times New Roman" w:cs="Times New Roman"/>
              </w:rPr>
            </w:pPr>
          </w:p>
        </w:tc>
        <w:tc>
          <w:tcPr>
            <w:tcW w:w="1216" w:type="dxa"/>
            <w:tcBorders>
              <w:top w:val="single" w:sz="2" w:space="0" w:color="auto"/>
              <w:left w:val="single" w:sz="2" w:space="0" w:color="auto"/>
              <w:bottom w:val="single" w:sz="2" w:space="0" w:color="auto"/>
              <w:right w:val="single" w:sz="2" w:space="0" w:color="auto"/>
            </w:tcBorders>
            <w:shd w:val="clear" w:color="auto" w:fill="auto"/>
            <w:vAlign w:val="center"/>
          </w:tcPr>
          <w:p w14:paraId="0BB6FA72" w14:textId="77777777" w:rsidR="00E32FE0" w:rsidRPr="005B5EC1" w:rsidRDefault="00E32FE0" w:rsidP="00280E85">
            <w:pPr>
              <w:spacing w:line="276" w:lineRule="auto"/>
              <w:rPr>
                <w:rFonts w:ascii="Times New Roman" w:hAnsi="Times New Roman" w:cs="Times New Roman"/>
              </w:rPr>
            </w:pP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05B2A8FB" w14:textId="77777777" w:rsidR="00E32FE0" w:rsidRPr="005B5EC1" w:rsidRDefault="00E32FE0" w:rsidP="00280E85">
            <w:pPr>
              <w:spacing w:line="276" w:lineRule="auto"/>
              <w:rPr>
                <w:rFonts w:ascii="Times New Roman" w:hAnsi="Times New Roman" w:cs="Times New Roman"/>
              </w:rPr>
            </w:pPr>
          </w:p>
        </w:tc>
        <w:tc>
          <w:tcPr>
            <w:tcW w:w="1099" w:type="dxa"/>
            <w:tcBorders>
              <w:top w:val="single" w:sz="2" w:space="0" w:color="auto"/>
              <w:left w:val="single" w:sz="2" w:space="0" w:color="auto"/>
              <w:bottom w:val="single" w:sz="2" w:space="0" w:color="auto"/>
              <w:right w:val="single" w:sz="2" w:space="0" w:color="auto"/>
            </w:tcBorders>
            <w:shd w:val="clear" w:color="auto" w:fill="auto"/>
            <w:vAlign w:val="center"/>
          </w:tcPr>
          <w:p w14:paraId="32095630" w14:textId="77777777" w:rsidR="00E32FE0" w:rsidRPr="005B5EC1" w:rsidRDefault="00E32FE0" w:rsidP="00280E85">
            <w:pPr>
              <w:spacing w:line="276" w:lineRule="auto"/>
              <w:rPr>
                <w:rFonts w:ascii="Times New Roman" w:hAnsi="Times New Roman" w:cs="Times New Roman"/>
              </w:rPr>
            </w:pPr>
          </w:p>
        </w:tc>
        <w:tc>
          <w:tcPr>
            <w:tcW w:w="861" w:type="dxa"/>
            <w:tcBorders>
              <w:top w:val="single" w:sz="2" w:space="0" w:color="auto"/>
              <w:left w:val="single" w:sz="2" w:space="0" w:color="auto"/>
              <w:bottom w:val="single" w:sz="2" w:space="0" w:color="auto"/>
              <w:right w:val="single" w:sz="2" w:space="0" w:color="auto"/>
            </w:tcBorders>
            <w:shd w:val="clear" w:color="auto" w:fill="auto"/>
            <w:vAlign w:val="center"/>
          </w:tcPr>
          <w:p w14:paraId="2B3C4156" w14:textId="77777777" w:rsidR="00E32FE0" w:rsidRPr="005B5EC1" w:rsidRDefault="00E32FE0" w:rsidP="00280E85">
            <w:pPr>
              <w:spacing w:line="276" w:lineRule="auto"/>
              <w:rPr>
                <w:rFonts w:ascii="Times New Roman" w:hAnsi="Times New Roman" w:cs="Times New Roman"/>
              </w:rPr>
            </w:pPr>
          </w:p>
        </w:tc>
        <w:tc>
          <w:tcPr>
            <w:tcW w:w="1123" w:type="dxa"/>
            <w:tcBorders>
              <w:top w:val="single" w:sz="2" w:space="0" w:color="auto"/>
              <w:left w:val="single" w:sz="2" w:space="0" w:color="auto"/>
              <w:bottom w:val="single" w:sz="2" w:space="0" w:color="auto"/>
              <w:right w:val="single" w:sz="2" w:space="0" w:color="auto"/>
            </w:tcBorders>
            <w:shd w:val="clear" w:color="auto" w:fill="auto"/>
            <w:vAlign w:val="center"/>
          </w:tcPr>
          <w:p w14:paraId="41A3482C" w14:textId="77777777" w:rsidR="00E32FE0" w:rsidRPr="005B5EC1" w:rsidRDefault="00E32FE0" w:rsidP="00280E85">
            <w:pPr>
              <w:spacing w:line="276" w:lineRule="auto"/>
              <w:rPr>
                <w:rFonts w:ascii="Times New Roman" w:hAnsi="Times New Roman" w:cs="Times New Roman"/>
              </w:rPr>
            </w:pPr>
          </w:p>
        </w:tc>
      </w:tr>
      <w:tr w:rsidR="00280E85" w:rsidRPr="005B5EC1" w14:paraId="526A26A6" w14:textId="77777777" w:rsidTr="00280E85">
        <w:trPr>
          <w:trHeight w:val="244"/>
          <w:jc w:val="center"/>
        </w:trPr>
        <w:tc>
          <w:tcPr>
            <w:tcW w:w="978" w:type="dxa"/>
            <w:tcBorders>
              <w:top w:val="single" w:sz="2" w:space="0" w:color="auto"/>
              <w:left w:val="single" w:sz="2" w:space="0" w:color="auto"/>
              <w:bottom w:val="single" w:sz="2" w:space="0" w:color="auto"/>
              <w:right w:val="single" w:sz="2" w:space="0" w:color="auto"/>
            </w:tcBorders>
            <w:shd w:val="clear" w:color="auto" w:fill="auto"/>
            <w:vAlign w:val="center"/>
          </w:tcPr>
          <w:p w14:paraId="2385EC7F" w14:textId="77777777" w:rsidR="00E32FE0" w:rsidRPr="005B5EC1" w:rsidRDefault="00000000" w:rsidP="00280E85">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单项金额虽不重大但单项计提坏账准备的其它应收账款</w:t>
            </w:r>
          </w:p>
        </w:tc>
        <w:tc>
          <w:tcPr>
            <w:tcW w:w="1161" w:type="dxa"/>
            <w:tcBorders>
              <w:top w:val="single" w:sz="2" w:space="0" w:color="auto"/>
              <w:left w:val="single" w:sz="2" w:space="0" w:color="auto"/>
              <w:bottom w:val="single" w:sz="2" w:space="0" w:color="auto"/>
              <w:right w:val="single" w:sz="2" w:space="0" w:color="auto"/>
            </w:tcBorders>
            <w:shd w:val="clear" w:color="auto" w:fill="auto"/>
            <w:vAlign w:val="center"/>
          </w:tcPr>
          <w:p w14:paraId="63CE858C"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4,966,326.39</w:t>
            </w:r>
          </w:p>
        </w:tc>
        <w:tc>
          <w:tcPr>
            <w:tcW w:w="801" w:type="dxa"/>
            <w:tcBorders>
              <w:top w:val="single" w:sz="2" w:space="0" w:color="auto"/>
              <w:left w:val="single" w:sz="2" w:space="0" w:color="auto"/>
              <w:bottom w:val="single" w:sz="2" w:space="0" w:color="auto"/>
              <w:right w:val="single" w:sz="2" w:space="0" w:color="auto"/>
            </w:tcBorders>
            <w:shd w:val="clear" w:color="auto" w:fill="auto"/>
            <w:vAlign w:val="center"/>
          </w:tcPr>
          <w:p w14:paraId="04E63BA8"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3.90%</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center"/>
          </w:tcPr>
          <w:p w14:paraId="0F8B4FCF"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4,287,081.80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E817F61"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86.32%</w:t>
            </w:r>
          </w:p>
        </w:tc>
        <w:tc>
          <w:tcPr>
            <w:tcW w:w="1052" w:type="dxa"/>
            <w:tcBorders>
              <w:top w:val="single" w:sz="2" w:space="0" w:color="auto"/>
              <w:left w:val="single" w:sz="2" w:space="0" w:color="auto"/>
              <w:bottom w:val="single" w:sz="2" w:space="0" w:color="auto"/>
              <w:right w:val="single" w:sz="2" w:space="0" w:color="auto"/>
            </w:tcBorders>
            <w:shd w:val="clear" w:color="auto" w:fill="auto"/>
            <w:vAlign w:val="center"/>
          </w:tcPr>
          <w:p w14:paraId="79009B81"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679,244.59</w:t>
            </w:r>
          </w:p>
        </w:tc>
        <w:tc>
          <w:tcPr>
            <w:tcW w:w="1216" w:type="dxa"/>
            <w:tcBorders>
              <w:top w:val="single" w:sz="2" w:space="0" w:color="auto"/>
              <w:left w:val="single" w:sz="2" w:space="0" w:color="auto"/>
              <w:bottom w:val="single" w:sz="2" w:space="0" w:color="auto"/>
              <w:right w:val="single" w:sz="2" w:space="0" w:color="auto"/>
            </w:tcBorders>
            <w:shd w:val="clear" w:color="auto" w:fill="auto"/>
            <w:vAlign w:val="center"/>
          </w:tcPr>
          <w:p w14:paraId="275A9A07"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5,731,075.55</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59D3C340"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9.16%</w:t>
            </w:r>
          </w:p>
        </w:tc>
        <w:tc>
          <w:tcPr>
            <w:tcW w:w="1099" w:type="dxa"/>
            <w:tcBorders>
              <w:top w:val="single" w:sz="2" w:space="0" w:color="auto"/>
              <w:left w:val="single" w:sz="2" w:space="0" w:color="auto"/>
              <w:bottom w:val="single" w:sz="2" w:space="0" w:color="auto"/>
              <w:right w:val="single" w:sz="2" w:space="0" w:color="auto"/>
            </w:tcBorders>
            <w:shd w:val="clear" w:color="auto" w:fill="auto"/>
            <w:vAlign w:val="center"/>
          </w:tcPr>
          <w:p w14:paraId="2BF65DBF"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5,026,175.55</w:t>
            </w:r>
          </w:p>
        </w:tc>
        <w:tc>
          <w:tcPr>
            <w:tcW w:w="861" w:type="dxa"/>
            <w:tcBorders>
              <w:top w:val="single" w:sz="2" w:space="0" w:color="auto"/>
              <w:left w:val="single" w:sz="2" w:space="0" w:color="auto"/>
              <w:bottom w:val="single" w:sz="2" w:space="0" w:color="auto"/>
              <w:right w:val="single" w:sz="2" w:space="0" w:color="auto"/>
            </w:tcBorders>
            <w:shd w:val="clear" w:color="auto" w:fill="auto"/>
            <w:vAlign w:val="center"/>
          </w:tcPr>
          <w:p w14:paraId="257726A7"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87.70%</w:t>
            </w:r>
          </w:p>
        </w:tc>
        <w:tc>
          <w:tcPr>
            <w:tcW w:w="1123" w:type="dxa"/>
            <w:tcBorders>
              <w:top w:val="single" w:sz="2" w:space="0" w:color="auto"/>
              <w:left w:val="single" w:sz="2" w:space="0" w:color="auto"/>
              <w:bottom w:val="single" w:sz="2" w:space="0" w:color="auto"/>
              <w:right w:val="single" w:sz="2" w:space="0" w:color="auto"/>
            </w:tcBorders>
            <w:shd w:val="clear" w:color="auto" w:fill="auto"/>
            <w:vAlign w:val="center"/>
          </w:tcPr>
          <w:p w14:paraId="6712AC55"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704,900.00</w:t>
            </w:r>
          </w:p>
        </w:tc>
      </w:tr>
      <w:tr w:rsidR="00280E85" w:rsidRPr="005B5EC1" w14:paraId="059F339A" w14:textId="77777777" w:rsidTr="00280E85">
        <w:trPr>
          <w:trHeight w:val="244"/>
          <w:jc w:val="center"/>
        </w:trPr>
        <w:tc>
          <w:tcPr>
            <w:tcW w:w="978" w:type="dxa"/>
            <w:tcBorders>
              <w:top w:val="single" w:sz="2" w:space="0" w:color="auto"/>
              <w:left w:val="single" w:sz="2" w:space="0" w:color="auto"/>
              <w:bottom w:val="single" w:sz="2" w:space="0" w:color="auto"/>
              <w:right w:val="single" w:sz="2" w:space="0" w:color="auto"/>
            </w:tcBorders>
            <w:shd w:val="clear" w:color="auto" w:fill="auto"/>
            <w:vAlign w:val="center"/>
          </w:tcPr>
          <w:p w14:paraId="4D598C1D" w14:textId="77777777" w:rsidR="00E32FE0" w:rsidRPr="005B5EC1" w:rsidRDefault="00000000" w:rsidP="00280E85">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按组合计提</w:t>
            </w:r>
            <w:r w:rsidRPr="005B5EC1">
              <w:rPr>
                <w:rFonts w:ascii="Times New Roman" w:eastAsia="宋体" w:hAnsi="Times New Roman" w:cs="Times New Roman"/>
                <w:sz w:val="18"/>
                <w:szCs w:val="18"/>
              </w:rPr>
              <w:lastRenderedPageBreak/>
              <w:t>坏账准备</w:t>
            </w:r>
          </w:p>
        </w:tc>
        <w:tc>
          <w:tcPr>
            <w:tcW w:w="1161" w:type="dxa"/>
            <w:tcBorders>
              <w:top w:val="single" w:sz="2" w:space="0" w:color="auto"/>
              <w:left w:val="single" w:sz="2" w:space="0" w:color="auto"/>
              <w:bottom w:val="single" w:sz="2" w:space="0" w:color="auto"/>
              <w:right w:val="single" w:sz="2" w:space="0" w:color="auto"/>
            </w:tcBorders>
            <w:shd w:val="clear" w:color="auto" w:fill="auto"/>
            <w:vAlign w:val="center"/>
          </w:tcPr>
          <w:p w14:paraId="7F611E41"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122,461,085.17</w:t>
            </w:r>
          </w:p>
        </w:tc>
        <w:tc>
          <w:tcPr>
            <w:tcW w:w="801" w:type="dxa"/>
            <w:tcBorders>
              <w:top w:val="single" w:sz="2" w:space="0" w:color="auto"/>
              <w:left w:val="single" w:sz="2" w:space="0" w:color="auto"/>
              <w:bottom w:val="single" w:sz="2" w:space="0" w:color="auto"/>
              <w:right w:val="single" w:sz="2" w:space="0" w:color="auto"/>
            </w:tcBorders>
            <w:shd w:val="clear" w:color="auto" w:fill="auto"/>
            <w:vAlign w:val="center"/>
          </w:tcPr>
          <w:p w14:paraId="4BD2AF21"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96.10%</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center"/>
          </w:tcPr>
          <w:p w14:paraId="6C956738"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26,602,239.54</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AA5AE34"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21.72%</w:t>
            </w:r>
          </w:p>
        </w:tc>
        <w:tc>
          <w:tcPr>
            <w:tcW w:w="1052" w:type="dxa"/>
            <w:tcBorders>
              <w:top w:val="single" w:sz="2" w:space="0" w:color="auto"/>
              <w:left w:val="single" w:sz="2" w:space="0" w:color="auto"/>
              <w:bottom w:val="single" w:sz="2" w:space="0" w:color="auto"/>
              <w:right w:val="single" w:sz="2" w:space="0" w:color="auto"/>
            </w:tcBorders>
            <w:shd w:val="clear" w:color="auto" w:fill="auto"/>
            <w:vAlign w:val="center"/>
          </w:tcPr>
          <w:p w14:paraId="0118D93C"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95,858,845.63</w:t>
            </w:r>
          </w:p>
        </w:tc>
        <w:tc>
          <w:tcPr>
            <w:tcW w:w="1216" w:type="dxa"/>
            <w:tcBorders>
              <w:top w:val="single" w:sz="2" w:space="0" w:color="auto"/>
              <w:left w:val="single" w:sz="2" w:space="0" w:color="auto"/>
              <w:bottom w:val="single" w:sz="2" w:space="0" w:color="auto"/>
              <w:right w:val="single" w:sz="2" w:space="0" w:color="auto"/>
            </w:tcBorders>
            <w:shd w:val="clear" w:color="auto" w:fill="auto"/>
            <w:vAlign w:val="center"/>
          </w:tcPr>
          <w:p w14:paraId="31528C31"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56,856,087.49</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46D912E3"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90.84%</w:t>
            </w:r>
          </w:p>
        </w:tc>
        <w:tc>
          <w:tcPr>
            <w:tcW w:w="1099" w:type="dxa"/>
            <w:tcBorders>
              <w:top w:val="single" w:sz="2" w:space="0" w:color="auto"/>
              <w:left w:val="single" w:sz="2" w:space="0" w:color="auto"/>
              <w:bottom w:val="single" w:sz="2" w:space="0" w:color="auto"/>
              <w:right w:val="single" w:sz="2" w:space="0" w:color="auto"/>
            </w:tcBorders>
            <w:shd w:val="clear" w:color="auto" w:fill="auto"/>
            <w:vAlign w:val="center"/>
          </w:tcPr>
          <w:p w14:paraId="10B660B4"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12,732,420.73</w:t>
            </w:r>
          </w:p>
        </w:tc>
        <w:tc>
          <w:tcPr>
            <w:tcW w:w="861" w:type="dxa"/>
            <w:tcBorders>
              <w:top w:val="single" w:sz="2" w:space="0" w:color="auto"/>
              <w:left w:val="single" w:sz="2" w:space="0" w:color="auto"/>
              <w:bottom w:val="single" w:sz="2" w:space="0" w:color="auto"/>
              <w:right w:val="single" w:sz="2" w:space="0" w:color="auto"/>
            </w:tcBorders>
            <w:shd w:val="clear" w:color="auto" w:fill="auto"/>
            <w:vAlign w:val="center"/>
          </w:tcPr>
          <w:p w14:paraId="3FA8871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22.39%</w:t>
            </w:r>
          </w:p>
        </w:tc>
        <w:tc>
          <w:tcPr>
            <w:tcW w:w="1123" w:type="dxa"/>
            <w:tcBorders>
              <w:top w:val="single" w:sz="2" w:space="0" w:color="auto"/>
              <w:left w:val="single" w:sz="2" w:space="0" w:color="auto"/>
              <w:bottom w:val="single" w:sz="2" w:space="0" w:color="auto"/>
              <w:right w:val="single" w:sz="2" w:space="0" w:color="auto"/>
            </w:tcBorders>
            <w:shd w:val="clear" w:color="auto" w:fill="auto"/>
            <w:vAlign w:val="center"/>
          </w:tcPr>
          <w:p w14:paraId="3F539C47"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44,123,666.76</w:t>
            </w:r>
          </w:p>
        </w:tc>
      </w:tr>
      <w:tr w:rsidR="00280E85" w:rsidRPr="005B5EC1" w14:paraId="73A34CAD" w14:textId="77777777" w:rsidTr="00280E85">
        <w:trPr>
          <w:trHeight w:val="244"/>
          <w:jc w:val="center"/>
        </w:trPr>
        <w:tc>
          <w:tcPr>
            <w:tcW w:w="978" w:type="dxa"/>
            <w:tcBorders>
              <w:top w:val="single" w:sz="2" w:space="0" w:color="auto"/>
              <w:left w:val="single" w:sz="2" w:space="0" w:color="auto"/>
              <w:bottom w:val="single" w:sz="2" w:space="0" w:color="auto"/>
              <w:right w:val="single" w:sz="2" w:space="0" w:color="auto"/>
            </w:tcBorders>
            <w:shd w:val="clear" w:color="auto" w:fill="auto"/>
            <w:vAlign w:val="center"/>
          </w:tcPr>
          <w:p w14:paraId="478B4C53" w14:textId="77777777" w:rsidR="00E32FE0" w:rsidRPr="005B5EC1" w:rsidRDefault="00000000" w:rsidP="00280E85">
            <w:pPr>
              <w:spacing w:before="40" w:after="40" w:line="276" w:lineRule="auto"/>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1161" w:type="dxa"/>
            <w:tcBorders>
              <w:top w:val="single" w:sz="2" w:space="0" w:color="auto"/>
              <w:left w:val="single" w:sz="2" w:space="0" w:color="auto"/>
              <w:bottom w:val="single" w:sz="2" w:space="0" w:color="auto"/>
              <w:right w:val="single" w:sz="2" w:space="0" w:color="auto"/>
            </w:tcBorders>
            <w:shd w:val="clear" w:color="auto" w:fill="auto"/>
            <w:vAlign w:val="center"/>
          </w:tcPr>
          <w:p w14:paraId="45FBDA87" w14:textId="77777777" w:rsidR="00E32FE0" w:rsidRPr="005B5EC1" w:rsidRDefault="00E32FE0" w:rsidP="00280E85">
            <w:pPr>
              <w:spacing w:line="276" w:lineRule="auto"/>
              <w:rPr>
                <w:rFonts w:ascii="Times New Roman" w:hAnsi="Times New Roman" w:cs="Times New Roman"/>
              </w:rPr>
            </w:pPr>
          </w:p>
        </w:tc>
        <w:tc>
          <w:tcPr>
            <w:tcW w:w="801" w:type="dxa"/>
            <w:tcBorders>
              <w:top w:val="single" w:sz="2" w:space="0" w:color="auto"/>
              <w:left w:val="single" w:sz="2" w:space="0" w:color="auto"/>
              <w:bottom w:val="single" w:sz="2" w:space="0" w:color="auto"/>
              <w:right w:val="single" w:sz="2" w:space="0" w:color="auto"/>
            </w:tcBorders>
            <w:shd w:val="clear" w:color="auto" w:fill="auto"/>
            <w:vAlign w:val="center"/>
          </w:tcPr>
          <w:p w14:paraId="69FB46BB" w14:textId="77777777" w:rsidR="00E32FE0" w:rsidRPr="005B5EC1" w:rsidRDefault="00E32FE0" w:rsidP="00280E85">
            <w:pPr>
              <w:spacing w:line="276" w:lineRule="auto"/>
              <w:rPr>
                <w:rFonts w:ascii="Times New Roman" w:hAnsi="Times New Roman" w:cs="Times New Roman"/>
              </w:rPr>
            </w:pPr>
          </w:p>
        </w:tc>
        <w:tc>
          <w:tcPr>
            <w:tcW w:w="1183" w:type="dxa"/>
            <w:tcBorders>
              <w:top w:val="single" w:sz="2" w:space="0" w:color="auto"/>
              <w:left w:val="single" w:sz="2" w:space="0" w:color="auto"/>
              <w:bottom w:val="single" w:sz="2" w:space="0" w:color="auto"/>
              <w:right w:val="single" w:sz="2" w:space="0" w:color="auto"/>
            </w:tcBorders>
            <w:shd w:val="clear" w:color="auto" w:fill="auto"/>
            <w:vAlign w:val="center"/>
          </w:tcPr>
          <w:p w14:paraId="67D55E08" w14:textId="77777777" w:rsidR="00E32FE0" w:rsidRPr="005B5EC1" w:rsidRDefault="00E32FE0" w:rsidP="00280E85">
            <w:pPr>
              <w:spacing w:line="276" w:lineRule="auto"/>
              <w:rPr>
                <w:rFonts w:ascii="Times New Roman" w:hAnsi="Times New Roman" w:cs="Times New Roman"/>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F853A89" w14:textId="77777777" w:rsidR="00E32FE0" w:rsidRPr="005B5EC1" w:rsidRDefault="00E32FE0" w:rsidP="00280E85">
            <w:pPr>
              <w:spacing w:line="276" w:lineRule="auto"/>
              <w:rPr>
                <w:rFonts w:ascii="Times New Roman" w:hAnsi="Times New Roman" w:cs="Times New Roman"/>
              </w:rPr>
            </w:pPr>
          </w:p>
        </w:tc>
        <w:tc>
          <w:tcPr>
            <w:tcW w:w="1052" w:type="dxa"/>
            <w:tcBorders>
              <w:top w:val="single" w:sz="2" w:space="0" w:color="auto"/>
              <w:left w:val="single" w:sz="2" w:space="0" w:color="auto"/>
              <w:bottom w:val="single" w:sz="2" w:space="0" w:color="auto"/>
              <w:right w:val="single" w:sz="2" w:space="0" w:color="auto"/>
            </w:tcBorders>
            <w:shd w:val="clear" w:color="auto" w:fill="auto"/>
            <w:vAlign w:val="center"/>
          </w:tcPr>
          <w:p w14:paraId="35238D9C" w14:textId="77777777" w:rsidR="00E32FE0" w:rsidRPr="005B5EC1" w:rsidRDefault="00E32FE0" w:rsidP="00280E85">
            <w:pPr>
              <w:spacing w:line="276" w:lineRule="auto"/>
              <w:rPr>
                <w:rFonts w:ascii="Times New Roman" w:hAnsi="Times New Roman" w:cs="Times New Roman"/>
              </w:rPr>
            </w:pPr>
          </w:p>
        </w:tc>
        <w:tc>
          <w:tcPr>
            <w:tcW w:w="1216" w:type="dxa"/>
            <w:tcBorders>
              <w:top w:val="single" w:sz="2" w:space="0" w:color="auto"/>
              <w:left w:val="single" w:sz="2" w:space="0" w:color="auto"/>
              <w:bottom w:val="single" w:sz="2" w:space="0" w:color="auto"/>
              <w:right w:val="single" w:sz="2" w:space="0" w:color="auto"/>
            </w:tcBorders>
            <w:shd w:val="clear" w:color="auto" w:fill="auto"/>
            <w:vAlign w:val="center"/>
          </w:tcPr>
          <w:p w14:paraId="2FFC6C9E" w14:textId="77777777" w:rsidR="00E32FE0" w:rsidRPr="005B5EC1" w:rsidRDefault="00E32FE0" w:rsidP="00280E85">
            <w:pPr>
              <w:spacing w:line="276" w:lineRule="auto"/>
              <w:rPr>
                <w:rFonts w:ascii="Times New Roman" w:hAnsi="Times New Roman" w:cs="Times New Roman"/>
              </w:rPr>
            </w:pP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01DFC62A" w14:textId="77777777" w:rsidR="00E32FE0" w:rsidRPr="005B5EC1" w:rsidRDefault="00E32FE0" w:rsidP="00280E85">
            <w:pPr>
              <w:spacing w:line="276" w:lineRule="auto"/>
              <w:rPr>
                <w:rFonts w:ascii="Times New Roman" w:hAnsi="Times New Roman" w:cs="Times New Roman"/>
              </w:rPr>
            </w:pPr>
          </w:p>
        </w:tc>
        <w:tc>
          <w:tcPr>
            <w:tcW w:w="1099" w:type="dxa"/>
            <w:tcBorders>
              <w:top w:val="single" w:sz="2" w:space="0" w:color="auto"/>
              <w:left w:val="single" w:sz="2" w:space="0" w:color="auto"/>
              <w:bottom w:val="single" w:sz="2" w:space="0" w:color="auto"/>
              <w:right w:val="single" w:sz="2" w:space="0" w:color="auto"/>
            </w:tcBorders>
            <w:shd w:val="clear" w:color="auto" w:fill="auto"/>
            <w:vAlign w:val="center"/>
          </w:tcPr>
          <w:p w14:paraId="00C1E7CB" w14:textId="77777777" w:rsidR="00E32FE0" w:rsidRPr="005B5EC1" w:rsidRDefault="00E32FE0" w:rsidP="00280E85">
            <w:pPr>
              <w:spacing w:line="276" w:lineRule="auto"/>
              <w:rPr>
                <w:rFonts w:ascii="Times New Roman" w:hAnsi="Times New Roman" w:cs="Times New Roman"/>
              </w:rPr>
            </w:pPr>
          </w:p>
        </w:tc>
        <w:tc>
          <w:tcPr>
            <w:tcW w:w="861" w:type="dxa"/>
            <w:tcBorders>
              <w:top w:val="single" w:sz="2" w:space="0" w:color="auto"/>
              <w:left w:val="single" w:sz="2" w:space="0" w:color="auto"/>
              <w:bottom w:val="single" w:sz="2" w:space="0" w:color="auto"/>
              <w:right w:val="single" w:sz="2" w:space="0" w:color="auto"/>
            </w:tcBorders>
            <w:shd w:val="clear" w:color="auto" w:fill="auto"/>
            <w:vAlign w:val="center"/>
          </w:tcPr>
          <w:p w14:paraId="29E60282" w14:textId="77777777" w:rsidR="00E32FE0" w:rsidRPr="005B5EC1" w:rsidRDefault="00E32FE0" w:rsidP="00280E85">
            <w:pPr>
              <w:spacing w:line="276" w:lineRule="auto"/>
              <w:rPr>
                <w:rFonts w:ascii="Times New Roman" w:hAnsi="Times New Roman" w:cs="Times New Roman"/>
              </w:rPr>
            </w:pPr>
          </w:p>
        </w:tc>
        <w:tc>
          <w:tcPr>
            <w:tcW w:w="1123" w:type="dxa"/>
            <w:tcBorders>
              <w:top w:val="single" w:sz="2" w:space="0" w:color="auto"/>
              <w:left w:val="single" w:sz="2" w:space="0" w:color="auto"/>
              <w:bottom w:val="single" w:sz="2" w:space="0" w:color="auto"/>
              <w:right w:val="single" w:sz="2" w:space="0" w:color="auto"/>
            </w:tcBorders>
            <w:shd w:val="clear" w:color="auto" w:fill="auto"/>
            <w:vAlign w:val="center"/>
          </w:tcPr>
          <w:p w14:paraId="77FB02B2" w14:textId="77777777" w:rsidR="00E32FE0" w:rsidRPr="005B5EC1" w:rsidRDefault="00E32FE0" w:rsidP="00280E85">
            <w:pPr>
              <w:spacing w:line="276" w:lineRule="auto"/>
              <w:rPr>
                <w:rFonts w:ascii="Times New Roman" w:hAnsi="Times New Roman" w:cs="Times New Roman"/>
              </w:rPr>
            </w:pPr>
          </w:p>
        </w:tc>
      </w:tr>
      <w:tr w:rsidR="00280E85" w:rsidRPr="005B5EC1" w14:paraId="3BBF5E82" w14:textId="77777777" w:rsidTr="00280E85">
        <w:trPr>
          <w:trHeight w:val="244"/>
          <w:jc w:val="center"/>
        </w:trPr>
        <w:tc>
          <w:tcPr>
            <w:tcW w:w="978" w:type="dxa"/>
            <w:tcBorders>
              <w:top w:val="single" w:sz="2" w:space="0" w:color="auto"/>
              <w:left w:val="single" w:sz="2" w:space="0" w:color="auto"/>
              <w:bottom w:val="single" w:sz="2" w:space="0" w:color="auto"/>
              <w:right w:val="single" w:sz="2" w:space="0" w:color="auto"/>
            </w:tcBorders>
            <w:shd w:val="clear" w:color="auto" w:fill="auto"/>
            <w:vAlign w:val="center"/>
          </w:tcPr>
          <w:p w14:paraId="5AC1818E" w14:textId="77777777" w:rsidR="00E32FE0" w:rsidRPr="005B5EC1" w:rsidRDefault="00000000" w:rsidP="00280E85">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按账龄组合</w:t>
            </w:r>
          </w:p>
        </w:tc>
        <w:tc>
          <w:tcPr>
            <w:tcW w:w="1161" w:type="dxa"/>
            <w:tcBorders>
              <w:top w:val="single" w:sz="2" w:space="0" w:color="auto"/>
              <w:left w:val="single" w:sz="2" w:space="0" w:color="auto"/>
              <w:bottom w:val="single" w:sz="2" w:space="0" w:color="auto"/>
              <w:right w:val="single" w:sz="2" w:space="0" w:color="auto"/>
            </w:tcBorders>
            <w:shd w:val="clear" w:color="auto" w:fill="auto"/>
            <w:vAlign w:val="center"/>
          </w:tcPr>
          <w:p w14:paraId="4C941667"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122,461,085.17</w:t>
            </w:r>
          </w:p>
        </w:tc>
        <w:tc>
          <w:tcPr>
            <w:tcW w:w="801" w:type="dxa"/>
            <w:tcBorders>
              <w:top w:val="single" w:sz="2" w:space="0" w:color="auto"/>
              <w:left w:val="single" w:sz="2" w:space="0" w:color="auto"/>
              <w:bottom w:val="single" w:sz="2" w:space="0" w:color="auto"/>
              <w:right w:val="single" w:sz="2" w:space="0" w:color="auto"/>
            </w:tcBorders>
            <w:shd w:val="clear" w:color="auto" w:fill="auto"/>
            <w:vAlign w:val="center"/>
          </w:tcPr>
          <w:p w14:paraId="682C43E2"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96.10%</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center"/>
          </w:tcPr>
          <w:p w14:paraId="0535267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26,602,239.54</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3119C9D"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21.72%</w:t>
            </w:r>
          </w:p>
        </w:tc>
        <w:tc>
          <w:tcPr>
            <w:tcW w:w="1052" w:type="dxa"/>
            <w:tcBorders>
              <w:top w:val="single" w:sz="2" w:space="0" w:color="auto"/>
              <w:left w:val="single" w:sz="2" w:space="0" w:color="auto"/>
              <w:bottom w:val="single" w:sz="2" w:space="0" w:color="auto"/>
              <w:right w:val="single" w:sz="2" w:space="0" w:color="auto"/>
            </w:tcBorders>
            <w:shd w:val="clear" w:color="auto" w:fill="auto"/>
            <w:vAlign w:val="center"/>
          </w:tcPr>
          <w:p w14:paraId="35B216C4"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95,858,845.63</w:t>
            </w:r>
          </w:p>
        </w:tc>
        <w:tc>
          <w:tcPr>
            <w:tcW w:w="1216" w:type="dxa"/>
            <w:tcBorders>
              <w:top w:val="single" w:sz="2" w:space="0" w:color="auto"/>
              <w:left w:val="single" w:sz="2" w:space="0" w:color="auto"/>
              <w:bottom w:val="single" w:sz="2" w:space="0" w:color="auto"/>
              <w:right w:val="single" w:sz="2" w:space="0" w:color="auto"/>
            </w:tcBorders>
            <w:shd w:val="clear" w:color="auto" w:fill="auto"/>
            <w:vAlign w:val="center"/>
          </w:tcPr>
          <w:p w14:paraId="0C202DFB"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56,856,087.49</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4990A251"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90.84%</w:t>
            </w:r>
          </w:p>
        </w:tc>
        <w:tc>
          <w:tcPr>
            <w:tcW w:w="1099" w:type="dxa"/>
            <w:tcBorders>
              <w:top w:val="single" w:sz="2" w:space="0" w:color="auto"/>
              <w:left w:val="single" w:sz="2" w:space="0" w:color="auto"/>
              <w:bottom w:val="single" w:sz="2" w:space="0" w:color="auto"/>
              <w:right w:val="single" w:sz="2" w:space="0" w:color="auto"/>
            </w:tcBorders>
            <w:shd w:val="clear" w:color="auto" w:fill="auto"/>
            <w:vAlign w:val="center"/>
          </w:tcPr>
          <w:p w14:paraId="4CAFD6BD"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12,732,420.73</w:t>
            </w:r>
          </w:p>
        </w:tc>
        <w:tc>
          <w:tcPr>
            <w:tcW w:w="861" w:type="dxa"/>
            <w:tcBorders>
              <w:top w:val="single" w:sz="2" w:space="0" w:color="auto"/>
              <w:left w:val="single" w:sz="2" w:space="0" w:color="auto"/>
              <w:bottom w:val="single" w:sz="2" w:space="0" w:color="auto"/>
              <w:right w:val="single" w:sz="2" w:space="0" w:color="auto"/>
            </w:tcBorders>
            <w:shd w:val="clear" w:color="auto" w:fill="auto"/>
            <w:vAlign w:val="center"/>
          </w:tcPr>
          <w:p w14:paraId="10CDFE49"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22.39%</w:t>
            </w:r>
          </w:p>
        </w:tc>
        <w:tc>
          <w:tcPr>
            <w:tcW w:w="1123" w:type="dxa"/>
            <w:tcBorders>
              <w:top w:val="single" w:sz="2" w:space="0" w:color="auto"/>
              <w:left w:val="single" w:sz="2" w:space="0" w:color="auto"/>
              <w:bottom w:val="single" w:sz="2" w:space="0" w:color="auto"/>
              <w:right w:val="single" w:sz="2" w:space="0" w:color="auto"/>
            </w:tcBorders>
            <w:shd w:val="clear" w:color="auto" w:fill="auto"/>
            <w:vAlign w:val="center"/>
          </w:tcPr>
          <w:p w14:paraId="49A0E008"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44,123,666.76</w:t>
            </w:r>
          </w:p>
        </w:tc>
      </w:tr>
      <w:tr w:rsidR="00280E85" w:rsidRPr="005B5EC1" w14:paraId="1B5C1C74" w14:textId="77777777" w:rsidTr="00280E85">
        <w:trPr>
          <w:trHeight w:val="244"/>
          <w:jc w:val="center"/>
        </w:trPr>
        <w:tc>
          <w:tcPr>
            <w:tcW w:w="978" w:type="dxa"/>
            <w:tcBorders>
              <w:top w:val="single" w:sz="2" w:space="0" w:color="auto"/>
              <w:left w:val="single" w:sz="2" w:space="0" w:color="auto"/>
              <w:bottom w:val="single" w:sz="2" w:space="0" w:color="auto"/>
              <w:right w:val="single" w:sz="2" w:space="0" w:color="auto"/>
            </w:tcBorders>
            <w:shd w:val="clear" w:color="auto" w:fill="auto"/>
            <w:vAlign w:val="center"/>
          </w:tcPr>
          <w:p w14:paraId="379985A2" w14:textId="77777777" w:rsidR="00E32FE0" w:rsidRPr="005B5EC1" w:rsidRDefault="00000000" w:rsidP="00280E85">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161" w:type="dxa"/>
            <w:tcBorders>
              <w:top w:val="single" w:sz="2" w:space="0" w:color="auto"/>
              <w:left w:val="single" w:sz="2" w:space="0" w:color="auto"/>
              <w:bottom w:val="single" w:sz="2" w:space="0" w:color="auto"/>
              <w:right w:val="single" w:sz="2" w:space="0" w:color="auto"/>
            </w:tcBorders>
            <w:shd w:val="clear" w:color="auto" w:fill="auto"/>
            <w:vAlign w:val="center"/>
          </w:tcPr>
          <w:p w14:paraId="17A85A9E"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127,427,411.56</w:t>
            </w:r>
          </w:p>
        </w:tc>
        <w:tc>
          <w:tcPr>
            <w:tcW w:w="801" w:type="dxa"/>
            <w:tcBorders>
              <w:top w:val="single" w:sz="2" w:space="0" w:color="auto"/>
              <w:left w:val="single" w:sz="2" w:space="0" w:color="auto"/>
              <w:bottom w:val="single" w:sz="2" w:space="0" w:color="auto"/>
              <w:right w:val="single" w:sz="2" w:space="0" w:color="auto"/>
            </w:tcBorders>
            <w:shd w:val="clear" w:color="auto" w:fill="auto"/>
            <w:vAlign w:val="center"/>
          </w:tcPr>
          <w:p w14:paraId="30A90CCE"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183" w:type="dxa"/>
            <w:tcBorders>
              <w:top w:val="single" w:sz="2" w:space="0" w:color="auto"/>
              <w:left w:val="single" w:sz="2" w:space="0" w:color="auto"/>
              <w:bottom w:val="single" w:sz="2" w:space="0" w:color="auto"/>
              <w:right w:val="single" w:sz="2" w:space="0" w:color="auto"/>
            </w:tcBorders>
            <w:shd w:val="clear" w:color="auto" w:fill="auto"/>
            <w:vAlign w:val="center"/>
          </w:tcPr>
          <w:p w14:paraId="605D1785"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30,889,321.34</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E5C3D9A"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24.24%</w:t>
            </w:r>
          </w:p>
        </w:tc>
        <w:tc>
          <w:tcPr>
            <w:tcW w:w="1052" w:type="dxa"/>
            <w:tcBorders>
              <w:top w:val="single" w:sz="2" w:space="0" w:color="auto"/>
              <w:left w:val="single" w:sz="2" w:space="0" w:color="auto"/>
              <w:bottom w:val="single" w:sz="2" w:space="0" w:color="auto"/>
              <w:right w:val="single" w:sz="2" w:space="0" w:color="auto"/>
            </w:tcBorders>
            <w:shd w:val="clear" w:color="auto" w:fill="auto"/>
            <w:vAlign w:val="center"/>
          </w:tcPr>
          <w:p w14:paraId="63B4398D"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96,538,090.22</w:t>
            </w:r>
          </w:p>
        </w:tc>
        <w:tc>
          <w:tcPr>
            <w:tcW w:w="1216" w:type="dxa"/>
            <w:tcBorders>
              <w:top w:val="single" w:sz="2" w:space="0" w:color="auto"/>
              <w:left w:val="single" w:sz="2" w:space="0" w:color="auto"/>
              <w:bottom w:val="single" w:sz="2" w:space="0" w:color="auto"/>
              <w:right w:val="single" w:sz="2" w:space="0" w:color="auto"/>
            </w:tcBorders>
            <w:shd w:val="clear" w:color="auto" w:fill="auto"/>
            <w:vAlign w:val="center"/>
          </w:tcPr>
          <w:p w14:paraId="1410B2C3"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62,587,163.04</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5FA6A2D4"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099" w:type="dxa"/>
            <w:tcBorders>
              <w:top w:val="single" w:sz="2" w:space="0" w:color="auto"/>
              <w:left w:val="single" w:sz="2" w:space="0" w:color="auto"/>
              <w:bottom w:val="single" w:sz="2" w:space="0" w:color="auto"/>
              <w:right w:val="single" w:sz="2" w:space="0" w:color="auto"/>
            </w:tcBorders>
            <w:shd w:val="clear" w:color="auto" w:fill="auto"/>
            <w:vAlign w:val="center"/>
          </w:tcPr>
          <w:p w14:paraId="16C17D81"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17,758,596.28</w:t>
            </w:r>
          </w:p>
        </w:tc>
        <w:tc>
          <w:tcPr>
            <w:tcW w:w="861" w:type="dxa"/>
            <w:tcBorders>
              <w:top w:val="single" w:sz="2" w:space="0" w:color="auto"/>
              <w:left w:val="single" w:sz="2" w:space="0" w:color="auto"/>
              <w:bottom w:val="single" w:sz="2" w:space="0" w:color="auto"/>
              <w:right w:val="single" w:sz="2" w:space="0" w:color="auto"/>
            </w:tcBorders>
            <w:shd w:val="clear" w:color="auto" w:fill="auto"/>
            <w:vAlign w:val="center"/>
          </w:tcPr>
          <w:p w14:paraId="17F87337"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28.37%</w:t>
            </w:r>
          </w:p>
        </w:tc>
        <w:tc>
          <w:tcPr>
            <w:tcW w:w="1123" w:type="dxa"/>
            <w:tcBorders>
              <w:top w:val="single" w:sz="2" w:space="0" w:color="auto"/>
              <w:left w:val="single" w:sz="2" w:space="0" w:color="auto"/>
              <w:bottom w:val="single" w:sz="2" w:space="0" w:color="auto"/>
              <w:right w:val="single" w:sz="2" w:space="0" w:color="auto"/>
            </w:tcBorders>
            <w:shd w:val="clear" w:color="auto" w:fill="auto"/>
            <w:vAlign w:val="center"/>
          </w:tcPr>
          <w:p w14:paraId="3168C50C" w14:textId="77777777" w:rsidR="00E32FE0" w:rsidRPr="005B5EC1" w:rsidRDefault="00000000" w:rsidP="00280E85">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44,828,566.76</w:t>
            </w:r>
          </w:p>
        </w:tc>
      </w:tr>
    </w:tbl>
    <w:p w14:paraId="594C7913" w14:textId="77777777" w:rsidR="00280E85" w:rsidRPr="005B5EC1" w:rsidRDefault="00280E85">
      <w:pPr>
        <w:spacing w:after="0" w:line="240" w:lineRule="exact"/>
        <w:rPr>
          <w:rFonts w:ascii="Times New Roman" w:eastAsia="宋体" w:hAnsi="Times New Roman" w:cs="Times New Roman"/>
          <w:sz w:val="18"/>
          <w:szCs w:val="18"/>
        </w:rPr>
      </w:pPr>
    </w:p>
    <w:p w14:paraId="37BC3F5F" w14:textId="562EB7C2"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按预期信用损失一般模型计提坏账准备：</w:t>
      </w:r>
    </w:p>
    <w:p w14:paraId="4BD7DFF3"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55CB0DBF" w14:textId="77777777" w:rsidTr="00280E85">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3B74F3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A668D9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B53359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23CE51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252D4C0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r>
      <w:tr w:rsidR="00E32FE0" w:rsidRPr="005B5EC1" w14:paraId="2E378342" w14:textId="77777777" w:rsidTr="00280E85">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9DB4ABA"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CEA27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未来</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E3B10A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AFAF90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930BFB7" w14:textId="77777777" w:rsidR="00E32FE0" w:rsidRPr="005B5EC1" w:rsidRDefault="00E32FE0">
            <w:pPr>
              <w:rPr>
                <w:rFonts w:ascii="Times New Roman" w:hAnsi="Times New Roman" w:cs="Times New Roman"/>
              </w:rPr>
            </w:pPr>
          </w:p>
        </w:tc>
      </w:tr>
      <w:tr w:rsidR="00E32FE0" w:rsidRPr="005B5EC1" w14:paraId="7B41E2C9" w14:textId="77777777" w:rsidTr="00280E85">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2B3422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日余额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1FDE7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12,732,420.73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4B2733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5,026,175.55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FA29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40B297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17,758,596.28</w:t>
            </w:r>
          </w:p>
        </w:tc>
      </w:tr>
      <w:tr w:rsidR="00E32FE0" w:rsidRPr="005B5EC1" w14:paraId="09343090" w14:textId="77777777" w:rsidTr="00280E85">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9A63A3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9136FB2"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9B0F035"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3FBF45A"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3D9E507" w14:textId="77777777" w:rsidR="00E32FE0" w:rsidRPr="005B5EC1" w:rsidRDefault="00E32FE0">
            <w:pPr>
              <w:rPr>
                <w:rFonts w:ascii="Times New Roman" w:hAnsi="Times New Roman" w:cs="Times New Roman"/>
              </w:rPr>
            </w:pPr>
          </w:p>
        </w:tc>
      </w:tr>
      <w:tr w:rsidR="00E32FE0" w:rsidRPr="005B5EC1" w14:paraId="7675679E" w14:textId="77777777" w:rsidTr="00280E85">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237B0E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本期计提</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D8A1D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13,869,854.38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6ABEE8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7,500.00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EACF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7363A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13,877,354.38</w:t>
            </w:r>
          </w:p>
        </w:tc>
      </w:tr>
      <w:tr w:rsidR="00E32FE0" w:rsidRPr="005B5EC1" w14:paraId="43809931" w14:textId="77777777" w:rsidTr="00280E85">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1150CE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本期转回</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F9D31D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C8EE8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746,593.75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18291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9022C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746,593.75</w:t>
            </w:r>
          </w:p>
        </w:tc>
      </w:tr>
      <w:tr w:rsidR="00E32FE0" w:rsidRPr="005B5EC1" w14:paraId="39DD73A4" w14:textId="77777777" w:rsidTr="00280E85">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781C46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其他变动</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858172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-35.57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67C2E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520D6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7DA39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-35.57</w:t>
            </w:r>
          </w:p>
        </w:tc>
      </w:tr>
      <w:tr w:rsidR="00E32FE0" w:rsidRPr="005B5EC1" w14:paraId="253A0DF1" w14:textId="77777777" w:rsidTr="00280E85">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FAA29A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E0BD1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26,602,239.54</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66423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4,287,081.80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ABD7C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253D5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30,889,321.34</w:t>
            </w:r>
          </w:p>
        </w:tc>
      </w:tr>
    </w:tbl>
    <w:p w14:paraId="3F35AF3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各阶段划分依据和坏账准备计提比例</w:t>
      </w:r>
    </w:p>
    <w:p w14:paraId="098EC013" w14:textId="77777777" w:rsidR="00AF139E" w:rsidRPr="005B5EC1" w:rsidRDefault="00000000">
      <w:pPr>
        <w:pStyle w:val="a3"/>
        <w:divId w:val="1609504935"/>
        <w:rPr>
          <w:rFonts w:ascii="Times New Roman" w:hAnsi="Times New Roman" w:cs="Times New Roman"/>
          <w:sz w:val="18"/>
          <w:szCs w:val="18"/>
        </w:rPr>
      </w:pPr>
      <w:r w:rsidRPr="005B5EC1">
        <w:rPr>
          <w:rFonts w:ascii="Times New Roman" w:hAnsi="Times New Roman" w:cs="Times New Roman"/>
          <w:sz w:val="18"/>
          <w:szCs w:val="18"/>
        </w:rPr>
        <w:t>无</w:t>
      </w:r>
    </w:p>
    <w:p w14:paraId="446B412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损失准备本期变动金额重大的账面余额变动情况</w:t>
      </w:r>
    </w:p>
    <w:p w14:paraId="61AECA4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9941670" w14:textId="77777777" w:rsidR="00E32FE0" w:rsidRPr="005B5EC1" w:rsidRDefault="00000000">
      <w:pPr>
        <w:keepNext/>
        <w:keepLines/>
        <w:spacing w:before="300" w:after="300" w:line="280" w:lineRule="exact"/>
        <w:outlineLvl w:val="4"/>
        <w:rPr>
          <w:rFonts w:ascii="Times New Roman" w:eastAsia="宋体" w:hAnsi="Times New Roman" w:cs="Times New Roman"/>
          <w:b/>
          <w:bCs/>
          <w:sz w:val="21"/>
          <w:szCs w:val="21"/>
        </w:rPr>
      </w:pPr>
      <w:bookmarkStart w:id="267" w:name="_Toc989175"/>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本期计提、收回或转回的坏账准备情况</w:t>
      </w:r>
      <w:bookmarkEnd w:id="267"/>
    </w:p>
    <w:p w14:paraId="112D831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本期计提坏账准备情况：</w:t>
      </w:r>
    </w:p>
    <w:p w14:paraId="1A0A7F8B"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72FD68BA" w14:textId="77777777" w:rsidTr="00280E85">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FCBB2D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6498B68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1A00DE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441FFC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1D1D1F1E" w14:textId="77777777" w:rsidTr="00280E85">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EA78AB2" w14:textId="77777777" w:rsidR="00E32FE0" w:rsidRPr="005B5EC1" w:rsidRDefault="00E32FE0">
            <w:pPr>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C80DADA" w14:textId="77777777" w:rsidR="00E32FE0" w:rsidRPr="005B5EC1" w:rsidRDefault="00E32FE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658D7B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57EDA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D44203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94B8F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987E305" w14:textId="77777777" w:rsidR="00E32FE0" w:rsidRPr="005B5EC1" w:rsidRDefault="00E32FE0">
            <w:pPr>
              <w:rPr>
                <w:rFonts w:ascii="Times New Roman" w:hAnsi="Times New Roman" w:cs="Times New Roman"/>
              </w:rPr>
            </w:pPr>
          </w:p>
        </w:tc>
      </w:tr>
      <w:tr w:rsidR="00E32FE0" w:rsidRPr="005B5EC1" w14:paraId="4733A341" w14:textId="77777777" w:rsidTr="00280E8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3F95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其他应收款坏账</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F607D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17,758,596.28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3C2460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13,877,354.38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F04E9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-746,593.75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A85BD6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C123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-35.57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77C50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30,889,321.34</w:t>
            </w:r>
          </w:p>
        </w:tc>
      </w:tr>
      <w:tr w:rsidR="00E32FE0" w:rsidRPr="005B5EC1" w14:paraId="49A8C0ED" w14:textId="77777777" w:rsidTr="00280E8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30AE0F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36509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17,758,596.28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63874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13,877,354.38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EEB45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-746,593.75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E7538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F7CD44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-35.57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2E8D7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30,889,321.34</w:t>
            </w:r>
          </w:p>
        </w:tc>
      </w:tr>
    </w:tbl>
    <w:p w14:paraId="69FE3370" w14:textId="77777777" w:rsidR="00E32FE0" w:rsidRPr="005B5EC1" w:rsidRDefault="00E32FE0">
      <w:pPr>
        <w:rPr>
          <w:rFonts w:ascii="Times New Roman" w:hAnsi="Times New Roman" w:cs="Times New Roman"/>
        </w:rPr>
      </w:pPr>
    </w:p>
    <w:p w14:paraId="58084CB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其中本期坏账准备转回或收回金额重要的：</w:t>
      </w:r>
    </w:p>
    <w:p w14:paraId="5174F4EE"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48B3B85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E53B7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单位名称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27C28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收回或转回金额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F5EEE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转回原因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7EA610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收回方式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5988F0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确定原坏账准备计提比例的依据及其合理性</w:t>
            </w:r>
          </w:p>
        </w:tc>
      </w:tr>
    </w:tbl>
    <w:p w14:paraId="31B3AF4F" w14:textId="77777777" w:rsidR="00AF139E" w:rsidRPr="005B5EC1" w:rsidRDefault="00000000">
      <w:pPr>
        <w:pStyle w:val="a3"/>
        <w:divId w:val="230501239"/>
        <w:rPr>
          <w:rFonts w:ascii="Times New Roman" w:hAnsi="Times New Roman" w:cs="Times New Roman"/>
          <w:sz w:val="18"/>
          <w:szCs w:val="18"/>
        </w:rPr>
      </w:pPr>
      <w:r w:rsidRPr="005B5EC1">
        <w:rPr>
          <w:rFonts w:ascii="Times New Roman" w:hAnsi="Times New Roman" w:cs="Times New Roman"/>
          <w:sz w:val="18"/>
          <w:szCs w:val="18"/>
        </w:rPr>
        <w:t>无</w:t>
      </w:r>
    </w:p>
    <w:p w14:paraId="55592B09" w14:textId="77777777" w:rsidR="00E32FE0" w:rsidRPr="005B5EC1" w:rsidRDefault="00000000">
      <w:pPr>
        <w:keepNext/>
        <w:keepLines/>
        <w:spacing w:before="300" w:after="300" w:line="280" w:lineRule="exact"/>
        <w:outlineLvl w:val="4"/>
        <w:rPr>
          <w:rFonts w:ascii="Times New Roman" w:eastAsia="宋体" w:hAnsi="Times New Roman" w:cs="Times New Roman"/>
          <w:b/>
          <w:bCs/>
          <w:sz w:val="21"/>
          <w:szCs w:val="21"/>
        </w:rPr>
      </w:pPr>
      <w:bookmarkStart w:id="268" w:name="_Toc989176"/>
      <w:r w:rsidRPr="005B5EC1">
        <w:rPr>
          <w:rFonts w:ascii="Times New Roman" w:eastAsia="宋体" w:hAnsi="Times New Roman" w:cs="Times New Roman"/>
          <w:b/>
          <w:bCs/>
          <w:sz w:val="21"/>
          <w:szCs w:val="21"/>
        </w:rPr>
        <w:lastRenderedPageBreak/>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本期实际核销的其他应收款情况</w:t>
      </w:r>
      <w:bookmarkEnd w:id="268"/>
    </w:p>
    <w:p w14:paraId="0943A9F6" w14:textId="77777777" w:rsidR="00AF139E" w:rsidRPr="005B5EC1" w:rsidRDefault="00000000">
      <w:pPr>
        <w:pStyle w:val="a3"/>
        <w:divId w:val="1388265193"/>
        <w:rPr>
          <w:rFonts w:ascii="Times New Roman" w:hAnsi="Times New Roman" w:cs="Times New Roman"/>
          <w:sz w:val="18"/>
          <w:szCs w:val="18"/>
        </w:rPr>
      </w:pPr>
      <w:r w:rsidRPr="005B5EC1">
        <w:rPr>
          <w:rFonts w:ascii="Times New Roman" w:hAnsi="Times New Roman" w:cs="Times New Roman"/>
          <w:sz w:val="18"/>
          <w:szCs w:val="18"/>
        </w:rPr>
        <w:t>无</w:t>
      </w:r>
    </w:p>
    <w:p w14:paraId="03DC0907" w14:textId="77777777" w:rsidR="00E32FE0" w:rsidRPr="005B5EC1" w:rsidRDefault="00000000">
      <w:pPr>
        <w:keepNext/>
        <w:keepLines/>
        <w:spacing w:before="300" w:after="300" w:line="280" w:lineRule="exact"/>
        <w:outlineLvl w:val="4"/>
        <w:rPr>
          <w:rFonts w:ascii="Times New Roman" w:eastAsia="宋体" w:hAnsi="Times New Roman" w:cs="Times New Roman"/>
          <w:b/>
          <w:bCs/>
          <w:sz w:val="21"/>
          <w:szCs w:val="21"/>
        </w:rPr>
      </w:pPr>
      <w:bookmarkStart w:id="269" w:name="_Toc989177"/>
      <w:r w:rsidRPr="005B5EC1">
        <w:rPr>
          <w:rFonts w:ascii="Times New Roman" w:eastAsia="宋体" w:hAnsi="Times New Roman" w:cs="Times New Roman"/>
          <w:b/>
          <w:bCs/>
          <w:sz w:val="21"/>
          <w:szCs w:val="21"/>
        </w:rPr>
        <w:t>6</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按欠款方归集的期末余额前五名的其他应收款情况</w:t>
      </w:r>
      <w:bookmarkEnd w:id="269"/>
    </w:p>
    <w:p w14:paraId="2B53100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6FCC6D82"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C9AEF7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EE1FCB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EA94A8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F9C160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205B1E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F85EC7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坏账准备期末余额</w:t>
            </w:r>
          </w:p>
        </w:tc>
      </w:tr>
      <w:tr w:rsidR="00E32FE0" w:rsidRPr="005B5EC1" w14:paraId="1CB19FCF"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09218DA"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A</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FD02A27"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应收股权款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FEDF4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64,200,000.00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6CAE17E"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03981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50.38%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933A0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791,760.24</w:t>
            </w:r>
          </w:p>
        </w:tc>
      </w:tr>
      <w:tr w:rsidR="00E32FE0" w:rsidRPr="005B5EC1" w14:paraId="58504D3A"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54C7767"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B</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18D94E4"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利息补贴</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F95CC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16,637,583.78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0E3F26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7-9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年</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3D7ED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DD17A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3,828,296.39</w:t>
            </w:r>
          </w:p>
        </w:tc>
      </w:tr>
      <w:tr w:rsidR="00E32FE0" w:rsidRPr="005B5EC1" w14:paraId="49D86684"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BAF8530"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C</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795311E"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保证金</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18A2B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14,000,000.00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CC52A99"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年</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3000C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10.99%</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E380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11,175,562.64</w:t>
            </w:r>
          </w:p>
        </w:tc>
      </w:tr>
      <w:tr w:rsidR="00E32FE0" w:rsidRPr="005B5EC1" w14:paraId="51FF687A"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DE1B26B"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D</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6866BE5"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保证金</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DE5EC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5,500,000.00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8AC39A9"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年</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22CF2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159ED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4,390,399.61</w:t>
            </w:r>
          </w:p>
        </w:tc>
      </w:tr>
      <w:tr w:rsidR="00E32FE0" w:rsidRPr="005B5EC1" w14:paraId="13892657"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E57E25E"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E</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C940605"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融资租赁保证金</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5B7A7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19F4151" w14:textId="77777777" w:rsidR="00E32FE0" w:rsidRPr="005B5EC1" w:rsidRDefault="00000000" w:rsidP="0018567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年</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5997A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C08AA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1,145,684.81</w:t>
            </w:r>
          </w:p>
        </w:tc>
      </w:tr>
      <w:tr w:rsidR="00E32FE0" w:rsidRPr="005B5EC1" w14:paraId="0726EA0E" w14:textId="77777777" w:rsidTr="00280E8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F908983" w14:textId="77777777" w:rsidR="00E32FE0" w:rsidRPr="005B5EC1" w:rsidRDefault="00000000" w:rsidP="00185672">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6F81904" w14:textId="77777777" w:rsidR="00E32FE0" w:rsidRPr="005B5EC1" w:rsidRDefault="00E32FE0" w:rsidP="00185672">
            <w:pPr>
              <w:jc w:val="cente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6E491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105,337,583.78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9B4C6C0"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739A3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82.67%</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932A6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21,331,703.69</w:t>
            </w:r>
          </w:p>
        </w:tc>
      </w:tr>
    </w:tbl>
    <w:p w14:paraId="7AEDE1BD" w14:textId="77777777" w:rsidR="00E32FE0" w:rsidRPr="005B5EC1" w:rsidRDefault="00000000">
      <w:pPr>
        <w:keepNext/>
        <w:keepLines/>
        <w:spacing w:before="300" w:after="300" w:line="280" w:lineRule="exact"/>
        <w:outlineLvl w:val="4"/>
        <w:rPr>
          <w:rFonts w:ascii="Times New Roman" w:eastAsia="宋体" w:hAnsi="Times New Roman" w:cs="Times New Roman"/>
          <w:b/>
          <w:bCs/>
          <w:sz w:val="21"/>
          <w:szCs w:val="21"/>
        </w:rPr>
      </w:pPr>
      <w:bookmarkStart w:id="270" w:name="_Toc989178"/>
      <w:r w:rsidRPr="005B5EC1">
        <w:rPr>
          <w:rFonts w:ascii="Times New Roman" w:eastAsia="宋体" w:hAnsi="Times New Roman" w:cs="Times New Roman"/>
          <w:b/>
          <w:bCs/>
          <w:sz w:val="21"/>
          <w:szCs w:val="21"/>
        </w:rPr>
        <w:t>7</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因资金集中管理而列报于其他应收款</w:t>
      </w:r>
      <w:bookmarkEnd w:id="270"/>
    </w:p>
    <w:p w14:paraId="5338B810" w14:textId="77777777" w:rsidR="00AF139E" w:rsidRPr="005B5EC1" w:rsidRDefault="00000000">
      <w:pPr>
        <w:pStyle w:val="a3"/>
        <w:divId w:val="459541486"/>
        <w:rPr>
          <w:rFonts w:ascii="Times New Roman" w:hAnsi="Times New Roman" w:cs="Times New Roman"/>
          <w:sz w:val="18"/>
          <w:szCs w:val="18"/>
        </w:rPr>
      </w:pPr>
      <w:r w:rsidRPr="005B5EC1">
        <w:rPr>
          <w:rFonts w:ascii="Times New Roman" w:hAnsi="Times New Roman" w:cs="Times New Roman"/>
          <w:sz w:val="18"/>
          <w:szCs w:val="18"/>
        </w:rPr>
        <w:t>无</w:t>
      </w:r>
    </w:p>
    <w:p w14:paraId="41FA1481" w14:textId="77777777" w:rsidR="00E32FE0" w:rsidRPr="005B5EC1" w:rsidRDefault="00000000">
      <w:pPr>
        <w:pStyle w:val="3"/>
        <w:spacing w:line="280" w:lineRule="exact"/>
        <w:jc w:val="left"/>
        <w:rPr>
          <w:rFonts w:ascii="Times New Roman" w:hAnsi="Times New Roman" w:cs="Times New Roman"/>
          <w:b/>
          <w:bCs/>
        </w:rPr>
      </w:pPr>
      <w:bookmarkStart w:id="271" w:name="_Toc989179"/>
      <w:r w:rsidRPr="005B5EC1">
        <w:rPr>
          <w:rFonts w:ascii="Times New Roman" w:hAnsi="Times New Roman" w:cs="Times New Roman"/>
          <w:b/>
          <w:bCs/>
        </w:rPr>
        <w:t>9</w:t>
      </w:r>
      <w:r w:rsidRPr="005B5EC1">
        <w:rPr>
          <w:rFonts w:ascii="Times New Roman" w:hAnsi="Times New Roman" w:cs="Times New Roman"/>
          <w:b/>
          <w:bCs/>
        </w:rPr>
        <w:t>、预付款项</w:t>
      </w:r>
      <w:bookmarkEnd w:id="271"/>
    </w:p>
    <w:p w14:paraId="31F178C6"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72" w:name="_Toc989180"/>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预付款项按账龄列示</w:t>
      </w:r>
      <w:bookmarkEnd w:id="272"/>
    </w:p>
    <w:p w14:paraId="17B30A97"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7CD28110" w14:textId="77777777" w:rsidTr="00185672">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AAA01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702798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4FD848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74400CAC" w14:textId="77777777" w:rsidTr="00185672">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2AE4856"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319D91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1AA3CF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AF2BCD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D43FCA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r>
      <w:tr w:rsidR="00E32FE0" w:rsidRPr="005B5EC1" w14:paraId="6FC8F2A1" w14:textId="77777777" w:rsidTr="0018567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8330E4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年以内</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9B8AED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26,459,488.53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D1916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86.19%</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6879B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79,192,903.35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B6FEC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97.29%</w:t>
            </w:r>
          </w:p>
        </w:tc>
      </w:tr>
      <w:tr w:rsidR="00E32FE0" w:rsidRPr="005B5EC1" w14:paraId="64205DCA" w14:textId="77777777" w:rsidTr="0018567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B10EE3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年</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38FAB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2,388,880.19</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9A750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2BF15E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908,070.62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7B7E0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w:t>
            </w:r>
          </w:p>
        </w:tc>
      </w:tr>
      <w:tr w:rsidR="00E32FE0" w:rsidRPr="005B5EC1" w14:paraId="621552A7" w14:textId="77777777" w:rsidTr="0018567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8BB02B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96536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557,831.07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AEC63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9C234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1,294,504.82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A64A4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1.59%</w:t>
            </w:r>
          </w:p>
        </w:tc>
      </w:tr>
      <w:tr w:rsidR="00E32FE0" w:rsidRPr="005B5EC1" w14:paraId="4B3C00E7" w14:textId="77777777" w:rsidTr="0018567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710BC7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年以上</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81BEFD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1,291,951.18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2CDAC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76750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193B96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1CBC01A" w14:textId="77777777" w:rsidTr="00185672">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7FB742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4A425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30,698,150.97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839F372"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23D18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81,395,478.79</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CE7C05E" w14:textId="77777777" w:rsidR="00E32FE0" w:rsidRPr="005B5EC1" w:rsidRDefault="00E32FE0">
            <w:pPr>
              <w:rPr>
                <w:rFonts w:ascii="Times New Roman" w:hAnsi="Times New Roman" w:cs="Times New Roman"/>
              </w:rPr>
            </w:pPr>
          </w:p>
        </w:tc>
      </w:tr>
    </w:tbl>
    <w:p w14:paraId="509552E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账龄超过</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年且金额重要的预付款项未及时结算原因的说明：</w:t>
      </w:r>
    </w:p>
    <w:p w14:paraId="0B9B31C1" w14:textId="77777777" w:rsidR="00AF139E" w:rsidRPr="005B5EC1" w:rsidRDefault="00000000">
      <w:pPr>
        <w:pStyle w:val="a3"/>
        <w:divId w:val="1027413574"/>
        <w:rPr>
          <w:rFonts w:ascii="Times New Roman" w:hAnsi="Times New Roman" w:cs="Times New Roman"/>
          <w:sz w:val="18"/>
          <w:szCs w:val="18"/>
        </w:rPr>
      </w:pPr>
      <w:r w:rsidRPr="005B5EC1">
        <w:rPr>
          <w:rFonts w:ascii="Times New Roman" w:hAnsi="Times New Roman" w:cs="Times New Roman"/>
          <w:sz w:val="18"/>
          <w:szCs w:val="18"/>
        </w:rPr>
        <w:t>无</w:t>
      </w:r>
    </w:p>
    <w:p w14:paraId="5BD082E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73" w:name="_Toc98918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按预付对象归集的期末余额前五名的预付款情况</w:t>
      </w:r>
      <w:bookmarkEnd w:id="273"/>
    </w:p>
    <w:p w14:paraId="693B47FC" w14:textId="77777777" w:rsidR="00AF139E" w:rsidRPr="005B5EC1" w:rsidRDefault="00000000" w:rsidP="00446468">
      <w:pPr>
        <w:pStyle w:val="a3"/>
        <w:spacing w:before="0" w:beforeAutospacing="0" w:after="0" w:afterAutospacing="0" w:line="276" w:lineRule="auto"/>
        <w:ind w:firstLineChars="200" w:firstLine="360"/>
        <w:textAlignment w:val="baseline"/>
        <w:divId w:val="1621912220"/>
        <w:rPr>
          <w:rFonts w:ascii="Times New Roman" w:hAnsi="Times New Roman" w:cs="Times New Roman"/>
          <w:color w:val="000000"/>
          <w:sz w:val="21"/>
          <w:szCs w:val="21"/>
        </w:rPr>
      </w:pPr>
      <w:r w:rsidRPr="005B5EC1">
        <w:rPr>
          <w:rFonts w:ascii="Times New Roman" w:hAnsi="Times New Roman" w:cs="Times New Roman"/>
          <w:color w:val="000000"/>
          <w:sz w:val="18"/>
          <w:szCs w:val="18"/>
        </w:rPr>
        <w:t>本集团按预付对象归集的年末余额前五名预付账款汇总金额为</w:t>
      </w:r>
      <w:r w:rsidRPr="005B5EC1">
        <w:rPr>
          <w:rFonts w:ascii="Times New Roman" w:hAnsi="Times New Roman" w:cs="Times New Roman"/>
          <w:color w:val="000000"/>
          <w:sz w:val="18"/>
          <w:szCs w:val="18"/>
        </w:rPr>
        <w:t>8,700,240.31</w:t>
      </w:r>
      <w:r w:rsidRPr="005B5EC1">
        <w:rPr>
          <w:rFonts w:ascii="Times New Roman" w:hAnsi="Times New Roman" w:cs="Times New Roman"/>
          <w:color w:val="000000"/>
          <w:spacing w:val="-1"/>
          <w:sz w:val="18"/>
          <w:szCs w:val="18"/>
        </w:rPr>
        <w:t>元，占预付账款年末余额合计数的比例为</w:t>
      </w:r>
      <w:r w:rsidRPr="005B5EC1">
        <w:rPr>
          <w:rFonts w:ascii="Times New Roman" w:hAnsi="Times New Roman" w:cs="Times New Roman"/>
          <w:color w:val="000000"/>
          <w:spacing w:val="-1"/>
          <w:sz w:val="18"/>
          <w:szCs w:val="18"/>
        </w:rPr>
        <w:t>28.33%</w:t>
      </w:r>
      <w:r w:rsidRPr="005B5EC1">
        <w:rPr>
          <w:rFonts w:ascii="Times New Roman" w:hAnsi="Times New Roman" w:cs="Times New Roman"/>
          <w:color w:val="000000"/>
          <w:spacing w:val="-1"/>
          <w:sz w:val="18"/>
          <w:szCs w:val="18"/>
        </w:rPr>
        <w:t>。</w:t>
      </w:r>
    </w:p>
    <w:p w14:paraId="22458DDA" w14:textId="77777777" w:rsidR="00E32FE0" w:rsidRPr="005B5EC1" w:rsidRDefault="00000000" w:rsidP="00185672">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615FAEF9" w14:textId="77777777" w:rsidR="00AF139E" w:rsidRPr="005B5EC1" w:rsidRDefault="00000000" w:rsidP="00185672">
      <w:pPr>
        <w:pStyle w:val="a3"/>
        <w:spacing w:before="0" w:beforeAutospacing="0" w:after="0" w:afterAutospacing="0" w:line="276" w:lineRule="auto"/>
        <w:divId w:val="167332283"/>
        <w:rPr>
          <w:rFonts w:ascii="Times New Roman" w:hAnsi="Times New Roman" w:cs="Times New Roman"/>
          <w:sz w:val="18"/>
          <w:szCs w:val="18"/>
        </w:rPr>
      </w:pPr>
      <w:r w:rsidRPr="005B5EC1">
        <w:rPr>
          <w:rFonts w:ascii="Times New Roman" w:hAnsi="Times New Roman" w:cs="Times New Roman"/>
          <w:sz w:val="18"/>
          <w:szCs w:val="18"/>
        </w:rPr>
        <w:t>无</w:t>
      </w:r>
    </w:p>
    <w:p w14:paraId="2EC86AF0" w14:textId="77777777" w:rsidR="00E32FE0" w:rsidRPr="005B5EC1" w:rsidRDefault="00000000">
      <w:pPr>
        <w:pStyle w:val="3"/>
        <w:spacing w:line="280" w:lineRule="exact"/>
        <w:jc w:val="left"/>
        <w:rPr>
          <w:rFonts w:ascii="Times New Roman" w:hAnsi="Times New Roman" w:cs="Times New Roman"/>
          <w:b/>
          <w:bCs/>
        </w:rPr>
      </w:pPr>
      <w:bookmarkStart w:id="274" w:name="_Toc989182"/>
      <w:r w:rsidRPr="005B5EC1">
        <w:rPr>
          <w:rFonts w:ascii="Times New Roman" w:hAnsi="Times New Roman" w:cs="Times New Roman"/>
          <w:b/>
          <w:bCs/>
        </w:rPr>
        <w:lastRenderedPageBreak/>
        <w:t>10</w:t>
      </w:r>
      <w:r w:rsidRPr="005B5EC1">
        <w:rPr>
          <w:rFonts w:ascii="Times New Roman" w:hAnsi="Times New Roman" w:cs="Times New Roman"/>
          <w:b/>
          <w:bCs/>
        </w:rPr>
        <w:t>、存货</w:t>
      </w:r>
      <w:bookmarkEnd w:id="274"/>
    </w:p>
    <w:p w14:paraId="59BB42E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公司是否需要遵守房地产行业的披露要求</w:t>
      </w:r>
    </w:p>
    <w:p w14:paraId="0003010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p w14:paraId="0E4AF9E1"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75" w:name="_Toc989183"/>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存货分类</w:t>
      </w:r>
      <w:bookmarkEnd w:id="275"/>
    </w:p>
    <w:p w14:paraId="6D60F724"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07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38"/>
        <w:gridCol w:w="1593"/>
        <w:gridCol w:w="1418"/>
        <w:gridCol w:w="1417"/>
        <w:gridCol w:w="1732"/>
        <w:gridCol w:w="1439"/>
        <w:gridCol w:w="1441"/>
      </w:tblGrid>
      <w:tr w:rsidR="00E32FE0" w:rsidRPr="005B5EC1" w14:paraId="632C57C2" w14:textId="77777777" w:rsidTr="00185672">
        <w:trPr>
          <w:trHeight w:val="244"/>
          <w:jc w:val="center"/>
        </w:trPr>
        <w:tc>
          <w:tcPr>
            <w:tcW w:w="103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BF615E7" w14:textId="77777777" w:rsidR="00E32FE0" w:rsidRPr="005B5EC1" w:rsidRDefault="00000000" w:rsidP="00185672">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42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AB31DDA" w14:textId="77777777" w:rsidR="00E32FE0" w:rsidRPr="005B5EC1" w:rsidRDefault="00000000" w:rsidP="00185672">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461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748D135A" w14:textId="77777777" w:rsidR="00E32FE0" w:rsidRPr="005B5EC1" w:rsidRDefault="00000000" w:rsidP="00185672">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5B5EC1" w:rsidRPr="005B5EC1" w14:paraId="367BE9C0" w14:textId="77777777" w:rsidTr="00185672">
        <w:trPr>
          <w:trHeight w:val="244"/>
          <w:jc w:val="center"/>
        </w:trPr>
        <w:tc>
          <w:tcPr>
            <w:tcW w:w="103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72F9541" w14:textId="77777777" w:rsidR="00E32FE0" w:rsidRPr="005B5EC1" w:rsidRDefault="00E32FE0" w:rsidP="00185672">
            <w:pPr>
              <w:spacing w:after="0" w:line="276" w:lineRule="auto"/>
              <w:rPr>
                <w:rFonts w:ascii="Times New Roman" w:hAnsi="Times New Roman" w:cs="Times New Roman"/>
              </w:rPr>
            </w:pPr>
          </w:p>
        </w:tc>
        <w:tc>
          <w:tcPr>
            <w:tcW w:w="1593" w:type="dxa"/>
            <w:tcBorders>
              <w:top w:val="single" w:sz="2" w:space="0" w:color="auto"/>
              <w:left w:val="single" w:sz="2" w:space="0" w:color="auto"/>
              <w:bottom w:val="single" w:sz="2" w:space="0" w:color="auto"/>
              <w:right w:val="single" w:sz="2" w:space="0" w:color="auto"/>
            </w:tcBorders>
            <w:shd w:val="clear" w:color="auto" w:fill="auto"/>
            <w:vAlign w:val="center"/>
          </w:tcPr>
          <w:p w14:paraId="377DA80B" w14:textId="77777777" w:rsidR="00E32FE0" w:rsidRPr="005B5EC1" w:rsidRDefault="00000000" w:rsidP="00185672">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6AA48822" w14:textId="77777777" w:rsidR="00E32FE0" w:rsidRPr="005B5EC1" w:rsidRDefault="00000000" w:rsidP="00185672">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存货跌价准备或合同履约成本减值准备</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5076DE6" w14:textId="77777777" w:rsidR="00E32FE0" w:rsidRPr="005B5EC1" w:rsidRDefault="00000000" w:rsidP="00185672">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1732" w:type="dxa"/>
            <w:tcBorders>
              <w:top w:val="single" w:sz="2" w:space="0" w:color="auto"/>
              <w:left w:val="single" w:sz="2" w:space="0" w:color="auto"/>
              <w:bottom w:val="single" w:sz="2" w:space="0" w:color="auto"/>
              <w:right w:val="single" w:sz="2" w:space="0" w:color="auto"/>
            </w:tcBorders>
            <w:shd w:val="clear" w:color="auto" w:fill="auto"/>
            <w:vAlign w:val="center"/>
          </w:tcPr>
          <w:p w14:paraId="490FD976" w14:textId="77777777" w:rsidR="00E32FE0" w:rsidRPr="005B5EC1" w:rsidRDefault="00000000" w:rsidP="00185672">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439" w:type="dxa"/>
            <w:tcBorders>
              <w:top w:val="single" w:sz="2" w:space="0" w:color="auto"/>
              <w:left w:val="single" w:sz="2" w:space="0" w:color="auto"/>
              <w:bottom w:val="single" w:sz="2" w:space="0" w:color="auto"/>
              <w:right w:val="single" w:sz="2" w:space="0" w:color="auto"/>
            </w:tcBorders>
            <w:shd w:val="clear" w:color="auto" w:fill="auto"/>
            <w:vAlign w:val="center"/>
          </w:tcPr>
          <w:p w14:paraId="00165398" w14:textId="77777777" w:rsidR="00E32FE0" w:rsidRPr="005B5EC1" w:rsidRDefault="00000000" w:rsidP="00185672">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存货跌价准备或合同履约成本减值准备</w:t>
            </w:r>
          </w:p>
        </w:tc>
        <w:tc>
          <w:tcPr>
            <w:tcW w:w="1441" w:type="dxa"/>
            <w:tcBorders>
              <w:top w:val="single" w:sz="2" w:space="0" w:color="auto"/>
              <w:left w:val="single" w:sz="2" w:space="0" w:color="auto"/>
              <w:bottom w:val="single" w:sz="2" w:space="0" w:color="auto"/>
              <w:right w:val="single" w:sz="2" w:space="0" w:color="auto"/>
            </w:tcBorders>
            <w:shd w:val="clear" w:color="auto" w:fill="auto"/>
            <w:vAlign w:val="center"/>
          </w:tcPr>
          <w:p w14:paraId="7391ABE2" w14:textId="77777777" w:rsidR="00E32FE0" w:rsidRPr="005B5EC1" w:rsidRDefault="00000000" w:rsidP="00185672">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r>
      <w:tr w:rsidR="00E32FE0" w:rsidRPr="005B5EC1" w14:paraId="6E6AE318" w14:textId="77777777" w:rsidTr="00185672">
        <w:trPr>
          <w:trHeight w:val="244"/>
          <w:jc w:val="center"/>
        </w:trPr>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14:paraId="4AC33A8C" w14:textId="77777777" w:rsidR="00E32FE0" w:rsidRPr="005B5EC1" w:rsidRDefault="00000000" w:rsidP="00185672">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原材料</w:t>
            </w:r>
          </w:p>
        </w:tc>
        <w:tc>
          <w:tcPr>
            <w:tcW w:w="1593" w:type="dxa"/>
            <w:tcBorders>
              <w:top w:val="single" w:sz="2" w:space="0" w:color="auto"/>
              <w:left w:val="single" w:sz="2" w:space="0" w:color="auto"/>
              <w:bottom w:val="single" w:sz="2" w:space="0" w:color="auto"/>
              <w:right w:val="single" w:sz="2" w:space="0" w:color="auto"/>
            </w:tcBorders>
            <w:shd w:val="clear" w:color="auto" w:fill="auto"/>
            <w:vAlign w:val="center"/>
          </w:tcPr>
          <w:p w14:paraId="3EA9F7DB"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127,502,328.69</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9967516"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1,952,932.76</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C168F61"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125,549,395.93</w:t>
            </w:r>
          </w:p>
        </w:tc>
        <w:tc>
          <w:tcPr>
            <w:tcW w:w="1732" w:type="dxa"/>
            <w:tcBorders>
              <w:top w:val="single" w:sz="2" w:space="0" w:color="auto"/>
              <w:left w:val="single" w:sz="2" w:space="0" w:color="auto"/>
              <w:bottom w:val="single" w:sz="2" w:space="0" w:color="auto"/>
              <w:right w:val="single" w:sz="2" w:space="0" w:color="auto"/>
            </w:tcBorders>
            <w:shd w:val="clear" w:color="auto" w:fill="auto"/>
            <w:vAlign w:val="center"/>
          </w:tcPr>
          <w:p w14:paraId="48875388"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231,383,304.40</w:t>
            </w:r>
          </w:p>
        </w:tc>
        <w:tc>
          <w:tcPr>
            <w:tcW w:w="1439" w:type="dxa"/>
            <w:tcBorders>
              <w:top w:val="single" w:sz="2" w:space="0" w:color="auto"/>
              <w:left w:val="single" w:sz="2" w:space="0" w:color="auto"/>
              <w:bottom w:val="single" w:sz="2" w:space="0" w:color="auto"/>
              <w:right w:val="single" w:sz="2" w:space="0" w:color="auto"/>
            </w:tcBorders>
            <w:shd w:val="clear" w:color="auto" w:fill="auto"/>
            <w:vAlign w:val="center"/>
          </w:tcPr>
          <w:p w14:paraId="0A9C5357"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23,095,708.90</w:t>
            </w:r>
          </w:p>
        </w:tc>
        <w:tc>
          <w:tcPr>
            <w:tcW w:w="1441" w:type="dxa"/>
            <w:tcBorders>
              <w:top w:val="single" w:sz="2" w:space="0" w:color="auto"/>
              <w:left w:val="single" w:sz="2" w:space="0" w:color="auto"/>
              <w:bottom w:val="single" w:sz="2" w:space="0" w:color="auto"/>
              <w:right w:val="single" w:sz="2" w:space="0" w:color="auto"/>
            </w:tcBorders>
            <w:shd w:val="clear" w:color="auto" w:fill="auto"/>
            <w:vAlign w:val="center"/>
          </w:tcPr>
          <w:p w14:paraId="2A35D64C"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208,287,595.50</w:t>
            </w:r>
          </w:p>
        </w:tc>
      </w:tr>
      <w:tr w:rsidR="00E32FE0" w:rsidRPr="005B5EC1" w14:paraId="089BF39D" w14:textId="77777777" w:rsidTr="00185672">
        <w:trPr>
          <w:trHeight w:val="244"/>
          <w:jc w:val="center"/>
        </w:trPr>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14:paraId="1597067C" w14:textId="77777777" w:rsidR="00E32FE0" w:rsidRPr="005B5EC1" w:rsidRDefault="00000000" w:rsidP="00185672">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在产品</w:t>
            </w:r>
          </w:p>
        </w:tc>
        <w:tc>
          <w:tcPr>
            <w:tcW w:w="1593" w:type="dxa"/>
            <w:tcBorders>
              <w:top w:val="single" w:sz="2" w:space="0" w:color="auto"/>
              <w:left w:val="single" w:sz="2" w:space="0" w:color="auto"/>
              <w:bottom w:val="single" w:sz="2" w:space="0" w:color="auto"/>
              <w:right w:val="single" w:sz="2" w:space="0" w:color="auto"/>
            </w:tcBorders>
            <w:shd w:val="clear" w:color="auto" w:fill="auto"/>
            <w:vAlign w:val="center"/>
          </w:tcPr>
          <w:p w14:paraId="5DE072C6"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72,088,777.90</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06A00AD2" w14:textId="77777777" w:rsidR="00E32FE0" w:rsidRPr="005B5EC1" w:rsidRDefault="00E32FE0" w:rsidP="00185672">
            <w:pPr>
              <w:spacing w:after="0" w:line="276" w:lineRule="auto"/>
              <w:jc w:val="right"/>
              <w:rPr>
                <w:rFonts w:ascii="Times New Roman" w:eastAsia="宋体" w:hAnsi="Times New Roman"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4CBDB8D"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72,088,777.90</w:t>
            </w:r>
          </w:p>
        </w:tc>
        <w:tc>
          <w:tcPr>
            <w:tcW w:w="1732" w:type="dxa"/>
            <w:tcBorders>
              <w:top w:val="single" w:sz="2" w:space="0" w:color="auto"/>
              <w:left w:val="single" w:sz="2" w:space="0" w:color="auto"/>
              <w:bottom w:val="single" w:sz="2" w:space="0" w:color="auto"/>
              <w:right w:val="single" w:sz="2" w:space="0" w:color="auto"/>
            </w:tcBorders>
            <w:shd w:val="clear" w:color="auto" w:fill="auto"/>
            <w:vAlign w:val="center"/>
          </w:tcPr>
          <w:p w14:paraId="5BB29214"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44,160,925.74</w:t>
            </w:r>
          </w:p>
        </w:tc>
        <w:tc>
          <w:tcPr>
            <w:tcW w:w="1439" w:type="dxa"/>
            <w:tcBorders>
              <w:top w:val="single" w:sz="2" w:space="0" w:color="auto"/>
              <w:left w:val="single" w:sz="2" w:space="0" w:color="auto"/>
              <w:bottom w:val="single" w:sz="2" w:space="0" w:color="auto"/>
              <w:right w:val="single" w:sz="2" w:space="0" w:color="auto"/>
            </w:tcBorders>
            <w:shd w:val="clear" w:color="auto" w:fill="auto"/>
            <w:vAlign w:val="center"/>
          </w:tcPr>
          <w:p w14:paraId="6C9AEBA5"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441" w:type="dxa"/>
            <w:tcBorders>
              <w:top w:val="single" w:sz="2" w:space="0" w:color="auto"/>
              <w:left w:val="single" w:sz="2" w:space="0" w:color="auto"/>
              <w:bottom w:val="single" w:sz="2" w:space="0" w:color="auto"/>
              <w:right w:val="single" w:sz="2" w:space="0" w:color="auto"/>
            </w:tcBorders>
            <w:shd w:val="clear" w:color="auto" w:fill="auto"/>
            <w:vAlign w:val="center"/>
          </w:tcPr>
          <w:p w14:paraId="0E4F05BE"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44,160,925.74</w:t>
            </w:r>
          </w:p>
        </w:tc>
      </w:tr>
      <w:tr w:rsidR="00E32FE0" w:rsidRPr="005B5EC1" w14:paraId="642F888A" w14:textId="77777777" w:rsidTr="00185672">
        <w:trPr>
          <w:trHeight w:val="244"/>
          <w:jc w:val="center"/>
        </w:trPr>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14:paraId="61DD7A3E" w14:textId="77777777" w:rsidR="00E32FE0" w:rsidRPr="005B5EC1" w:rsidRDefault="00000000" w:rsidP="00185672">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库存商品</w:t>
            </w:r>
          </w:p>
        </w:tc>
        <w:tc>
          <w:tcPr>
            <w:tcW w:w="1593" w:type="dxa"/>
            <w:tcBorders>
              <w:top w:val="single" w:sz="2" w:space="0" w:color="auto"/>
              <w:left w:val="single" w:sz="2" w:space="0" w:color="auto"/>
              <w:bottom w:val="single" w:sz="2" w:space="0" w:color="auto"/>
              <w:right w:val="single" w:sz="2" w:space="0" w:color="auto"/>
            </w:tcBorders>
            <w:shd w:val="clear" w:color="auto" w:fill="auto"/>
            <w:vAlign w:val="center"/>
          </w:tcPr>
          <w:p w14:paraId="08A77CCF"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691,051,991.27</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C6BD456"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125,924,920.66</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6FBDB77D"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565,127,070.61</w:t>
            </w:r>
          </w:p>
        </w:tc>
        <w:tc>
          <w:tcPr>
            <w:tcW w:w="1732" w:type="dxa"/>
            <w:tcBorders>
              <w:top w:val="single" w:sz="2" w:space="0" w:color="auto"/>
              <w:left w:val="single" w:sz="2" w:space="0" w:color="auto"/>
              <w:bottom w:val="single" w:sz="2" w:space="0" w:color="auto"/>
              <w:right w:val="single" w:sz="2" w:space="0" w:color="auto"/>
            </w:tcBorders>
            <w:shd w:val="clear" w:color="auto" w:fill="auto"/>
            <w:vAlign w:val="center"/>
          </w:tcPr>
          <w:p w14:paraId="5C3524DA"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893,297,556.72</w:t>
            </w:r>
          </w:p>
        </w:tc>
        <w:tc>
          <w:tcPr>
            <w:tcW w:w="1439" w:type="dxa"/>
            <w:tcBorders>
              <w:top w:val="single" w:sz="2" w:space="0" w:color="auto"/>
              <w:left w:val="single" w:sz="2" w:space="0" w:color="auto"/>
              <w:bottom w:val="single" w:sz="2" w:space="0" w:color="auto"/>
              <w:right w:val="single" w:sz="2" w:space="0" w:color="auto"/>
            </w:tcBorders>
            <w:shd w:val="clear" w:color="auto" w:fill="auto"/>
            <w:vAlign w:val="center"/>
          </w:tcPr>
          <w:p w14:paraId="7DD3B581"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224,303,709.10</w:t>
            </w:r>
          </w:p>
        </w:tc>
        <w:tc>
          <w:tcPr>
            <w:tcW w:w="1441" w:type="dxa"/>
            <w:tcBorders>
              <w:top w:val="single" w:sz="2" w:space="0" w:color="auto"/>
              <w:left w:val="single" w:sz="2" w:space="0" w:color="auto"/>
              <w:bottom w:val="single" w:sz="2" w:space="0" w:color="auto"/>
              <w:right w:val="single" w:sz="2" w:space="0" w:color="auto"/>
            </w:tcBorders>
            <w:shd w:val="clear" w:color="auto" w:fill="auto"/>
            <w:vAlign w:val="center"/>
          </w:tcPr>
          <w:p w14:paraId="3DE70ECC"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668,993,847.62</w:t>
            </w:r>
          </w:p>
        </w:tc>
      </w:tr>
      <w:tr w:rsidR="00E32FE0" w:rsidRPr="005B5EC1" w14:paraId="7FFA8474" w14:textId="77777777" w:rsidTr="00185672">
        <w:trPr>
          <w:trHeight w:val="244"/>
          <w:jc w:val="center"/>
        </w:trPr>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14:paraId="0E960D92" w14:textId="77777777" w:rsidR="00E32FE0" w:rsidRPr="005B5EC1" w:rsidRDefault="00000000" w:rsidP="00185672">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消耗性生物资产</w:t>
            </w:r>
          </w:p>
        </w:tc>
        <w:tc>
          <w:tcPr>
            <w:tcW w:w="1593" w:type="dxa"/>
            <w:tcBorders>
              <w:top w:val="single" w:sz="2" w:space="0" w:color="auto"/>
              <w:left w:val="single" w:sz="2" w:space="0" w:color="auto"/>
              <w:bottom w:val="single" w:sz="2" w:space="0" w:color="auto"/>
              <w:right w:val="single" w:sz="2" w:space="0" w:color="auto"/>
            </w:tcBorders>
            <w:shd w:val="clear" w:color="auto" w:fill="auto"/>
            <w:vAlign w:val="center"/>
          </w:tcPr>
          <w:p w14:paraId="2D93620C"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235,667,531.35</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0A252F31"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4,074,767.98</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4F90338E"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231,592,763.37</w:t>
            </w:r>
          </w:p>
        </w:tc>
        <w:tc>
          <w:tcPr>
            <w:tcW w:w="1732" w:type="dxa"/>
            <w:tcBorders>
              <w:top w:val="single" w:sz="2" w:space="0" w:color="auto"/>
              <w:left w:val="single" w:sz="2" w:space="0" w:color="auto"/>
              <w:bottom w:val="single" w:sz="2" w:space="0" w:color="auto"/>
              <w:right w:val="single" w:sz="2" w:space="0" w:color="auto"/>
            </w:tcBorders>
            <w:shd w:val="clear" w:color="auto" w:fill="auto"/>
            <w:vAlign w:val="center"/>
          </w:tcPr>
          <w:p w14:paraId="6A16B6BC"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106,699,072.22</w:t>
            </w:r>
          </w:p>
        </w:tc>
        <w:tc>
          <w:tcPr>
            <w:tcW w:w="1439" w:type="dxa"/>
            <w:tcBorders>
              <w:top w:val="single" w:sz="2" w:space="0" w:color="auto"/>
              <w:left w:val="single" w:sz="2" w:space="0" w:color="auto"/>
              <w:bottom w:val="single" w:sz="2" w:space="0" w:color="auto"/>
              <w:right w:val="single" w:sz="2" w:space="0" w:color="auto"/>
            </w:tcBorders>
            <w:shd w:val="clear" w:color="auto" w:fill="auto"/>
            <w:vAlign w:val="center"/>
          </w:tcPr>
          <w:p w14:paraId="046D3692"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36,305,934.88</w:t>
            </w:r>
          </w:p>
        </w:tc>
        <w:tc>
          <w:tcPr>
            <w:tcW w:w="1441" w:type="dxa"/>
            <w:tcBorders>
              <w:top w:val="single" w:sz="2" w:space="0" w:color="auto"/>
              <w:left w:val="single" w:sz="2" w:space="0" w:color="auto"/>
              <w:bottom w:val="single" w:sz="2" w:space="0" w:color="auto"/>
              <w:right w:val="single" w:sz="2" w:space="0" w:color="auto"/>
            </w:tcBorders>
            <w:shd w:val="clear" w:color="auto" w:fill="auto"/>
            <w:vAlign w:val="center"/>
          </w:tcPr>
          <w:p w14:paraId="6CD34492"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70,393,137.34</w:t>
            </w:r>
          </w:p>
        </w:tc>
      </w:tr>
      <w:tr w:rsidR="00E32FE0" w:rsidRPr="005B5EC1" w14:paraId="31F84AC8" w14:textId="77777777" w:rsidTr="00185672">
        <w:trPr>
          <w:trHeight w:val="244"/>
          <w:jc w:val="center"/>
        </w:trPr>
        <w:tc>
          <w:tcPr>
            <w:tcW w:w="1038" w:type="dxa"/>
            <w:tcBorders>
              <w:top w:val="single" w:sz="2" w:space="0" w:color="auto"/>
              <w:left w:val="single" w:sz="2" w:space="0" w:color="auto"/>
              <w:bottom w:val="single" w:sz="2" w:space="0" w:color="auto"/>
              <w:right w:val="single" w:sz="2" w:space="0" w:color="auto"/>
            </w:tcBorders>
            <w:shd w:val="clear" w:color="auto" w:fill="auto"/>
            <w:vAlign w:val="center"/>
          </w:tcPr>
          <w:p w14:paraId="48B85A3D" w14:textId="77777777" w:rsidR="00E32FE0" w:rsidRPr="005B5EC1" w:rsidRDefault="00000000" w:rsidP="00185672">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593" w:type="dxa"/>
            <w:tcBorders>
              <w:top w:val="single" w:sz="2" w:space="0" w:color="auto"/>
              <w:left w:val="single" w:sz="2" w:space="0" w:color="auto"/>
              <w:bottom w:val="single" w:sz="2" w:space="0" w:color="auto"/>
              <w:right w:val="single" w:sz="2" w:space="0" w:color="auto"/>
            </w:tcBorders>
            <w:shd w:val="clear" w:color="auto" w:fill="auto"/>
            <w:vAlign w:val="center"/>
          </w:tcPr>
          <w:p w14:paraId="636AB8FD"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1,126,310,629.21</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047B228"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131,952,621.40</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98A5FC1"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994,358,007.81</w:t>
            </w:r>
          </w:p>
        </w:tc>
        <w:tc>
          <w:tcPr>
            <w:tcW w:w="1732" w:type="dxa"/>
            <w:tcBorders>
              <w:top w:val="single" w:sz="2" w:space="0" w:color="auto"/>
              <w:left w:val="single" w:sz="2" w:space="0" w:color="auto"/>
              <w:bottom w:val="single" w:sz="2" w:space="0" w:color="auto"/>
              <w:right w:val="single" w:sz="2" w:space="0" w:color="auto"/>
            </w:tcBorders>
            <w:shd w:val="clear" w:color="auto" w:fill="auto"/>
            <w:vAlign w:val="center"/>
          </w:tcPr>
          <w:p w14:paraId="3C8843EF"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1,275,540,859.08</w:t>
            </w:r>
          </w:p>
        </w:tc>
        <w:tc>
          <w:tcPr>
            <w:tcW w:w="1439" w:type="dxa"/>
            <w:tcBorders>
              <w:top w:val="single" w:sz="2" w:space="0" w:color="auto"/>
              <w:left w:val="single" w:sz="2" w:space="0" w:color="auto"/>
              <w:bottom w:val="single" w:sz="2" w:space="0" w:color="auto"/>
              <w:right w:val="single" w:sz="2" w:space="0" w:color="auto"/>
            </w:tcBorders>
            <w:shd w:val="clear" w:color="auto" w:fill="auto"/>
            <w:vAlign w:val="center"/>
          </w:tcPr>
          <w:p w14:paraId="52A2F2FA"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283,705,352.88</w:t>
            </w:r>
          </w:p>
        </w:tc>
        <w:tc>
          <w:tcPr>
            <w:tcW w:w="1441" w:type="dxa"/>
            <w:tcBorders>
              <w:top w:val="single" w:sz="2" w:space="0" w:color="auto"/>
              <w:left w:val="single" w:sz="2" w:space="0" w:color="auto"/>
              <w:bottom w:val="single" w:sz="2" w:space="0" w:color="auto"/>
              <w:right w:val="single" w:sz="2" w:space="0" w:color="auto"/>
            </w:tcBorders>
            <w:shd w:val="clear" w:color="auto" w:fill="auto"/>
            <w:vAlign w:val="center"/>
          </w:tcPr>
          <w:p w14:paraId="505041C7" w14:textId="77777777" w:rsidR="00E32FE0" w:rsidRPr="005B5EC1" w:rsidRDefault="00000000" w:rsidP="00185672">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991,835,506.20</w:t>
            </w:r>
          </w:p>
        </w:tc>
      </w:tr>
    </w:tbl>
    <w:p w14:paraId="1D59AC2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公司需遵守《深圳证券交易所上市公司自律监管指引第</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行业信息披露》中食品及酒制造相关业的披露要求</w:t>
      </w:r>
    </w:p>
    <w:p w14:paraId="142F2C2B" w14:textId="77777777" w:rsidR="00AF139E" w:rsidRPr="005B5EC1" w:rsidRDefault="00000000">
      <w:pPr>
        <w:pStyle w:val="a3"/>
        <w:divId w:val="1912038407"/>
        <w:rPr>
          <w:rFonts w:ascii="Times New Roman" w:hAnsi="Times New Roman" w:cs="Times New Roman"/>
          <w:sz w:val="18"/>
          <w:szCs w:val="18"/>
        </w:rPr>
      </w:pPr>
      <w:r w:rsidRPr="005B5EC1">
        <w:rPr>
          <w:rFonts w:ascii="Times New Roman" w:hAnsi="Times New Roman" w:cs="Times New Roman"/>
          <w:sz w:val="18"/>
          <w:szCs w:val="18"/>
        </w:rPr>
        <w:t>无</w:t>
      </w:r>
    </w:p>
    <w:p w14:paraId="70BE1DB9"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76" w:name="_Toc98918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确认为存货的数据资源</w:t>
      </w:r>
      <w:bookmarkEnd w:id="276"/>
    </w:p>
    <w:p w14:paraId="6E91A25C" w14:textId="77777777" w:rsidR="00AF139E" w:rsidRPr="005B5EC1" w:rsidRDefault="00000000">
      <w:pPr>
        <w:pStyle w:val="a3"/>
        <w:divId w:val="980427080"/>
        <w:rPr>
          <w:rFonts w:ascii="Times New Roman" w:hAnsi="Times New Roman" w:cs="Times New Roman"/>
          <w:sz w:val="18"/>
          <w:szCs w:val="18"/>
        </w:rPr>
      </w:pPr>
      <w:r w:rsidRPr="005B5EC1">
        <w:rPr>
          <w:rFonts w:ascii="Times New Roman" w:hAnsi="Times New Roman" w:cs="Times New Roman"/>
          <w:sz w:val="18"/>
          <w:szCs w:val="18"/>
        </w:rPr>
        <w:t>无</w:t>
      </w:r>
    </w:p>
    <w:p w14:paraId="640EA2D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77" w:name="_Toc98918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存货跌价准备和合同履约成本减值准备</w:t>
      </w:r>
      <w:bookmarkEnd w:id="277"/>
    </w:p>
    <w:p w14:paraId="208B442B"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1019F875" w14:textId="77777777" w:rsidTr="00185672">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9C2E27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6476B59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212AD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8752A6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1E9C43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774F21E4" w14:textId="77777777" w:rsidTr="00185672">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4F5D5EFE" w14:textId="77777777" w:rsidR="00E32FE0" w:rsidRPr="005B5EC1" w:rsidRDefault="00E32FE0">
            <w:pPr>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4C1222D8" w14:textId="77777777" w:rsidR="00E32FE0" w:rsidRPr="005B5EC1" w:rsidRDefault="00E32FE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ECF99D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4F055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B8B86E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C4537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0C3EC5B" w14:textId="77777777" w:rsidR="00E32FE0" w:rsidRPr="005B5EC1" w:rsidRDefault="00E32FE0">
            <w:pPr>
              <w:rPr>
                <w:rFonts w:ascii="Times New Roman" w:hAnsi="Times New Roman" w:cs="Times New Roman"/>
              </w:rPr>
            </w:pPr>
          </w:p>
        </w:tc>
      </w:tr>
      <w:tr w:rsidR="00E32FE0" w:rsidRPr="005B5EC1" w14:paraId="3EFE6115" w14:textId="77777777" w:rsidTr="0018567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1D428E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原材料</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33316A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23,095,708.90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F865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96623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E62DD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21,142,776.14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C86D7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11CF5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1,952,932.76</w:t>
            </w:r>
          </w:p>
        </w:tc>
      </w:tr>
      <w:tr w:rsidR="00E32FE0" w:rsidRPr="005B5EC1" w14:paraId="18E8AD18" w14:textId="77777777" w:rsidTr="0018567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FDF2A1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在产品</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5F58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E447E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BA668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FAD7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2108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93D8A2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25FA56E" w14:textId="77777777" w:rsidTr="0018567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1451F6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库存商品</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D36A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224,303,709.10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0B4D1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23,547,243.23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3D7E5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C9E031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121,926,031.67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4E9FC7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F887E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125,924,920.66</w:t>
            </w:r>
          </w:p>
        </w:tc>
      </w:tr>
      <w:tr w:rsidR="00E32FE0" w:rsidRPr="005B5EC1" w14:paraId="4999AAC8" w14:textId="77777777" w:rsidTr="0018567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5A3A6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消耗性生物资产</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280AD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36,305,934.88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D8C3CD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3,865,476.24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0814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8F9C7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36,096,643.14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15AED3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84BA8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4,074,767.98</w:t>
            </w:r>
          </w:p>
        </w:tc>
      </w:tr>
      <w:tr w:rsidR="00E32FE0" w:rsidRPr="005B5EC1" w14:paraId="2DCD6CE6" w14:textId="77777777" w:rsidTr="0018567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739909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66D24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283,705,352.88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41F654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27,412,719.47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7D0F8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FC9E4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179,165,450.95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441B7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2DDB0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131,952,621.40</w:t>
            </w:r>
          </w:p>
        </w:tc>
      </w:tr>
    </w:tbl>
    <w:p w14:paraId="3CD782AE" w14:textId="77777777" w:rsidR="00AF139E" w:rsidRPr="005B5EC1" w:rsidRDefault="00000000">
      <w:pPr>
        <w:pStyle w:val="a3"/>
        <w:divId w:val="488636714"/>
        <w:rPr>
          <w:rFonts w:ascii="Times New Roman" w:hAnsi="Times New Roman" w:cs="Times New Roman"/>
          <w:sz w:val="18"/>
          <w:szCs w:val="18"/>
        </w:rPr>
      </w:pPr>
      <w:r w:rsidRPr="005B5EC1">
        <w:rPr>
          <w:rFonts w:ascii="Times New Roman" w:hAnsi="Times New Roman" w:cs="Times New Roman"/>
          <w:sz w:val="18"/>
          <w:szCs w:val="18"/>
        </w:rPr>
        <w:t>无</w:t>
      </w:r>
    </w:p>
    <w:p w14:paraId="2E8FC82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78" w:name="_Toc98918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存货期末余额含有借款费用资本化金额的说明</w:t>
      </w:r>
      <w:bookmarkEnd w:id="278"/>
    </w:p>
    <w:p w14:paraId="5CFF7C6D" w14:textId="77777777" w:rsidR="00AF139E" w:rsidRPr="005B5EC1" w:rsidRDefault="00000000">
      <w:pPr>
        <w:pStyle w:val="a3"/>
        <w:divId w:val="2123187206"/>
        <w:rPr>
          <w:rFonts w:ascii="Times New Roman" w:hAnsi="Times New Roman" w:cs="Times New Roman"/>
          <w:sz w:val="18"/>
          <w:szCs w:val="18"/>
        </w:rPr>
      </w:pPr>
      <w:r w:rsidRPr="005B5EC1">
        <w:rPr>
          <w:rFonts w:ascii="Times New Roman" w:hAnsi="Times New Roman" w:cs="Times New Roman"/>
          <w:sz w:val="18"/>
          <w:szCs w:val="18"/>
        </w:rPr>
        <w:t>无</w:t>
      </w:r>
    </w:p>
    <w:p w14:paraId="50555B21"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79" w:name="_Toc989187"/>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合同履约成本本期摊销金额的说明</w:t>
      </w:r>
      <w:bookmarkEnd w:id="279"/>
    </w:p>
    <w:p w14:paraId="7595F2A7" w14:textId="77777777" w:rsidR="00AF139E" w:rsidRPr="005B5EC1" w:rsidRDefault="00000000">
      <w:pPr>
        <w:pStyle w:val="a3"/>
        <w:divId w:val="1256011063"/>
        <w:rPr>
          <w:rFonts w:ascii="Times New Roman" w:hAnsi="Times New Roman" w:cs="Times New Roman"/>
          <w:sz w:val="18"/>
          <w:szCs w:val="18"/>
        </w:rPr>
      </w:pPr>
      <w:r w:rsidRPr="005B5EC1">
        <w:rPr>
          <w:rFonts w:ascii="Times New Roman" w:hAnsi="Times New Roman" w:cs="Times New Roman"/>
          <w:sz w:val="18"/>
          <w:szCs w:val="18"/>
        </w:rPr>
        <w:t>无</w:t>
      </w:r>
    </w:p>
    <w:p w14:paraId="148ADF91" w14:textId="77777777" w:rsidR="00E32FE0" w:rsidRPr="005B5EC1" w:rsidRDefault="00000000">
      <w:pPr>
        <w:pStyle w:val="3"/>
        <w:spacing w:line="280" w:lineRule="exact"/>
        <w:jc w:val="left"/>
        <w:rPr>
          <w:rFonts w:ascii="Times New Roman" w:hAnsi="Times New Roman" w:cs="Times New Roman"/>
          <w:b/>
          <w:bCs/>
        </w:rPr>
      </w:pPr>
      <w:bookmarkStart w:id="280" w:name="_Toc989188"/>
      <w:r w:rsidRPr="005B5EC1">
        <w:rPr>
          <w:rFonts w:ascii="Times New Roman" w:hAnsi="Times New Roman" w:cs="Times New Roman"/>
          <w:b/>
          <w:bCs/>
        </w:rPr>
        <w:lastRenderedPageBreak/>
        <w:t>11</w:t>
      </w:r>
      <w:r w:rsidRPr="005B5EC1">
        <w:rPr>
          <w:rFonts w:ascii="Times New Roman" w:hAnsi="Times New Roman" w:cs="Times New Roman"/>
          <w:b/>
          <w:bCs/>
        </w:rPr>
        <w:t>、持有待售资产</w:t>
      </w:r>
      <w:bookmarkEnd w:id="280"/>
    </w:p>
    <w:p w14:paraId="2EC3CF08" w14:textId="77777777" w:rsidR="00AF139E" w:rsidRPr="005B5EC1" w:rsidRDefault="00000000">
      <w:pPr>
        <w:pStyle w:val="a3"/>
        <w:divId w:val="882248275"/>
        <w:rPr>
          <w:rFonts w:ascii="Times New Roman" w:hAnsi="Times New Roman" w:cs="Times New Roman"/>
          <w:sz w:val="18"/>
          <w:szCs w:val="18"/>
        </w:rPr>
      </w:pPr>
      <w:r w:rsidRPr="005B5EC1">
        <w:rPr>
          <w:rFonts w:ascii="Times New Roman" w:hAnsi="Times New Roman" w:cs="Times New Roman"/>
          <w:sz w:val="18"/>
          <w:szCs w:val="18"/>
        </w:rPr>
        <w:t>无</w:t>
      </w:r>
    </w:p>
    <w:p w14:paraId="28EA34E2" w14:textId="77777777" w:rsidR="00E32FE0" w:rsidRPr="005B5EC1" w:rsidRDefault="00000000">
      <w:pPr>
        <w:pStyle w:val="3"/>
        <w:spacing w:line="280" w:lineRule="exact"/>
        <w:jc w:val="left"/>
        <w:rPr>
          <w:rFonts w:ascii="Times New Roman" w:hAnsi="Times New Roman" w:cs="Times New Roman"/>
          <w:b/>
          <w:bCs/>
        </w:rPr>
      </w:pPr>
      <w:bookmarkStart w:id="281" w:name="_Toc989189"/>
      <w:r w:rsidRPr="005B5EC1">
        <w:rPr>
          <w:rFonts w:ascii="Times New Roman" w:hAnsi="Times New Roman" w:cs="Times New Roman"/>
          <w:b/>
          <w:bCs/>
        </w:rPr>
        <w:t>12</w:t>
      </w:r>
      <w:r w:rsidRPr="005B5EC1">
        <w:rPr>
          <w:rFonts w:ascii="Times New Roman" w:hAnsi="Times New Roman" w:cs="Times New Roman"/>
          <w:b/>
          <w:bCs/>
        </w:rPr>
        <w:t>、一年内到期的非流动资产</w:t>
      </w:r>
      <w:bookmarkEnd w:id="281"/>
    </w:p>
    <w:p w14:paraId="2D8F614C" w14:textId="77777777" w:rsidR="00446468" w:rsidRDefault="00446468" w:rsidP="00446468">
      <w:pPr>
        <w:spacing w:before="40" w:after="40" w:line="240" w:lineRule="exact"/>
        <w:rPr>
          <w:rFonts w:ascii="Times New Roman" w:eastAsia="宋体" w:hAnsi="Times New Roman" w:cs="Times New Roman"/>
          <w:sz w:val="18"/>
          <w:szCs w:val="18"/>
        </w:rPr>
      </w:pPr>
      <w:bookmarkStart w:id="282" w:name="_Toc989192"/>
      <w:r>
        <w:rPr>
          <w:rFonts w:ascii="Times New Roman" w:eastAsia="宋体" w:hAnsi="Times New Roman" w:cs="Times New Roman" w:hint="eastAsia"/>
          <w:sz w:val="18"/>
          <w:szCs w:val="18"/>
        </w:rPr>
        <w:t>无</w:t>
      </w:r>
    </w:p>
    <w:p w14:paraId="2D921307" w14:textId="77777777" w:rsidR="00E32FE0" w:rsidRPr="005B5EC1" w:rsidRDefault="00000000">
      <w:pPr>
        <w:pStyle w:val="3"/>
        <w:spacing w:line="280" w:lineRule="exact"/>
        <w:jc w:val="left"/>
        <w:rPr>
          <w:rFonts w:ascii="Times New Roman" w:hAnsi="Times New Roman" w:cs="Times New Roman"/>
          <w:b/>
          <w:bCs/>
        </w:rPr>
      </w:pPr>
      <w:r w:rsidRPr="005B5EC1">
        <w:rPr>
          <w:rFonts w:ascii="Times New Roman" w:hAnsi="Times New Roman" w:cs="Times New Roman"/>
          <w:b/>
          <w:bCs/>
        </w:rPr>
        <w:t>13</w:t>
      </w:r>
      <w:r w:rsidRPr="005B5EC1">
        <w:rPr>
          <w:rFonts w:ascii="Times New Roman" w:hAnsi="Times New Roman" w:cs="Times New Roman"/>
          <w:b/>
          <w:bCs/>
        </w:rPr>
        <w:t>、其他流动资产</w:t>
      </w:r>
      <w:bookmarkEnd w:id="282"/>
    </w:p>
    <w:p w14:paraId="57F0CBBC"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E8015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C4D41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0A878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FDE67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1AA93EF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2D297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预缴所得税</w:t>
            </w:r>
          </w:p>
        </w:tc>
        <w:tc>
          <w:tcPr>
            <w:tcW w:w="3213" w:type="dxa"/>
            <w:tcBorders>
              <w:top w:val="single" w:sz="2" w:space="0" w:color="auto"/>
              <w:left w:val="single" w:sz="2" w:space="0" w:color="auto"/>
              <w:bottom w:val="single" w:sz="2" w:space="0" w:color="auto"/>
              <w:right w:val="single" w:sz="2" w:space="0" w:color="auto"/>
            </w:tcBorders>
            <w:vAlign w:val="center"/>
          </w:tcPr>
          <w:p w14:paraId="73FA6FB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9BD7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161,224.58</w:t>
            </w:r>
          </w:p>
        </w:tc>
      </w:tr>
      <w:tr w:rsidR="00E32FE0" w:rsidRPr="005B5EC1" w14:paraId="594B193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9E1AED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待抵扣</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认证</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留抵进项税</w:t>
            </w:r>
          </w:p>
        </w:tc>
        <w:tc>
          <w:tcPr>
            <w:tcW w:w="3213" w:type="dxa"/>
            <w:tcBorders>
              <w:top w:val="single" w:sz="2" w:space="0" w:color="auto"/>
              <w:left w:val="single" w:sz="2" w:space="0" w:color="auto"/>
              <w:bottom w:val="single" w:sz="2" w:space="0" w:color="auto"/>
              <w:right w:val="single" w:sz="2" w:space="0" w:color="auto"/>
            </w:tcBorders>
            <w:vAlign w:val="center"/>
          </w:tcPr>
          <w:p w14:paraId="11FE87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18,272.00</w:t>
            </w:r>
          </w:p>
        </w:tc>
        <w:tc>
          <w:tcPr>
            <w:tcW w:w="3213" w:type="dxa"/>
            <w:tcBorders>
              <w:top w:val="single" w:sz="2" w:space="0" w:color="auto"/>
              <w:left w:val="single" w:sz="2" w:space="0" w:color="auto"/>
              <w:bottom w:val="single" w:sz="2" w:space="0" w:color="auto"/>
              <w:right w:val="single" w:sz="2" w:space="0" w:color="auto"/>
            </w:tcBorders>
            <w:vAlign w:val="center"/>
          </w:tcPr>
          <w:p w14:paraId="6CAA38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57,534.14</w:t>
            </w:r>
          </w:p>
        </w:tc>
      </w:tr>
      <w:tr w:rsidR="00E32FE0" w:rsidRPr="005B5EC1" w14:paraId="71FD92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13D4C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0D7E4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18,272.00</w:t>
            </w:r>
          </w:p>
        </w:tc>
        <w:tc>
          <w:tcPr>
            <w:tcW w:w="3213" w:type="dxa"/>
            <w:tcBorders>
              <w:top w:val="single" w:sz="2" w:space="0" w:color="auto"/>
              <w:left w:val="single" w:sz="2" w:space="0" w:color="auto"/>
              <w:bottom w:val="single" w:sz="2" w:space="0" w:color="auto"/>
              <w:right w:val="single" w:sz="2" w:space="0" w:color="auto"/>
            </w:tcBorders>
            <w:vAlign w:val="center"/>
          </w:tcPr>
          <w:p w14:paraId="555326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218,758.72</w:t>
            </w:r>
          </w:p>
        </w:tc>
      </w:tr>
    </w:tbl>
    <w:p w14:paraId="27E28D6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39589FBC" w14:textId="77777777" w:rsidR="00AF139E" w:rsidRPr="005B5EC1" w:rsidRDefault="00000000">
      <w:pPr>
        <w:pStyle w:val="a3"/>
        <w:divId w:val="1377970405"/>
        <w:rPr>
          <w:rFonts w:ascii="Times New Roman" w:hAnsi="Times New Roman" w:cs="Times New Roman"/>
          <w:sz w:val="18"/>
          <w:szCs w:val="18"/>
        </w:rPr>
      </w:pPr>
      <w:r w:rsidRPr="005B5EC1">
        <w:rPr>
          <w:rFonts w:ascii="Times New Roman" w:hAnsi="Times New Roman" w:cs="Times New Roman"/>
          <w:sz w:val="18"/>
          <w:szCs w:val="18"/>
        </w:rPr>
        <w:t>无</w:t>
      </w:r>
    </w:p>
    <w:p w14:paraId="17F4C2EB" w14:textId="77777777" w:rsidR="00E32FE0" w:rsidRPr="005B5EC1" w:rsidRDefault="00000000">
      <w:pPr>
        <w:pStyle w:val="3"/>
        <w:spacing w:line="280" w:lineRule="exact"/>
        <w:jc w:val="left"/>
        <w:rPr>
          <w:rFonts w:ascii="Times New Roman" w:hAnsi="Times New Roman" w:cs="Times New Roman"/>
          <w:b/>
          <w:bCs/>
        </w:rPr>
      </w:pPr>
      <w:bookmarkStart w:id="283" w:name="_Toc989193"/>
      <w:r w:rsidRPr="005B5EC1">
        <w:rPr>
          <w:rFonts w:ascii="Times New Roman" w:hAnsi="Times New Roman" w:cs="Times New Roman"/>
          <w:b/>
          <w:bCs/>
        </w:rPr>
        <w:t>14</w:t>
      </w:r>
      <w:r w:rsidRPr="005B5EC1">
        <w:rPr>
          <w:rFonts w:ascii="Times New Roman" w:hAnsi="Times New Roman" w:cs="Times New Roman"/>
          <w:b/>
          <w:bCs/>
        </w:rPr>
        <w:t>、债权投资</w:t>
      </w:r>
      <w:bookmarkEnd w:id="283"/>
    </w:p>
    <w:p w14:paraId="4C62BD9A" w14:textId="77777777" w:rsidR="00AF139E" w:rsidRPr="005B5EC1" w:rsidRDefault="00000000">
      <w:pPr>
        <w:pStyle w:val="a3"/>
        <w:divId w:val="1223172538"/>
        <w:rPr>
          <w:rFonts w:ascii="Times New Roman" w:hAnsi="Times New Roman" w:cs="Times New Roman"/>
          <w:sz w:val="18"/>
          <w:szCs w:val="18"/>
        </w:rPr>
      </w:pPr>
      <w:r w:rsidRPr="005B5EC1">
        <w:rPr>
          <w:rFonts w:ascii="Times New Roman" w:hAnsi="Times New Roman" w:cs="Times New Roman"/>
          <w:sz w:val="18"/>
          <w:szCs w:val="18"/>
        </w:rPr>
        <w:t>无</w:t>
      </w:r>
    </w:p>
    <w:p w14:paraId="03109EBB" w14:textId="77777777" w:rsidR="00E32FE0" w:rsidRPr="005B5EC1" w:rsidRDefault="00000000">
      <w:pPr>
        <w:pStyle w:val="3"/>
        <w:spacing w:line="280" w:lineRule="exact"/>
        <w:jc w:val="left"/>
        <w:rPr>
          <w:rFonts w:ascii="Times New Roman" w:hAnsi="Times New Roman" w:cs="Times New Roman"/>
          <w:b/>
          <w:bCs/>
        </w:rPr>
      </w:pPr>
      <w:bookmarkStart w:id="284" w:name="_Toc989198"/>
      <w:r w:rsidRPr="005B5EC1">
        <w:rPr>
          <w:rFonts w:ascii="Times New Roman" w:hAnsi="Times New Roman" w:cs="Times New Roman"/>
          <w:b/>
          <w:bCs/>
        </w:rPr>
        <w:t>15</w:t>
      </w:r>
      <w:r w:rsidRPr="005B5EC1">
        <w:rPr>
          <w:rFonts w:ascii="Times New Roman" w:hAnsi="Times New Roman" w:cs="Times New Roman"/>
          <w:b/>
          <w:bCs/>
        </w:rPr>
        <w:t>、其他债权投资</w:t>
      </w:r>
      <w:bookmarkEnd w:id="284"/>
    </w:p>
    <w:p w14:paraId="3F7CE3D2" w14:textId="77777777" w:rsidR="00AF139E" w:rsidRPr="005B5EC1" w:rsidRDefault="00000000">
      <w:pPr>
        <w:pStyle w:val="a3"/>
        <w:divId w:val="1178883305"/>
        <w:rPr>
          <w:rFonts w:ascii="Times New Roman" w:hAnsi="Times New Roman" w:cs="Times New Roman"/>
          <w:sz w:val="18"/>
          <w:szCs w:val="18"/>
        </w:rPr>
      </w:pPr>
      <w:r w:rsidRPr="005B5EC1">
        <w:rPr>
          <w:rFonts w:ascii="Times New Roman" w:hAnsi="Times New Roman" w:cs="Times New Roman"/>
          <w:sz w:val="18"/>
          <w:szCs w:val="18"/>
        </w:rPr>
        <w:t>无</w:t>
      </w:r>
    </w:p>
    <w:p w14:paraId="3CD12BF9" w14:textId="77777777" w:rsidR="00E32FE0" w:rsidRPr="005B5EC1" w:rsidRDefault="00000000">
      <w:pPr>
        <w:pStyle w:val="3"/>
        <w:spacing w:line="280" w:lineRule="exact"/>
        <w:jc w:val="left"/>
        <w:rPr>
          <w:rFonts w:ascii="Times New Roman" w:hAnsi="Times New Roman" w:cs="Times New Roman"/>
          <w:b/>
          <w:bCs/>
        </w:rPr>
      </w:pPr>
      <w:bookmarkStart w:id="285" w:name="_Toc989203"/>
      <w:r w:rsidRPr="005B5EC1">
        <w:rPr>
          <w:rFonts w:ascii="Times New Roman" w:hAnsi="Times New Roman" w:cs="Times New Roman"/>
          <w:b/>
          <w:bCs/>
        </w:rPr>
        <w:t>16</w:t>
      </w:r>
      <w:r w:rsidRPr="005B5EC1">
        <w:rPr>
          <w:rFonts w:ascii="Times New Roman" w:hAnsi="Times New Roman" w:cs="Times New Roman"/>
          <w:b/>
          <w:bCs/>
        </w:rPr>
        <w:t>、其他权益工具投资</w:t>
      </w:r>
      <w:bookmarkEnd w:id="285"/>
    </w:p>
    <w:p w14:paraId="3F90CA45"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E32FE0" w:rsidRPr="005B5EC1" w14:paraId="34D4842A" w14:textId="77777777" w:rsidTr="0018567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30AC989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项目名称</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6867161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55C89CB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0C31298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5513862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690E32A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本期末累计计入其他综合收益的利得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60BAECA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本期末累计计入其他综合收益的损失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7E15289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本期确认的股利收入</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0CC320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指定为以公允价值计量且其变动计入其他综合收益的原因</w:t>
            </w:r>
          </w:p>
        </w:tc>
      </w:tr>
      <w:tr w:rsidR="00E32FE0" w:rsidRPr="005B5EC1" w14:paraId="2152FA43" w14:textId="77777777" w:rsidTr="0018567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57DF105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北京佰镒通科技有限公司股权投资</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238254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59FF51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32DE99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20AE6CF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5E95F91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3A81F99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2751EB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71" w:type="dxa"/>
            <w:tcBorders>
              <w:top w:val="single" w:sz="2" w:space="0" w:color="auto"/>
              <w:left w:val="single" w:sz="2" w:space="0" w:color="auto"/>
              <w:bottom w:val="single" w:sz="2" w:space="0" w:color="auto"/>
              <w:right w:val="single" w:sz="2" w:space="0" w:color="auto"/>
            </w:tcBorders>
            <w:shd w:val="clear" w:color="auto" w:fill="auto"/>
            <w:vAlign w:val="center"/>
          </w:tcPr>
          <w:p w14:paraId="0CC29ECE" w14:textId="77777777" w:rsidR="00E32FE0" w:rsidRPr="005B5EC1" w:rsidRDefault="00E32FE0">
            <w:pPr>
              <w:spacing w:after="0" w:line="240" w:lineRule="exact"/>
              <w:rPr>
                <w:rFonts w:ascii="Times New Roman" w:eastAsia="宋体" w:hAnsi="Times New Roman" w:cs="Times New Roman"/>
                <w:sz w:val="18"/>
                <w:szCs w:val="18"/>
              </w:rPr>
            </w:pPr>
          </w:p>
        </w:tc>
      </w:tr>
    </w:tbl>
    <w:p w14:paraId="0757A36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本期存在终止确认</w:t>
      </w:r>
    </w:p>
    <w:p w14:paraId="482354D8"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47F6CBF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E7ABA7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54F179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转入留存收益的累计利得</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4962A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转入留存收益的累计损失</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859CC1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终止确认的原因</w:t>
            </w:r>
          </w:p>
        </w:tc>
      </w:tr>
    </w:tbl>
    <w:p w14:paraId="61FBC57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分项披露本期非交易性权益工具投资</w:t>
      </w:r>
    </w:p>
    <w:p w14:paraId="12D3D81A"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0F80938B" w14:textId="77777777" w:rsidTr="0018567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4161DC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项目名称</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F82692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确认的股利收</w:t>
            </w:r>
            <w:r w:rsidRPr="005B5EC1">
              <w:rPr>
                <w:rFonts w:ascii="Times New Roman" w:eastAsia="宋体" w:hAnsi="Times New Roman" w:cs="Times New Roman"/>
                <w:sz w:val="18"/>
                <w:szCs w:val="18"/>
              </w:rPr>
              <w:lastRenderedPageBreak/>
              <w:t>入</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909375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累计利得</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19DD31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EB7C6D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其他综合收益</w:t>
            </w:r>
            <w:r w:rsidRPr="005B5EC1">
              <w:rPr>
                <w:rFonts w:ascii="Times New Roman" w:eastAsia="宋体" w:hAnsi="Times New Roman" w:cs="Times New Roman"/>
                <w:sz w:val="18"/>
                <w:szCs w:val="18"/>
              </w:rPr>
              <w:lastRenderedPageBreak/>
              <w:t>转入留存收益的金额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B53E36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指定为以公允</w:t>
            </w:r>
            <w:r w:rsidRPr="005B5EC1">
              <w:rPr>
                <w:rFonts w:ascii="Times New Roman" w:eastAsia="宋体" w:hAnsi="Times New Roman" w:cs="Times New Roman"/>
                <w:sz w:val="18"/>
                <w:szCs w:val="18"/>
              </w:rPr>
              <w:lastRenderedPageBreak/>
              <w:t>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4789D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其他综合收益</w:t>
            </w:r>
            <w:r w:rsidRPr="005B5EC1">
              <w:rPr>
                <w:rFonts w:ascii="Times New Roman" w:eastAsia="宋体" w:hAnsi="Times New Roman" w:cs="Times New Roman"/>
                <w:sz w:val="18"/>
                <w:szCs w:val="18"/>
              </w:rPr>
              <w:lastRenderedPageBreak/>
              <w:t>转入留存收益的原因</w:t>
            </w:r>
          </w:p>
        </w:tc>
      </w:tr>
      <w:tr w:rsidR="00E32FE0" w:rsidRPr="005B5EC1" w14:paraId="1C544380" w14:textId="77777777" w:rsidTr="00185672">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2A8EE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北京佰镒通科技有限公司股权投资</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5C219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600C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9D3AC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87B7E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B2EAA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基于战略投资的考虑</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EE0ACDC" w14:textId="77777777" w:rsidR="00E32FE0" w:rsidRPr="005B5EC1" w:rsidRDefault="00E32FE0">
            <w:pPr>
              <w:spacing w:after="0" w:line="240" w:lineRule="exact"/>
              <w:rPr>
                <w:rFonts w:ascii="Times New Roman" w:eastAsia="宋体" w:hAnsi="Times New Roman" w:cs="Times New Roman"/>
                <w:sz w:val="18"/>
                <w:szCs w:val="18"/>
              </w:rPr>
            </w:pPr>
          </w:p>
        </w:tc>
      </w:tr>
    </w:tbl>
    <w:p w14:paraId="67AE353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13CE6F6" w14:textId="77777777" w:rsidR="00AF139E" w:rsidRPr="005B5EC1" w:rsidRDefault="00000000">
      <w:pPr>
        <w:pStyle w:val="a3"/>
        <w:divId w:val="164976973"/>
        <w:rPr>
          <w:rFonts w:ascii="Times New Roman" w:hAnsi="Times New Roman" w:cs="Times New Roman"/>
          <w:sz w:val="18"/>
          <w:szCs w:val="18"/>
        </w:rPr>
      </w:pPr>
      <w:r w:rsidRPr="005B5EC1">
        <w:rPr>
          <w:rFonts w:ascii="Times New Roman" w:hAnsi="Times New Roman" w:cs="Times New Roman"/>
          <w:sz w:val="18"/>
          <w:szCs w:val="18"/>
        </w:rPr>
        <w:t>无</w:t>
      </w:r>
    </w:p>
    <w:p w14:paraId="38752CA1" w14:textId="77777777" w:rsidR="00E32FE0" w:rsidRPr="005B5EC1" w:rsidRDefault="00000000">
      <w:pPr>
        <w:pStyle w:val="3"/>
        <w:spacing w:line="280" w:lineRule="exact"/>
        <w:jc w:val="left"/>
        <w:rPr>
          <w:rFonts w:ascii="Times New Roman" w:hAnsi="Times New Roman" w:cs="Times New Roman"/>
          <w:b/>
          <w:bCs/>
        </w:rPr>
      </w:pPr>
      <w:bookmarkStart w:id="286" w:name="_Toc989204"/>
      <w:r w:rsidRPr="005B5EC1">
        <w:rPr>
          <w:rFonts w:ascii="Times New Roman" w:hAnsi="Times New Roman" w:cs="Times New Roman"/>
          <w:b/>
          <w:bCs/>
        </w:rPr>
        <w:t>17</w:t>
      </w:r>
      <w:r w:rsidRPr="005B5EC1">
        <w:rPr>
          <w:rFonts w:ascii="Times New Roman" w:hAnsi="Times New Roman" w:cs="Times New Roman"/>
          <w:b/>
          <w:bCs/>
        </w:rPr>
        <w:t>、长期应收款</w:t>
      </w:r>
      <w:bookmarkEnd w:id="286"/>
    </w:p>
    <w:p w14:paraId="66F7C4A4" w14:textId="77777777" w:rsidR="00AF139E" w:rsidRPr="005B5EC1" w:rsidRDefault="00000000">
      <w:pPr>
        <w:pStyle w:val="a3"/>
        <w:divId w:val="1291478272"/>
        <w:rPr>
          <w:rFonts w:ascii="Times New Roman" w:hAnsi="Times New Roman" w:cs="Times New Roman"/>
          <w:sz w:val="18"/>
          <w:szCs w:val="18"/>
        </w:rPr>
      </w:pPr>
      <w:r w:rsidRPr="005B5EC1">
        <w:rPr>
          <w:rFonts w:ascii="Times New Roman" w:hAnsi="Times New Roman" w:cs="Times New Roman"/>
          <w:sz w:val="18"/>
          <w:szCs w:val="18"/>
        </w:rPr>
        <w:t>无</w:t>
      </w:r>
    </w:p>
    <w:p w14:paraId="4A3FBE44" w14:textId="77777777" w:rsidR="00E32FE0" w:rsidRPr="005B5EC1" w:rsidRDefault="00000000">
      <w:pPr>
        <w:pStyle w:val="3"/>
        <w:spacing w:line="280" w:lineRule="exact"/>
        <w:jc w:val="left"/>
        <w:rPr>
          <w:rFonts w:ascii="Times New Roman" w:hAnsi="Times New Roman" w:cs="Times New Roman"/>
          <w:b/>
          <w:bCs/>
        </w:rPr>
      </w:pPr>
      <w:bookmarkStart w:id="287" w:name="_Toc989209"/>
      <w:r w:rsidRPr="005B5EC1">
        <w:rPr>
          <w:rFonts w:ascii="Times New Roman" w:hAnsi="Times New Roman" w:cs="Times New Roman"/>
          <w:b/>
          <w:bCs/>
        </w:rPr>
        <w:t>18</w:t>
      </w:r>
      <w:r w:rsidRPr="005B5EC1">
        <w:rPr>
          <w:rFonts w:ascii="Times New Roman" w:hAnsi="Times New Roman" w:cs="Times New Roman"/>
          <w:b/>
          <w:bCs/>
        </w:rPr>
        <w:t>、长期股权投资</w:t>
      </w:r>
      <w:bookmarkEnd w:id="287"/>
    </w:p>
    <w:p w14:paraId="15C3CAEB" w14:textId="77777777" w:rsidR="00AF139E" w:rsidRPr="005B5EC1" w:rsidRDefault="00000000">
      <w:pPr>
        <w:pStyle w:val="a3"/>
        <w:divId w:val="935289589"/>
        <w:rPr>
          <w:rFonts w:ascii="Times New Roman" w:hAnsi="Times New Roman" w:cs="Times New Roman"/>
          <w:sz w:val="18"/>
          <w:szCs w:val="18"/>
        </w:rPr>
      </w:pPr>
      <w:r w:rsidRPr="005B5EC1">
        <w:rPr>
          <w:rFonts w:ascii="Times New Roman" w:hAnsi="Times New Roman" w:cs="Times New Roman"/>
          <w:sz w:val="18"/>
          <w:szCs w:val="18"/>
        </w:rPr>
        <w:t>无</w:t>
      </w:r>
    </w:p>
    <w:p w14:paraId="134C4488" w14:textId="77777777" w:rsidR="00E32FE0" w:rsidRPr="005B5EC1" w:rsidRDefault="00000000">
      <w:pPr>
        <w:pStyle w:val="3"/>
        <w:spacing w:line="280" w:lineRule="exact"/>
        <w:jc w:val="left"/>
        <w:rPr>
          <w:rFonts w:ascii="Times New Roman" w:hAnsi="Times New Roman" w:cs="Times New Roman"/>
          <w:b/>
          <w:bCs/>
        </w:rPr>
      </w:pPr>
      <w:bookmarkStart w:id="288" w:name="_Toc989210"/>
      <w:r w:rsidRPr="005B5EC1">
        <w:rPr>
          <w:rFonts w:ascii="Times New Roman" w:hAnsi="Times New Roman" w:cs="Times New Roman"/>
          <w:b/>
          <w:bCs/>
        </w:rPr>
        <w:t>19</w:t>
      </w:r>
      <w:r w:rsidRPr="005B5EC1">
        <w:rPr>
          <w:rFonts w:ascii="Times New Roman" w:hAnsi="Times New Roman" w:cs="Times New Roman"/>
          <w:b/>
          <w:bCs/>
        </w:rPr>
        <w:t>、其他非流动金融资产</w:t>
      </w:r>
      <w:bookmarkEnd w:id="288"/>
    </w:p>
    <w:p w14:paraId="29DF267B" w14:textId="77777777" w:rsidR="00AF139E" w:rsidRPr="005B5EC1" w:rsidRDefault="00000000">
      <w:pPr>
        <w:pStyle w:val="a3"/>
        <w:divId w:val="275331762"/>
        <w:rPr>
          <w:rFonts w:ascii="Times New Roman" w:hAnsi="Times New Roman" w:cs="Times New Roman"/>
          <w:sz w:val="18"/>
          <w:szCs w:val="18"/>
        </w:rPr>
      </w:pPr>
      <w:r w:rsidRPr="005B5EC1">
        <w:rPr>
          <w:rFonts w:ascii="Times New Roman" w:hAnsi="Times New Roman" w:cs="Times New Roman"/>
          <w:sz w:val="18"/>
          <w:szCs w:val="18"/>
        </w:rPr>
        <w:t>无</w:t>
      </w:r>
    </w:p>
    <w:p w14:paraId="70D41326" w14:textId="77777777" w:rsidR="00E32FE0" w:rsidRPr="005B5EC1" w:rsidRDefault="00000000">
      <w:pPr>
        <w:pStyle w:val="3"/>
        <w:spacing w:line="280" w:lineRule="exact"/>
        <w:jc w:val="left"/>
        <w:rPr>
          <w:rFonts w:ascii="Times New Roman" w:hAnsi="Times New Roman" w:cs="Times New Roman"/>
          <w:b/>
          <w:bCs/>
        </w:rPr>
      </w:pPr>
      <w:bookmarkStart w:id="289" w:name="_Toc989211"/>
      <w:r w:rsidRPr="005B5EC1">
        <w:rPr>
          <w:rFonts w:ascii="Times New Roman" w:hAnsi="Times New Roman" w:cs="Times New Roman"/>
          <w:b/>
          <w:bCs/>
        </w:rPr>
        <w:t>20</w:t>
      </w:r>
      <w:r w:rsidRPr="005B5EC1">
        <w:rPr>
          <w:rFonts w:ascii="Times New Roman" w:hAnsi="Times New Roman" w:cs="Times New Roman"/>
          <w:b/>
          <w:bCs/>
        </w:rPr>
        <w:t>、投资性房地产</w:t>
      </w:r>
      <w:bookmarkEnd w:id="289"/>
    </w:p>
    <w:p w14:paraId="0DAFBE43" w14:textId="77777777" w:rsidR="00AF139E" w:rsidRPr="005B5EC1" w:rsidRDefault="00000000">
      <w:pPr>
        <w:pStyle w:val="a3"/>
        <w:divId w:val="1279142513"/>
        <w:rPr>
          <w:rFonts w:ascii="Times New Roman" w:hAnsi="Times New Roman" w:cs="Times New Roman"/>
          <w:sz w:val="18"/>
          <w:szCs w:val="18"/>
        </w:rPr>
      </w:pPr>
      <w:r w:rsidRPr="005B5EC1">
        <w:rPr>
          <w:rFonts w:ascii="Times New Roman" w:hAnsi="Times New Roman" w:cs="Times New Roman"/>
          <w:sz w:val="18"/>
          <w:szCs w:val="18"/>
        </w:rPr>
        <w:t>无</w:t>
      </w:r>
    </w:p>
    <w:p w14:paraId="2A22B6A1" w14:textId="77777777" w:rsidR="00E32FE0" w:rsidRPr="005B5EC1" w:rsidRDefault="00000000">
      <w:pPr>
        <w:pStyle w:val="3"/>
        <w:spacing w:line="280" w:lineRule="exact"/>
        <w:jc w:val="left"/>
        <w:rPr>
          <w:rFonts w:ascii="Times New Roman" w:hAnsi="Times New Roman" w:cs="Times New Roman"/>
          <w:b/>
          <w:bCs/>
        </w:rPr>
      </w:pPr>
      <w:bookmarkStart w:id="290" w:name="_Toc989216"/>
      <w:r w:rsidRPr="005B5EC1">
        <w:rPr>
          <w:rFonts w:ascii="Times New Roman" w:hAnsi="Times New Roman" w:cs="Times New Roman"/>
          <w:b/>
          <w:bCs/>
        </w:rPr>
        <w:t>21</w:t>
      </w:r>
      <w:r w:rsidRPr="005B5EC1">
        <w:rPr>
          <w:rFonts w:ascii="Times New Roman" w:hAnsi="Times New Roman" w:cs="Times New Roman"/>
          <w:b/>
          <w:bCs/>
        </w:rPr>
        <w:t>、固定资产</w:t>
      </w:r>
      <w:bookmarkEnd w:id="290"/>
    </w:p>
    <w:p w14:paraId="10C5115D"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4A18B9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37CC3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A232F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8B326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149316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A2DC9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4FF699D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2,369,509,841.69</w:t>
            </w:r>
          </w:p>
        </w:tc>
        <w:tc>
          <w:tcPr>
            <w:tcW w:w="3213" w:type="dxa"/>
            <w:tcBorders>
              <w:top w:val="single" w:sz="2" w:space="0" w:color="auto"/>
              <w:left w:val="single" w:sz="2" w:space="0" w:color="auto"/>
              <w:bottom w:val="single" w:sz="2" w:space="0" w:color="auto"/>
              <w:right w:val="single" w:sz="2" w:space="0" w:color="auto"/>
            </w:tcBorders>
            <w:vAlign w:val="center"/>
          </w:tcPr>
          <w:p w14:paraId="42781A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1,692,939,156.89</w:t>
            </w:r>
          </w:p>
        </w:tc>
      </w:tr>
      <w:tr w:rsidR="00E32FE0" w:rsidRPr="005B5EC1" w14:paraId="4DF568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D17C3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14:paraId="2497318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54094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B9F84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C053C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F5BFF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2,369,509,841.69</w:t>
            </w:r>
          </w:p>
        </w:tc>
        <w:tc>
          <w:tcPr>
            <w:tcW w:w="3213" w:type="dxa"/>
            <w:tcBorders>
              <w:top w:val="single" w:sz="2" w:space="0" w:color="auto"/>
              <w:left w:val="single" w:sz="2" w:space="0" w:color="auto"/>
              <w:bottom w:val="single" w:sz="2" w:space="0" w:color="auto"/>
              <w:right w:val="single" w:sz="2" w:space="0" w:color="auto"/>
            </w:tcBorders>
            <w:vAlign w:val="center"/>
          </w:tcPr>
          <w:p w14:paraId="276C2A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1,692,939,156.89</w:t>
            </w:r>
          </w:p>
        </w:tc>
      </w:tr>
    </w:tbl>
    <w:p w14:paraId="3198889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91" w:name="_Toc989217"/>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固定资产情况</w:t>
      </w:r>
      <w:bookmarkEnd w:id="291"/>
    </w:p>
    <w:p w14:paraId="43BBC093"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377"/>
        <w:gridCol w:w="1377"/>
        <w:gridCol w:w="1377"/>
        <w:gridCol w:w="1377"/>
        <w:gridCol w:w="1377"/>
        <w:gridCol w:w="1377"/>
        <w:gridCol w:w="1377"/>
      </w:tblGrid>
      <w:tr w:rsidR="00E32FE0" w:rsidRPr="005B5EC1" w14:paraId="47E9D52D"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4D78D17" w14:textId="77777777" w:rsidR="00E32FE0" w:rsidRPr="005B5EC1" w:rsidRDefault="00000000" w:rsidP="00EB16D7">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C4C5BFC" w14:textId="77777777" w:rsidR="00E32FE0" w:rsidRPr="005B5EC1" w:rsidRDefault="00000000" w:rsidP="00EB16D7">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房屋及建筑物</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871A7F8" w14:textId="77777777" w:rsidR="00E32FE0" w:rsidRPr="005B5EC1" w:rsidRDefault="00000000" w:rsidP="00EB16D7">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机器设备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458B45" w14:textId="77777777" w:rsidR="00E32FE0" w:rsidRPr="005B5EC1" w:rsidRDefault="00000000" w:rsidP="00EB16D7">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电子设备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5FC960F" w14:textId="77777777" w:rsidR="00E32FE0" w:rsidRPr="005B5EC1" w:rsidRDefault="00000000" w:rsidP="00EB16D7">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交通运输设备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6157592" w14:textId="77777777" w:rsidR="00E32FE0" w:rsidRPr="005B5EC1" w:rsidRDefault="00000000" w:rsidP="00EB16D7">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家具等</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04C3DC0" w14:textId="77777777" w:rsidR="00E32FE0" w:rsidRPr="005B5EC1" w:rsidRDefault="00000000" w:rsidP="00EB16D7">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r>
      <w:tr w:rsidR="00E32FE0" w:rsidRPr="005B5EC1" w14:paraId="342D6468"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0A404CC"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F590410"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4FDC0B0"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5D608D6"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F1DDEF8"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FFB924"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86E8D3F"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2FCA550F"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C71BE4D"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9E659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1,555,322,214.00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AD297A"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898,144,999.32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B1D074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47,027,712.13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3AE414F"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36,359,260.50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0C44D8"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78,250,982.32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4BA07C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2,615,105,168.27</w:t>
            </w:r>
          </w:p>
        </w:tc>
      </w:tr>
      <w:tr w:rsidR="00E32FE0" w:rsidRPr="005B5EC1" w14:paraId="2C50142C"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02DF785"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E7D5F5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676,970,850.66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ABF650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180,473,788.35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9365EF"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2,016,132.56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0BA31A1"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169,623.85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0EC2F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3,090,038.15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B5AFAB0"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862,720,433.57</w:t>
            </w:r>
          </w:p>
        </w:tc>
      </w:tr>
      <w:tr w:rsidR="00E32FE0" w:rsidRPr="005B5EC1" w14:paraId="0CB271B8"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722947C"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）购置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4A70AE0"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2,807,909.80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59053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10,362,723.40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D29367D"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1,814,016.72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11C45C1"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137,008.85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4ACF022"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2,332,922.40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84F4DC"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17,454,581.17</w:t>
            </w:r>
          </w:p>
        </w:tc>
      </w:tr>
      <w:tr w:rsidR="00E32FE0" w:rsidRPr="005B5EC1" w14:paraId="33888E27"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C1527F"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）在建工程转入</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86A3E1"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674,162,940.86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49F577"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170,111,064.95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75A7A1F"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202,115.84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50BD15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32,615.00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16A5AB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757,115.75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27A242"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845,265,852.40</w:t>
            </w:r>
          </w:p>
        </w:tc>
      </w:tr>
      <w:tr w:rsidR="00E32FE0" w:rsidRPr="005B5EC1" w14:paraId="6D84A250"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8C22F49"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）企业合并增加</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9CB113"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2421086"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B80D0CD"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7D7266F"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EA41A0"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CE44DA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562BF431"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453C74F" w14:textId="77777777" w:rsidR="00E32FE0" w:rsidRPr="005B5EC1" w:rsidRDefault="00E32FE0" w:rsidP="00EB16D7">
            <w:pPr>
              <w:spacing w:after="0" w:line="276" w:lineRule="auto"/>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D11D912"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0C16A4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17A8A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1AE97C3"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01068F"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C6552F1"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7D214472"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43EA51"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3.</w:t>
            </w:r>
            <w:r w:rsidRPr="005B5EC1">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81228F"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17,490,356.82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417889D"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22,741,762.05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5E0BF82"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1,244,052.10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A1FBB37"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2,685,565.58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E5DF06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2,012,298.07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4DCFEA2"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46,174,034.62</w:t>
            </w:r>
          </w:p>
        </w:tc>
      </w:tr>
      <w:tr w:rsidR="00E32FE0" w:rsidRPr="005B5EC1" w14:paraId="6A670F69"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04BC114"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）处置或报废</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53AD2E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132,975.74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B9384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2,318,471.24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8B05CDA"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1,113,670.56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0E6CA12"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2,351,065.58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0E2FB30"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1,382,607.05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ECB5AC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7,298,790.17</w:t>
            </w:r>
          </w:p>
        </w:tc>
      </w:tr>
      <w:tr w:rsidR="00E32FE0" w:rsidRPr="005B5EC1" w14:paraId="3A3E7D78"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C71E0B"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）企业合并减少</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7D838E2"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16,982,723.23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D0AE20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20,423,290.81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58D517F"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130,381.54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7C6F1F"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334,500.00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5BFC70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629,691.02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9429441"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38,500,586.60</w:t>
            </w:r>
          </w:p>
        </w:tc>
      </w:tr>
      <w:tr w:rsidR="00E32FE0" w:rsidRPr="005B5EC1" w14:paraId="387FB098"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A60481A"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）转入在建工程</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ABAC951"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374,657.85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AC9E0E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DC695EE"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67276E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048FCB3"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B13250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374,657.85</w:t>
            </w:r>
          </w:p>
        </w:tc>
      </w:tr>
      <w:tr w:rsidR="00E32FE0" w:rsidRPr="005B5EC1" w14:paraId="27C83F18"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5A67C28"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EF5C234"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2,214,802,707.84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5281D28"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1,055,877,025.62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F3605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47,799,792.59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C30CFF"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33,843,318.77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AD658FF"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79,328,722.40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C20F79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3,431,651,567.22</w:t>
            </w:r>
          </w:p>
        </w:tc>
      </w:tr>
      <w:tr w:rsidR="00E32FE0" w:rsidRPr="005B5EC1" w14:paraId="6665304B"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293543"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二、累计折旧</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ED385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980646"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5359827"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41AD939"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50C3D5D"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9B1AEF"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71AEEEA9"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2FA959F"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4ACF92"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383,453,790.72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B0A19F0"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420,681,326.96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D91D672"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38,032,311.18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EDC871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26,951,274.33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D384A1C"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51,784,171.62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3800790"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920,902,874.81</w:t>
            </w:r>
          </w:p>
        </w:tc>
      </w:tr>
      <w:tr w:rsidR="00E32FE0" w:rsidRPr="005B5EC1" w14:paraId="0A393291"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F06B0F2"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EBF0EF4"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75,122,255.15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2AD74B8"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68,678,207.44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36374A8"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3,682,779.89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7F4B9D"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3,391,861.47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384A62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8,554,674.50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E79B30"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159,429,778.45</w:t>
            </w:r>
          </w:p>
        </w:tc>
      </w:tr>
      <w:tr w:rsidR="00E32FE0" w:rsidRPr="005B5EC1" w14:paraId="1B02F048"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F55AC02"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4B4B690"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75,122,255.15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CC87C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68,678,207.44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882CD58"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3,682,779.89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D0C64D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3,391,861.47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F85449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8,554,674.50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6A5A04A"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159,429,778.45</w:t>
            </w:r>
          </w:p>
        </w:tc>
      </w:tr>
      <w:tr w:rsidR="00E32FE0" w:rsidRPr="005B5EC1" w14:paraId="718B27AA"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AC8B2E0" w14:textId="77777777" w:rsidR="00E32FE0" w:rsidRPr="005B5EC1" w:rsidRDefault="00E32FE0" w:rsidP="00EB16D7">
            <w:pPr>
              <w:spacing w:after="0" w:line="276" w:lineRule="auto"/>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0832878"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2B46F6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F231DF4"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4121CA"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AB9F782"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5907C1"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154451E1"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7D9993"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77956C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4,145,592.51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502B08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10,193,540.02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3A867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1,160,296.70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45DDF1"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2,345,928.89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E606EC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1,608,706.18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486750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19,454,064.30</w:t>
            </w:r>
          </w:p>
        </w:tc>
      </w:tr>
      <w:tr w:rsidR="00E32FE0" w:rsidRPr="005B5EC1" w14:paraId="1BA43644"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905F163"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）处置或报废</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40A5C32"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51,791.61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C7FE678"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1,453,263.79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1B9709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1,036,434.25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222543D"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2,028,153.89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A065EC9"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1,104,838.93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6F087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5,674,482.47</w:t>
            </w:r>
          </w:p>
        </w:tc>
      </w:tr>
      <w:tr w:rsidR="00E32FE0" w:rsidRPr="005B5EC1" w14:paraId="3B61DB98"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5C2864E"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）企业合并减少</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2A714C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4,047,831.16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ED4B521"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8,740,276.23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1356FD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123,862.45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1174A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317,775.00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AB5C49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503,867.25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438568"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13,733,612.09</w:t>
            </w:r>
          </w:p>
        </w:tc>
      </w:tr>
      <w:tr w:rsidR="00E32FE0" w:rsidRPr="005B5EC1" w14:paraId="3BF537A4"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3236E1"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）转入在建工程</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570155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45,969.74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EFFFB4"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D316659"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B302286"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0A93F61"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F137C4"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45,969.74</w:t>
            </w:r>
          </w:p>
        </w:tc>
      </w:tr>
      <w:tr w:rsidR="00E32FE0" w:rsidRPr="005B5EC1" w14:paraId="0567DDA4"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645576"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2F6344"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454,430,453.36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9FFE18D"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479,165,994.38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87C9A65"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40,554,794.37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F3BC2B3"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27,997,206.91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2A914BC"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58,730,139.94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B8D439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1,060,878,588.96</w:t>
            </w:r>
          </w:p>
        </w:tc>
      </w:tr>
      <w:tr w:rsidR="00E32FE0" w:rsidRPr="005B5EC1" w14:paraId="23951550"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CAE9CDD"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C4C4A4"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4B8B940"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DA76E6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B43D21D"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3E09B2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ADAB64"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307BBDA1"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5F6CD0"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CDE3DB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4F3046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1,042,863.08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9FDAD19"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18,326.22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3E6A0A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63,289.01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1AEEBC9"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138,658.26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E9836D0"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1,263,136.57</w:t>
            </w:r>
          </w:p>
        </w:tc>
      </w:tr>
      <w:tr w:rsidR="00E32FE0" w:rsidRPr="005B5EC1" w14:paraId="1F8C4A5E"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6268AE7"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FAB8959"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2C0F578"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F95EA23"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5442FF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3F1A645"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848918"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7C1457C3"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40DBA29"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DAB91B4"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A01AC4A"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D3B5D22"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970E1C8"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A927606"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FC678C7"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134FE9EB"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377BC37" w14:textId="77777777" w:rsidR="00E32FE0" w:rsidRPr="005B5EC1" w:rsidRDefault="00E32FE0" w:rsidP="00EB16D7">
            <w:pPr>
              <w:spacing w:after="0" w:line="276" w:lineRule="auto"/>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37C64DF"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6367F27"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3B8C13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1D9A18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5171250"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1263F1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38053FDB"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BCDA08D"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A954CA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AAF0F1"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4EA4FE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C091309"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32C1550"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3A7E1F"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1E4C53EE"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C6F912C"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）处置或报废</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210BF2"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D3F6EA"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BB44B18"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EB1BA9F"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3515CF9"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6895E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60CC1C50"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3C9917" w14:textId="77777777" w:rsidR="00E32FE0" w:rsidRPr="005B5EC1" w:rsidRDefault="00E32FE0" w:rsidP="00EB16D7">
            <w:pPr>
              <w:spacing w:after="0" w:line="276" w:lineRule="auto"/>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CC9FA12"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B8B61FA"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D3A7AB4"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7821EC9"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5E3E53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2DDC49B"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2E511498"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1671723"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AEF46A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8770DBA"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1,042,863.08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A5658DC"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18,326.22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D9BC3EB"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63,289.01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B7D99A"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138,658.26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23AA81"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1,263,136.57</w:t>
            </w:r>
          </w:p>
        </w:tc>
      </w:tr>
      <w:tr w:rsidR="00E32FE0" w:rsidRPr="005B5EC1" w14:paraId="115BDE73"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8FDD43"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5284F92"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681742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F52978C"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E8CAE59"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6097A07"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49B3563" w14:textId="77777777" w:rsidR="00E32FE0" w:rsidRPr="005B5EC1" w:rsidRDefault="00E32FE0" w:rsidP="00EB16D7">
            <w:pPr>
              <w:spacing w:after="0" w:line="276" w:lineRule="auto"/>
              <w:jc w:val="right"/>
              <w:rPr>
                <w:rFonts w:ascii="Times New Roman" w:eastAsia="宋体" w:hAnsi="Times New Roman" w:cs="Times New Roman"/>
                <w:sz w:val="18"/>
                <w:szCs w:val="18"/>
              </w:rPr>
            </w:pPr>
          </w:p>
        </w:tc>
      </w:tr>
      <w:tr w:rsidR="00E32FE0" w:rsidRPr="005B5EC1" w14:paraId="4EAE4128"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C71A032"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E1B5D6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1,760,372,254.48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DB1DF1"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575,668,168.16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18AB8C"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7,226,672.00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47A039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5,782,822.85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E85047"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20,459,924.20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65CBC3D"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2,369,509,841.69</w:t>
            </w:r>
          </w:p>
        </w:tc>
      </w:tr>
      <w:tr w:rsidR="00E32FE0" w:rsidRPr="005B5EC1" w14:paraId="35B65EB7"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0682F0" w14:textId="77777777" w:rsidR="00E32FE0" w:rsidRPr="005B5EC1" w:rsidRDefault="00000000" w:rsidP="00EB16D7">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AD9D7C7"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1,171,868,423.28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37B5AE"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476,420,809.28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E417328"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8,977,074.73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EBA00D"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9,344,697.16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67C706"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26,328,152.44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4B02C8" w14:textId="77777777" w:rsidR="00E32FE0" w:rsidRPr="005B5EC1" w:rsidRDefault="00000000" w:rsidP="00EB16D7">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1,692,939,156.89</w:t>
            </w:r>
          </w:p>
        </w:tc>
      </w:tr>
    </w:tbl>
    <w:p w14:paraId="305C64D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92" w:name="_Toc989218"/>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暂时闲置的固定资产情况</w:t>
      </w:r>
      <w:bookmarkEnd w:id="292"/>
    </w:p>
    <w:p w14:paraId="298D85DF" w14:textId="77777777" w:rsidR="00446468" w:rsidRDefault="00446468" w:rsidP="00446468">
      <w:pPr>
        <w:spacing w:before="40" w:after="40" w:line="240" w:lineRule="exact"/>
        <w:rPr>
          <w:rFonts w:ascii="Times New Roman" w:eastAsia="宋体" w:hAnsi="Times New Roman" w:cs="Times New Roman"/>
          <w:sz w:val="18"/>
          <w:szCs w:val="18"/>
        </w:rPr>
      </w:pPr>
      <w:bookmarkStart w:id="293" w:name="_Toc989219"/>
      <w:r>
        <w:rPr>
          <w:rFonts w:ascii="Times New Roman" w:eastAsia="宋体" w:hAnsi="Times New Roman" w:cs="Times New Roman" w:hint="eastAsia"/>
          <w:sz w:val="18"/>
          <w:szCs w:val="18"/>
        </w:rPr>
        <w:t>无</w:t>
      </w:r>
    </w:p>
    <w:p w14:paraId="603F603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通过经营租赁租出的固定资产</w:t>
      </w:r>
      <w:bookmarkEnd w:id="293"/>
    </w:p>
    <w:p w14:paraId="7A5BFE97"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1417B9AD" w14:textId="77777777" w:rsidTr="00EB16D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642DF6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E81C96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期末账面价值</w:t>
            </w:r>
          </w:p>
        </w:tc>
      </w:tr>
      <w:tr w:rsidR="00E32FE0" w:rsidRPr="005B5EC1" w14:paraId="440F10F4" w14:textId="77777777" w:rsidTr="00EB16D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D3AEC1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房屋建筑物</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8807B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1,028,771.88</w:t>
            </w:r>
          </w:p>
        </w:tc>
      </w:tr>
      <w:tr w:rsidR="00E32FE0" w:rsidRPr="005B5EC1" w14:paraId="42EE7ACF" w14:textId="77777777" w:rsidTr="00EB16D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10A3B9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机器设备</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09D70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10,106.29</w:t>
            </w:r>
          </w:p>
        </w:tc>
      </w:tr>
      <w:tr w:rsidR="00E32FE0" w:rsidRPr="005B5EC1" w14:paraId="5F5E5879" w14:textId="77777777" w:rsidTr="00EB16D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1EA2B0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运输设备</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F8228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64,201.68</w:t>
            </w:r>
          </w:p>
        </w:tc>
      </w:tr>
      <w:tr w:rsidR="00E32FE0" w:rsidRPr="005B5EC1" w14:paraId="6E05CABF" w14:textId="77777777" w:rsidTr="00EB16D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174F09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E3E10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1,103,079.85</w:t>
            </w:r>
          </w:p>
        </w:tc>
      </w:tr>
    </w:tbl>
    <w:p w14:paraId="6F3FE5D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94" w:name="_Toc989220"/>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未办妥产权证书的固定资产情况</w:t>
      </w:r>
      <w:bookmarkEnd w:id="294"/>
    </w:p>
    <w:p w14:paraId="01623F75"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0440223" w14:textId="77777777" w:rsidTr="00EB16D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291BD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1D9A4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7B4DB0B" w14:textId="77777777" w:rsidR="00E32FE0" w:rsidRPr="005B5EC1" w:rsidRDefault="00000000" w:rsidP="00EB16D7">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未办妥产权证书的原因</w:t>
            </w:r>
          </w:p>
        </w:tc>
      </w:tr>
      <w:tr w:rsidR="00E32FE0" w:rsidRPr="005B5EC1" w14:paraId="1A77C444" w14:textId="77777777" w:rsidTr="00EB16D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12BF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低温冷冻深加工车间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641A4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272,257,464.83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F506678" w14:textId="77777777" w:rsidR="00E32FE0" w:rsidRPr="005B5EC1" w:rsidRDefault="00000000" w:rsidP="00EB16D7">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正在办理中</w:t>
            </w:r>
          </w:p>
        </w:tc>
      </w:tr>
    </w:tbl>
    <w:p w14:paraId="7FB120C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4943FF83" w14:textId="77777777" w:rsidR="00E32FE0" w:rsidRPr="005B5EC1" w:rsidRDefault="00E32FE0">
      <w:pPr>
        <w:rPr>
          <w:rFonts w:ascii="Times New Roman" w:hAnsi="Times New Roman" w:cs="Times New Roman"/>
        </w:rPr>
      </w:pPr>
    </w:p>
    <w:p w14:paraId="50AE107E"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95" w:name="_Toc98922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固定资产的减值测试情况</w:t>
      </w:r>
      <w:bookmarkEnd w:id="295"/>
    </w:p>
    <w:p w14:paraId="40BB8BB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5EAB793"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96" w:name="_Toc989222"/>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6</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固定资产清理</w:t>
      </w:r>
      <w:bookmarkEnd w:id="296"/>
    </w:p>
    <w:p w14:paraId="05D1BF8A" w14:textId="77777777" w:rsidR="00AF139E" w:rsidRPr="005B5EC1" w:rsidRDefault="00000000">
      <w:pPr>
        <w:pStyle w:val="a3"/>
        <w:divId w:val="203176990"/>
        <w:rPr>
          <w:rFonts w:ascii="Times New Roman" w:hAnsi="Times New Roman" w:cs="Times New Roman"/>
          <w:sz w:val="18"/>
          <w:szCs w:val="18"/>
        </w:rPr>
      </w:pPr>
      <w:r w:rsidRPr="005B5EC1">
        <w:rPr>
          <w:rFonts w:ascii="Times New Roman" w:hAnsi="Times New Roman" w:cs="Times New Roman"/>
          <w:sz w:val="18"/>
          <w:szCs w:val="18"/>
        </w:rPr>
        <w:t>无</w:t>
      </w:r>
    </w:p>
    <w:p w14:paraId="5AADBF36" w14:textId="77777777" w:rsidR="00E32FE0" w:rsidRPr="005B5EC1" w:rsidRDefault="00000000">
      <w:pPr>
        <w:pStyle w:val="3"/>
        <w:spacing w:line="280" w:lineRule="exact"/>
        <w:jc w:val="left"/>
        <w:rPr>
          <w:rFonts w:ascii="Times New Roman" w:hAnsi="Times New Roman" w:cs="Times New Roman"/>
          <w:b/>
          <w:bCs/>
        </w:rPr>
      </w:pPr>
      <w:bookmarkStart w:id="297" w:name="_Toc989223"/>
      <w:r w:rsidRPr="005B5EC1">
        <w:rPr>
          <w:rFonts w:ascii="Times New Roman" w:hAnsi="Times New Roman" w:cs="Times New Roman"/>
          <w:b/>
          <w:bCs/>
        </w:rPr>
        <w:t>22</w:t>
      </w:r>
      <w:r w:rsidRPr="005B5EC1">
        <w:rPr>
          <w:rFonts w:ascii="Times New Roman" w:hAnsi="Times New Roman" w:cs="Times New Roman"/>
          <w:b/>
          <w:bCs/>
        </w:rPr>
        <w:t>、在建工程</w:t>
      </w:r>
      <w:bookmarkEnd w:id="297"/>
    </w:p>
    <w:p w14:paraId="568D6FA7"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4DE2B82A" w14:textId="77777777" w:rsidTr="00EB16D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B014F3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C4964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690037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2F96729F" w14:textId="77777777" w:rsidTr="00EB16D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BFF05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在建工程</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774CF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254,397,411.06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5269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919,386,014.19</w:t>
            </w:r>
          </w:p>
        </w:tc>
      </w:tr>
      <w:tr w:rsidR="00E32FE0" w:rsidRPr="005B5EC1" w14:paraId="757A72EF" w14:textId="77777777" w:rsidTr="00EB16D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9B7FA8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212F2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254,397,411.06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BF949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919,386,014.19</w:t>
            </w:r>
          </w:p>
        </w:tc>
      </w:tr>
    </w:tbl>
    <w:p w14:paraId="75981E4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98" w:name="_Toc98922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在建工程情况</w:t>
      </w:r>
      <w:bookmarkEnd w:id="298"/>
    </w:p>
    <w:p w14:paraId="67CD7EF3"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5CEE89FB" w14:textId="77777777" w:rsidTr="00EB16D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18C1A4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6D9D6A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E0BFCC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32EBAA1C" w14:textId="77777777" w:rsidTr="00EB16D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46305AE5" w14:textId="77777777" w:rsidR="00E32FE0" w:rsidRPr="005B5EC1" w:rsidRDefault="00E32FE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1BCE9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DD0868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3C62B4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47655A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ABF9C1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D3E45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r>
      <w:tr w:rsidR="00E32FE0" w:rsidRPr="005B5EC1" w14:paraId="7B1B8B1A"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5E9B91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土建工程</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6F1E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232,650,269.04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BFF1CB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4FE31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232,650,269.04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6ADFC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895,841,207.68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BB0F6E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FC2B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895,841,207.68</w:t>
            </w:r>
          </w:p>
        </w:tc>
      </w:tr>
      <w:tr w:rsidR="00E32FE0" w:rsidRPr="005B5EC1" w14:paraId="6EC15FCB"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B46AB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安装工程</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66EDB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21,747,142.02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5E7A25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24C43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21,747,142.02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BD691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23,544,806.51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776361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0688F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23,544,806.51</w:t>
            </w:r>
          </w:p>
        </w:tc>
      </w:tr>
      <w:tr w:rsidR="00E32FE0" w:rsidRPr="005B5EC1" w14:paraId="499310BC" w14:textId="77777777" w:rsidTr="00EB16D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84D67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23BC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254,397,411.06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FF94E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A424C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254,397,411.06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C6C25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919,386,014.19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BE4A1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D2257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919,386,014.19</w:t>
            </w:r>
          </w:p>
        </w:tc>
      </w:tr>
    </w:tbl>
    <w:p w14:paraId="29F5D1A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299" w:name="_Toc98922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重要在建工程项目本期变动情况</w:t>
      </w:r>
      <w:bookmarkEnd w:id="299"/>
    </w:p>
    <w:p w14:paraId="56785625"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112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851"/>
        <w:gridCol w:w="1268"/>
        <w:gridCol w:w="1275"/>
        <w:gridCol w:w="1134"/>
        <w:gridCol w:w="1143"/>
        <w:gridCol w:w="1027"/>
        <w:gridCol w:w="1276"/>
        <w:gridCol w:w="567"/>
        <w:gridCol w:w="425"/>
        <w:gridCol w:w="709"/>
        <w:gridCol w:w="567"/>
        <w:gridCol w:w="425"/>
        <w:gridCol w:w="458"/>
      </w:tblGrid>
      <w:tr w:rsidR="00E639FD" w:rsidRPr="005B5EC1" w14:paraId="48E55283"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18DB3E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项目名称</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43BF61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预算数</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B5DBC2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607390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本期增加金额</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E23586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本期转入固定资产金额</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D0303E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本期其他减少金额</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7B91C9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389BF3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工程累计投入占预算比例</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67A7BD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工程进度</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3ED206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利息资本化累计金额</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AFFCAB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其中：本期利息资本化金额</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211493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本期利息资本化率</w:t>
            </w: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C31ADC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资金来源</w:t>
            </w:r>
          </w:p>
        </w:tc>
      </w:tr>
      <w:tr w:rsidR="00E639FD" w:rsidRPr="005B5EC1" w14:paraId="4DE5D38D"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09B4F9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生食下货库改造</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14A4D0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A7A876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513,761.47</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9A82253"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239B52F"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AE8CB4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FCC334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513,761.47</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7D8BAC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35.43%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082722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761564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C377F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82A6E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EF0908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19963D79"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4F1A4C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生食蓄水池</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454A8CD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8097F8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4,328.20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F6D2D3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A6C570C"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954268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C56C13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4,328.20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74023D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0.29%</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2ABD16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0.0005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48D8E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5B2BA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4AA9F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40ABCAF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0767F48"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3C119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酱卤车间搬迁及真空车间改造项目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1F5AB9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3,610,000.00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8C3C3C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1,482,357.15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93A649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997,844.03</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030B5C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7BAD92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62A888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2,480,201.18</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8C4CCE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0F5B1A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0.96</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CAD37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C38D49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B3FAF4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534AA4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D3B109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CFD93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工厂直营冷鲜肉批零中心（莱阳工厂店）建</w:t>
            </w:r>
            <w:r w:rsidRPr="005B5EC1">
              <w:rPr>
                <w:rFonts w:ascii="Times New Roman" w:eastAsia="宋体" w:hAnsi="Times New Roman" w:cs="Times New Roman"/>
                <w:sz w:val="18"/>
                <w:szCs w:val="18"/>
              </w:rPr>
              <w:lastRenderedPageBreak/>
              <w:t>设项目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71F8E8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188,000.00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0AB001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34,495.41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B30788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150,946.97</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D8BE58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185,442.38</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AF023E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99E754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F05807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98.64%</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11DB84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C34845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5C5EF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57079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06EC2B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10571E20"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DF77BE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龙大美食数字化平台生食生产系统</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A58C54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3,720,000.00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A94FA6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732,743.36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057117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244,247.79</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744F59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B8E7E04"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485495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976,991.15</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85AE83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26.26%</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28C6C5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025FD8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C7C2A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2816B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A0441A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709611F3"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92B7A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批发部改造</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40E42E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22840F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146,974.40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D507F3F"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42E6CF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146,974.40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417A28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9C35B6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6956A8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D23E80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5881B9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19871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04784D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2BFBBD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3C1622EC"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83B983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预制菜研发检测车间项目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314BDA2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5FC4E3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20,361.93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B51D4E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2,634,951.88</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D623103"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0AFEFA7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2DB477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2,655,313.81</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150E4A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44.26%</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761182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2E8C4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6D663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9B4FF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FC6E39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41D25FF3"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846965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生食莱阳工厂蒸发冷凝器项目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7037DC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BFDD94C"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485F87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185,840.71</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6299245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185,840.71</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813681C"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B8DB97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711B68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80.80%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D94CCE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086CF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EE1C9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6FCEA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FCC75D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4597A58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EB7BDC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数字化费控管理系统</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9F74BB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F21551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CCA65D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104,716.98</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BB1C71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E2EA87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5F0206D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104,716.98</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BCE557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34.91%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5B2199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C8B87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FC8BA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298D3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C084D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616B1090"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5B53BA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信息技术开发项目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74BE3DD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1,440,000.00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1569E6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30855E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949,412.04</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61D42907"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336CE8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89DFAD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949,412.04</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FACF63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65.93%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96EED0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0.6</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F881D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3D530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4BE0B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9C4793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5CC4BEFC"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3675F7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生食血粉车间喷淋塔</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FC7564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D4635D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98C549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111,251.33</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7961CD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4DC505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30338A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111,251.33</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DA2369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37.08%</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3150E5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9D49F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CEBBE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AE587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28D2B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7B2D76BA"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2DFB89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西厂产品合并调理车间工程建筑安装和生产设备施工项目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BB95A0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2,430,000.00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0BFFBA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02684E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1,089,459.19</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30C6156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A2F9E5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FDADAA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1,089,459.19</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A03317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44.83%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78D017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77EE3C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9F58B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C042C3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7217FB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72B8271A"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A30C95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调理车间拉伸膜真空包装机项目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CA7D2C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349,000.00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D4D4E5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9C4499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92,654.87</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A47C660"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E92244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7864B4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92,654.87</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6029EF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26.55%</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D9917B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53075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F136A8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6EB36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89E79E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4B27206D"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DC0FEA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速冻库改造（二期）</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FF6A11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38EC75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750,861.10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781781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451,939.00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CE817D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EE86482"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464A64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1,202,800.10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44C67A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66.82%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2308A4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0.93</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B3539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3E90BE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E7B4A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3AE054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BF3442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713DA0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分割车间鲜品输送线</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F9F1B2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5E06E6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477,876.10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DF7F56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477,876.11</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C8D582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57C1980"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4EB1FF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955,752.21</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B35FFB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73.52%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1A14B6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3D79D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1BBFF6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441E2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0E9602B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566B6FDF"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E89866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进口肉类精深加工及调味品生产项目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6CF6AE4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208,380,200.00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E89D4B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117,578,983.61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8B1ECA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35,965,421.83</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CD0DF1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40C65E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AAF21D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153,544,405.44</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BB13E5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73.68%</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9B193A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C7963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6,435,483.51</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7E261D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4,580,564.23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2CFBC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2.98%</w:t>
            </w: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691E7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金融机构贷款</w:t>
            </w:r>
          </w:p>
        </w:tc>
      </w:tr>
      <w:tr w:rsidR="00E639FD" w:rsidRPr="005B5EC1" w14:paraId="6086D1B4"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2AFA25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黑龙江屠宰项目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6F3C5C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196,530,000.00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0F6A1E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5,028,081.40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0AD1EF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11,557,358.92</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3C8A991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15,165,417.75</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C20D93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339A0C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1,420,022.57</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4D9693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70.29%</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3A6B0B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CD704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FE3B4E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DA021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33E1A6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3E717E95"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F27D7C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巴中龙大生猪屠宰及加工项目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68D008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249,000,000.00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A58EBD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78,245,938.47</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05D746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18,930,118.64</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6C4825B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88,370,155.15</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6DC504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6CFF6E8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8,805,901.96</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E3F411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39.03%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BB14E3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C11C6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0F923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0E2EA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C50AFB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3693EF16"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311ED1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巴中龙大屠宰线成套设备</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1C0CEA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5,990,000.00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CC524A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5,603,982.30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21BECC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457F53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5,603,982.30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D675E8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1A149B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394C21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93.56%</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CE6244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40A75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048F6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A17F82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4498D79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A56FD9B"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447E5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巴中龙大制冷系统</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352AF73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11,000,000.00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C59F9F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5,844,930.93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2D7CA3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2,773,387.60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B760E2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8,618,318.53</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1B0ABEE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64A3C4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8F6FE2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78.35%</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681FFC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43D6F2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3DEBF9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3686D6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0838E93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3D2C191"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64BE0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巴中龙大泡沫清洗消毒系统</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67DD3EC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DBE763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23,539.82</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ECAFE7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94,159.29</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C91022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117,699.11</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20D8EB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D29649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805BC5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88.50%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F183A1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F7A4D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20818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B973A7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3AB0B0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1F9864C4"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758B01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巴中龙大屠宰项目锅炉系统</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068491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596,981.10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BC8859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528,301.86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6B9DF53"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3B95B7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528,301.86</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8F644F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AC15B3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6D4A3D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88.50%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69E7A0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8BC08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0AD6B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7F8ED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3AE44F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610367E7"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45E6D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巴中龙大废气处理设备</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58A47E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627,839.35</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4F4CA3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416,707.54</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DFDCE3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55,561.01</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CDDA71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472,268.55</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E610324"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5AC23C5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892B62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75.22%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F6274A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F22AC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02F1FB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AE0F47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30F67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D86D6B0"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AB5FC2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巴中龙大污水处理设备</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297724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1,855,770.49</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7090A2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1,231,706.08</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0D66E2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164,227.48</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D4BAF2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1,395,933.56</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B8BF3E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318418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497A24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75.22%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8385DE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577029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1AA4F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DB84D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293072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7A47087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8E6DE2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巴中屠宰项目</w:t>
            </w:r>
            <w:r w:rsidRPr="005B5EC1">
              <w:rPr>
                <w:rFonts w:ascii="Times New Roman" w:eastAsia="宋体" w:hAnsi="Times New Roman" w:cs="Times New Roman"/>
                <w:sz w:val="18"/>
                <w:szCs w:val="18"/>
              </w:rPr>
              <w:t>X</w:t>
            </w:r>
            <w:r w:rsidRPr="005B5EC1">
              <w:rPr>
                <w:rFonts w:ascii="Times New Roman" w:eastAsia="宋体" w:hAnsi="Times New Roman" w:cs="Times New Roman"/>
                <w:sz w:val="18"/>
                <w:szCs w:val="18"/>
              </w:rPr>
              <w:t>光机成套设备</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3BE54B3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564,000.00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6828C8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499,115.04</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9556524"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C15F0F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499,115.04</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10CA1A3C"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45D35D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6E7E60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88.50%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97081B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C2D4E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122C83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E683F8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058D0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B636691"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21BE43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巴中龙大熟食深加工项目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30EF3E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67,710,000.00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FB01AF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2086AF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5,650,256.27</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37FBBCA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70,643.22</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F820ED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B81223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5,579,613.05</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40A10A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8.24%</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12D1EB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0.3</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AFF78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5C12DB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F039F0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8F85F0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300E8D1"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F62914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巴中龙大熟食深加工制冷项目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36C516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25,998,590.00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D7A77A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E4D798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10,667,826.02</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D3C99B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8E2FC7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6FC576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10,667,826.02</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9B1825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41.03%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9E192A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0.6</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DC4DF9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4C2C7D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F7AA7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F71276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D676C3C"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4F06A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生食投资规划</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462BC82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258,102,400.00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8AB078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211,228,724.29</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44D24E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-6,068,423.85</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E8CAD3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158,788,598.56</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05DE2353"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5FDE2C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46,371,701.88</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7F2761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79.49%</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BA8285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0.92</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D216E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6A6465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3E614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CBB02C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4076F094"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3AFF3B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熟食投资规划</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40259CF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75,016,000.00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E04196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1,819,746.66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E507F6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6,020,427.17</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13488B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076E409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BB0551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7,840,173.83</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6BD3FB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10.45%</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541A8E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2F91E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A058FA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2651E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C56292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7C97599A"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DF8250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蓬莱工厂污水站应急池项目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3B1270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222,018.35</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E340FB0"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E4AB75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222,018.35</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63686DB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222,018.35</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84672B4"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1AB401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1C60D3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5F4E70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F5084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EF679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093E3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048BA72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6B5355A7"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55567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安丘晏峪养殖项目污水处理工程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48620BF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471FEA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350,768.62</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44383D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3D26B9D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11B4069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26D52A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350,768.62</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7099AC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5.57%</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684902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0.35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69AEE6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0B7BA4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3723B1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051C08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1EAC8460"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709CF5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西刘庄猪场</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4E6531F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B3AFBC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233,973,631.10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0DA688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63,457,724.49</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5E8A4F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297,431,355.59</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190E3C4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522A41E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A2E64C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198.29%</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0DBF7F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1C372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117,282,455.93</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1FA47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34,482,004.37</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98621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11.59%</w:t>
            </w: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9B8B96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5E2BB9E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B5F0AF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西刘庄猪场水井</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6833EF5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B716EA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1,287,256.00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9AF40F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35CB32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1,287,256.00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650B993"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1EC2C4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C6B342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99.02%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7BD656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7E836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27CBF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6D6EA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3DFE41B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738A71DE"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E86F9F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西刘庄猪场污水站</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B30D4B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B5D7C1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6,870,000.00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C6DA797"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35C318A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6,870,000.00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1895C5D7"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4D396A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44784C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99.57%</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6BE50D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E2F19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FE1BB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1ECAA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F51788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23583E09"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13F37C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西刘庄猪场燃气管道工程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14B96F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BEAB0F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351,000.00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5938830"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7DC637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351,000.00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CE0B7C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3F633B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729D93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B7E79C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E13AC7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3CC999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B2D04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4910C4B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70D7837A"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B509BA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小河北技改工程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E708BA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142,000.00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EAB00D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14B997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155,046.77</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C4B128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7132DD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65D29F1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155,046.77</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C2E3D9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109.19%</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4FD12C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BC66F7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6AE85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03495E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C68858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9B11E78"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6DBCDB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烘干设备</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96EC83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119,300.00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A0368F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FDF22D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95,440.00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E48CB8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9B5CFA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EEBA43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95,440.00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10893F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120984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A7FF0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9283A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76A40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22C547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7899D5A"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AEA8E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空气过滤设备</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4374301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873,252.06</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B652357"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209A3A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698,601.65</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6D8692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747DAEF"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AA6D8C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698,601.65</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DD6BE2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249CE0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47210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6EB1C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4A97F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0583ACD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605081F5"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5664DD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晏峪猪场土建技改工程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0C57AF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444,707.64</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30B163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B61316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468,113.30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AB1E177"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52354F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780680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468,113.30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4244AA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105.26%</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F51E97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477A9B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DB7BA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C7CE6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E9BF69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71E79461"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B96723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w:t>
            </w:r>
            <w:r w:rsidRPr="005B5EC1">
              <w:rPr>
                <w:rFonts w:ascii="Times New Roman" w:eastAsia="宋体" w:hAnsi="Times New Roman" w:cs="Times New Roman"/>
                <w:sz w:val="18"/>
                <w:szCs w:val="18"/>
              </w:rPr>
              <w:t>3000T</w:t>
            </w:r>
            <w:r w:rsidRPr="005B5EC1">
              <w:rPr>
                <w:rFonts w:ascii="Times New Roman" w:eastAsia="宋体" w:hAnsi="Times New Roman" w:cs="Times New Roman"/>
                <w:sz w:val="18"/>
                <w:szCs w:val="18"/>
              </w:rPr>
              <w:t>冷藏库及附属设施建设项目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5A781A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26,153,410.00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625412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E404C9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1,939,954.72</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3C6AF7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1,939,954.72</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8456E9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AB1AB2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D006F8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111.05%</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4C479C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07F621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1E2CDB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4F9E8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24AFD6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1D8E147"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C34502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分割间顶棚更换吊顶项目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DF3352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64A8B8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4D7B80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209,734.51</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62BA987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209,734.51</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B76E29F"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AE0B0C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8E9780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80.67%</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FAFCE2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683E3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CC5A1E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4E020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54276E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F58C17D"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847145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水质在线</w:t>
            </w:r>
            <w:r w:rsidRPr="005B5EC1">
              <w:rPr>
                <w:rFonts w:ascii="Times New Roman" w:eastAsia="宋体" w:hAnsi="Times New Roman" w:cs="Times New Roman"/>
                <w:sz w:val="18"/>
                <w:szCs w:val="18"/>
              </w:rPr>
              <w:lastRenderedPageBreak/>
              <w:t>检测项目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9E44C9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150,000.00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65BE8F2"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F04517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77,041.25</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3B571D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77,041.25</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2DCD60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D0C196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4380B5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51.36%</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517F0E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281C8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7E757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10C2E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3B7269F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33F05144"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B03A32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工厂除臭管道更换工程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5984CE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ECB9D2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4599DF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88,875.42</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D0DE5AC"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0930C257"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E9C48B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88,875.42</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C9D73E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55.55%</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F7481A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39F56A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2CC6DA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796AA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A11477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150A07FC"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56A62C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待宰栏新建钢结构雨棚项目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7D5CA4F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632744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8A4612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100,793.24</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52FCAF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58A4F9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61CBA0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100,793.24</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719C51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67.20%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2AB94D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B79FB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1BFF5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C2C7E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41FFFFE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4F7EB5D4"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CE0FCB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乔家泊饲料厂技改土建工程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E4B5B0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BF0335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420,800.00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8EEB752"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8FBA46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8DEAE3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1CDCFD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420,800.00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FAC3C5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80.92%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D945E8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FFC2B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82B21D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9BEE2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B113DD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C72624B"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B12537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乔家泊饲料厂办公室改造工程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919DB9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0093ED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DBD816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633,600.00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A1ADD9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3B4672F"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6AE77B3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633,600.00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D6F0B0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79.20%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806025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994FA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34CB01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00D00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3DCAE9A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5AF87EE"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B319A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东饲料厂粉尘防爆改造</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7907F15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0C227D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196,540.00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37F348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20FF01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196,540.00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879BD4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15F256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A2BE89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89.34%</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186DDD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DF889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2C091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089827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365F6B9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3F7A8F35"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9FE6F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乔家泊燃气站数智化改造工程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70F5666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165A27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31628D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380,000.00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42A6F4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380,000.00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AFB5A6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7C7CB9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6DA5AF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1E079E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BB1EB1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394861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3E98E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021A21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840DD3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5BD4C0D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团旺饲料厂散装钢板仓</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BF7E29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3FBD4BF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735,000.00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C18460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514,500.00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A42773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1,249,500.00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52E3830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D271A9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0339AF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85.00%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6CC276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11187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8981D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EBE527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66DAAD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306E198A"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B7272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西饲料厂粉尘防爆改造</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30A9E4D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0BC7D2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293,460.00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A18DB83"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6AA14D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293,460.00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5EE891F"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6B0F3E4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2D4353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97.82%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209F3D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2DB704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76FBF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504B66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0D542B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5A53465B"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AD684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杨格庄预处理中心</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62A7B84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755C90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255,662.80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10DB25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7,907.09</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58062B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263,569.89</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956F00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5742FA3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F85AFE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87.86%</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6B9F2E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6A96F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D1EAF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D5160E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5FF9DB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5207570F"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7BF04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王宋预处理中心</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060C1FC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A2BC4B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156,000.00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C26C63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68F4A7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12282480"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90D0C9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156,000.00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4A9626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1322B2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CADF6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8E1A71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3D49D1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E9B2C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7B976EF"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EA3C09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团旺饲料厂土建技改工程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6B1FB75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3AC9933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342,000.00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220B21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241,200.00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B5DF14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DFE1C7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896DBB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583,200.00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E78F20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97.20%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0EA910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0.87</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1CA64E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C8EB8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A472A9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73A6EC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2FA160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11454B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崔格庄土建技改工程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3403AD0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C12B63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360,000.00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4E47A4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217,950.05</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C33AEA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577,950.05</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5C0846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5A52D2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CC3008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96.33%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FF8D59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827272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115AB4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757BD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C04E6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49FB5849"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F2AEE5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龙口服务部技改工程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3D057DF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6BEEDE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87,087.28</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5B8DFE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60,545.33</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073655C"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604413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147,632.61</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5C4740D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4901C4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73.82%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798A56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60E5EA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052C8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2EE0B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013E317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E443701"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A76D4D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王宋一技改工程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4BCF99B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648CD0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104,056.61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1EDA32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499493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79A9D5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193153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104,056.61</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2A15CB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34.69%</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36F60E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2E558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372DE8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8CEBF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E9B136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12E532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9FEDA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王宋预处理技改</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70FE64D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A6FEF2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117,543.39</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335F9F0"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8C25F6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3D3C060"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D87EC4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117,543.39</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281467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39.18%</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4797D8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3D086C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1CF03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DBE11E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6FC2045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65CADC65"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937EFD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光山技改工程（洗车棚）</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1F885D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42,700.00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634392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C81DDD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42,000.00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D287C4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534EE0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A9CB03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42,000.00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8217C8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98.36%</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7B44B7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AC02C6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9748E9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78FE8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06C59AA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6000426B"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27605D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烘干设备</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74CA688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69,500.00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41842E8"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1CB858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66,025.00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7CECF0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53E84B5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19ED0E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66,025.00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4C1CDC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A00B95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0.95</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8D31B3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5C7FA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3DA365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5635D5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135CF5B8"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500FA1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饲料厂钢结构大棚</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186D11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170,600.00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C105AE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A7C8AA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170,516.00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36DF81E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170,516.00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78864D3"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690B29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81F3C3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99.95%</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15503A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57943F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831BD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749C9E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44D3FB5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64416C80"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04B5C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苟格庄猪场</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62961D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185,831,700.00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C9C256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147,166,064.08</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D53397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3,119,052.65</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CD005F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150,285,116.73</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3817AA4"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94AE25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8D9C15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80.87%</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4DB77C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28FF9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852FC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2A260D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A69B49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54F5E0FE"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CEC696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苟格庄猪场水井</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4956F4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1,060,936.00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3DA301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960,936.00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4729DA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C178A6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960,936.00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E247C3C"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68BEF13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037FE7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90.57%</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F2A7D1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C0CBA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F5B100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3827C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4FDC64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36B3A510"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7C54D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苟格庄猪场道路</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673D464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1,038,088.42</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34BD2D9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1,824,088.42</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88BBF7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43E2E5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1,824,088.42</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084E38C"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651A5C2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F4F473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175.72%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F6D235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8F27A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95A36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4D6FD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6BCDE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050AFA2C"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4D033B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w:t>
            </w:r>
            <w:r w:rsidRPr="005B5EC1">
              <w:rPr>
                <w:rFonts w:ascii="Times New Roman" w:eastAsia="宋体" w:hAnsi="Times New Roman" w:cs="Times New Roman"/>
                <w:sz w:val="18"/>
                <w:szCs w:val="18"/>
              </w:rPr>
              <w:lastRenderedPageBreak/>
              <w:t>10KV</w:t>
            </w:r>
            <w:r w:rsidRPr="005B5EC1">
              <w:rPr>
                <w:rFonts w:ascii="Times New Roman" w:eastAsia="宋体" w:hAnsi="Times New Roman" w:cs="Times New Roman"/>
                <w:sz w:val="18"/>
                <w:szCs w:val="18"/>
              </w:rPr>
              <w:t>线路工程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625D230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502,000.00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A16008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502,000.00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91E7F2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201B62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502,000.00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66B65AC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CC53EE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60A65F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r w:rsidRPr="005B5EC1">
              <w:rPr>
                <w:rFonts w:ascii="Times New Roman" w:eastAsia="宋体" w:hAnsi="Times New Roman" w:cs="Times New Roman"/>
                <w:sz w:val="18"/>
                <w:szCs w:val="18"/>
              </w:rPr>
              <w:lastRenderedPageBreak/>
              <w:t>%</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7F6133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64CDD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DDD6F7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30A66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4112B08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w:t>
            </w:r>
            <w:r w:rsidRPr="005B5EC1">
              <w:rPr>
                <w:rFonts w:ascii="Times New Roman" w:eastAsia="宋体" w:hAnsi="Times New Roman" w:cs="Times New Roman"/>
                <w:sz w:val="18"/>
                <w:szCs w:val="18"/>
              </w:rPr>
              <w:lastRenderedPageBreak/>
              <w:t>资金</w:t>
            </w:r>
          </w:p>
        </w:tc>
      </w:tr>
      <w:tr w:rsidR="00E639FD" w:rsidRPr="005B5EC1" w14:paraId="64E174D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12C2D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苟格庄</w:t>
            </w:r>
            <w:r w:rsidRPr="005B5EC1">
              <w:rPr>
                <w:rFonts w:ascii="Times New Roman" w:eastAsia="宋体" w:hAnsi="Times New Roman" w:cs="Times New Roman"/>
                <w:sz w:val="18"/>
                <w:szCs w:val="18"/>
              </w:rPr>
              <w:t>10KV</w:t>
            </w:r>
            <w:r w:rsidRPr="005B5EC1">
              <w:rPr>
                <w:rFonts w:ascii="Times New Roman" w:eastAsia="宋体" w:hAnsi="Times New Roman" w:cs="Times New Roman"/>
                <w:sz w:val="18"/>
                <w:szCs w:val="18"/>
              </w:rPr>
              <w:t>配电室</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66D18E4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1,726,250.29</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04B137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1,726,250.29</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B3619B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58458E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1,726,250.29</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5153088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97A295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E9188D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03C430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2E52F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D5B28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D2A8DA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34881D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7590CCF8"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84B7F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苟格庄猪场污水站</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436CB13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11,230,000.00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3BD831E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10,204,000.00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FFF1BF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8E1DE8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10,204,000.00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C21BED2"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35A274D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468AA4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90.86%</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E5947A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21E8D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92E5F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30D8F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A45747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59AF7B33"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F142F9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苟格庄猪场土石方</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472AA7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E0285A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5,200,000.00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1CF0DA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0F4B5DF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5,200,000.00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595FA8B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5D836D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2BDB9F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3931D7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DDEC3B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607EB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8D4E1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49D05DE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0A5546A6"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C163F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东院西夼猪场</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3C8641E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40,000,000.00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59B6D8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119,495.20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6C66EE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242,000.00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5993BA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361,495.20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129173AC"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10F3B6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067389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65.95%</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2F3901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4EC817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02FF01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A1AD3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233050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0F6B7881"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48405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苟格庄猪场消纳水管道建设安装工程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7C0C1C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18D6643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3CEFD3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794,000.00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66D567D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23FDB84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5793BB2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794,000.00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97FEA4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82.71%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B4BDCE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866FA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1A556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F0556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AC9165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65D80AE6"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8FA9F7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苟格庄分娩舍粪沟防水处理</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31C37CD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3398B57F"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47792D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49,160.08</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7A4A1E4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087926A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2ACD5F0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49,160.08</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3C3D23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A64115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0.2</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BFA51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D2326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87CBAE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41C1ED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7940716F"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C270FD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苟格庄猪场烘干设备采购</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71988A3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193,500.00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3FB66A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E9CF1B3"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193,500.00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5F1373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193,500.00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51E12FD9"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6F56801"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FA3D5D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B4F6D0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11669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3E5C98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170CA4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F0E0E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3BE7C795"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84C95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苟格庄空气过滤设备安装</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6D16EC7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2,190,000.00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37B145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3C7DF3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1,752,000.01</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65CB0EC1"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A01F0C8"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77F0D5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1,752,000.01</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030610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B083FC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0.8</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684CD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FC6D7C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A50BE3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469E246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45A292BA"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5E0672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莱阳猪场</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4CE1728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FF42D9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976,047.51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586C82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983,088.36</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EBA9F7F"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48859E9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922877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1,959,135.87</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CB47E7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364233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0.3</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3A9126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83511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6E9779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259E515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B15B8D4"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8E3BE8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马台石猪场</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4118D3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138,837,400.00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0639C6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53,928,979.34</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874B779"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9,747,068.51</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0AF676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63,676,047.85</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741FFC4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A1EA37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471B40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118.41%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913E89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BCF2C0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5D982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47066E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3728962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796B3EA5"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B6062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马台石猪场污水站</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3BA604C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11,600,000.00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6B12CDF7"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13,685,830.43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B745DF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A46840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13,685,830.43</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0E45026D"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87AD45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B2FA3D4"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117.98%</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DACE0A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0C32F1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96E94F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25507F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531F78D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69C924AE"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224F33C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马台石猪场挡土墙工程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382529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6,260,000.00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9A7BAB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4,978,000.00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2B286A6"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5E4606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4,978,000.00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554126F"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554082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33CAE770"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79.52%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0A1D90F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B4F7FC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3E55D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314DE0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13ACDDE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募集资金</w:t>
            </w:r>
          </w:p>
        </w:tc>
      </w:tr>
      <w:tr w:rsidR="00E639FD" w:rsidRPr="005B5EC1" w14:paraId="282BFFB3"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491118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加工间制冷机组安装工程</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2C5A84F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27AAF907"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520557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201,273.56</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47B7A7E"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016F975"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7C6CD47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201,273.56</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620E18D"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85.65%</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679E11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CBE48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AF76D6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612C6D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006119E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247AFCE2"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AFD39C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制冷风机移位项目</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1F9DDDD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220,000.00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0655099B"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75E3A2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194,690.26</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4E8CE04"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32345AFA" w14:textId="77777777" w:rsidR="00E32FE0" w:rsidRPr="005B5EC1" w:rsidRDefault="00E32FE0" w:rsidP="00EB16D7">
            <w:pPr>
              <w:spacing w:after="0" w:line="240" w:lineRule="exact"/>
              <w:jc w:val="right"/>
              <w:rPr>
                <w:rFonts w:ascii="Times New Roman" w:eastAsia="宋体" w:hAnsi="Times New Roman" w:cs="Times New Roman"/>
                <w:sz w:val="18"/>
                <w:szCs w:val="18"/>
              </w:rPr>
            </w:pP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1D92F566"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194,690.26</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29DD15F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88.50%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21A031EC"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0.9</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9A7DD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7D6915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5D9345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5CBBF6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r>
      <w:tr w:rsidR="00E639FD" w:rsidRPr="005B5EC1" w14:paraId="7A498204" w14:textId="77777777" w:rsidTr="00E639FD">
        <w:trPr>
          <w:trHeight w:val="240"/>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D44269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268" w:type="dxa"/>
            <w:tcBorders>
              <w:top w:val="single" w:sz="2" w:space="0" w:color="auto"/>
              <w:left w:val="single" w:sz="2" w:space="0" w:color="auto"/>
              <w:bottom w:val="single" w:sz="2" w:space="0" w:color="auto"/>
              <w:right w:val="single" w:sz="2" w:space="0" w:color="auto"/>
            </w:tcBorders>
            <w:shd w:val="clear" w:color="auto" w:fill="auto"/>
            <w:vAlign w:val="center"/>
          </w:tcPr>
          <w:p w14:paraId="5A8878EB"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1,765,254,143.70</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4093ACF5"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919,386,014.19</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C5F07D2"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180,424,881.88</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64BBF4CE"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845,265,852.40</w:t>
            </w:r>
          </w:p>
        </w:tc>
        <w:tc>
          <w:tcPr>
            <w:tcW w:w="1027" w:type="dxa"/>
            <w:tcBorders>
              <w:top w:val="single" w:sz="2" w:space="0" w:color="auto"/>
              <w:left w:val="single" w:sz="2" w:space="0" w:color="auto"/>
              <w:bottom w:val="single" w:sz="2" w:space="0" w:color="auto"/>
              <w:right w:val="single" w:sz="2" w:space="0" w:color="auto"/>
            </w:tcBorders>
            <w:shd w:val="clear" w:color="auto" w:fill="auto"/>
            <w:vAlign w:val="center"/>
          </w:tcPr>
          <w:p w14:paraId="19AB63DF"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147,632.61</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5F231E1A" w14:textId="77777777" w:rsidR="00E32FE0" w:rsidRPr="005B5EC1" w:rsidRDefault="00000000" w:rsidP="00EB16D7">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254,397,411.06</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146BF35" w14:textId="77777777" w:rsidR="00E32FE0" w:rsidRPr="005B5EC1" w:rsidRDefault="00E32FE0" w:rsidP="00EB16D7">
            <w:pPr>
              <w:jc w:val="right"/>
              <w:rPr>
                <w:rFonts w:ascii="Times New Roman" w:hAnsi="Times New Roman" w:cs="Times New Roman"/>
              </w:rPr>
            </w:pP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72224671" w14:textId="77777777" w:rsidR="00E32FE0" w:rsidRPr="005B5EC1" w:rsidRDefault="00E32FE0" w:rsidP="00EB16D7">
            <w:pPr>
              <w:jc w:val="right"/>
              <w:rPr>
                <w:rFonts w:ascii="Times New Roman" w:hAnsi="Times New Roman" w:cs="Times New Roman"/>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7F556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123,717,939.44</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09FEE4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39,062,568.60</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128793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458" w:type="dxa"/>
            <w:tcBorders>
              <w:top w:val="single" w:sz="2" w:space="0" w:color="auto"/>
              <w:left w:val="single" w:sz="2" w:space="0" w:color="auto"/>
              <w:bottom w:val="single" w:sz="2" w:space="0" w:color="auto"/>
              <w:right w:val="single" w:sz="2" w:space="0" w:color="auto"/>
            </w:tcBorders>
            <w:shd w:val="clear" w:color="auto" w:fill="auto"/>
            <w:vAlign w:val="center"/>
          </w:tcPr>
          <w:p w14:paraId="763F6D1A" w14:textId="77777777" w:rsidR="00E32FE0" w:rsidRPr="005B5EC1" w:rsidRDefault="00E32FE0">
            <w:pPr>
              <w:rPr>
                <w:rFonts w:ascii="Times New Roman" w:hAnsi="Times New Roman" w:cs="Times New Roman"/>
              </w:rPr>
            </w:pPr>
          </w:p>
        </w:tc>
      </w:tr>
    </w:tbl>
    <w:p w14:paraId="710DD227"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00" w:name="_Toc98922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本期计提在建工程减值准备情况</w:t>
      </w:r>
      <w:bookmarkEnd w:id="300"/>
    </w:p>
    <w:p w14:paraId="3A44285D"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7E9D1A59"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3CD5DE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898A39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2C8999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B834F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9D54AD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6A4E2C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计提原因</w:t>
            </w:r>
          </w:p>
        </w:tc>
      </w:tr>
    </w:tbl>
    <w:p w14:paraId="6C08C6A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7BA24D4" w14:textId="77777777" w:rsidR="00AF139E" w:rsidRPr="005B5EC1" w:rsidRDefault="00000000">
      <w:pPr>
        <w:pStyle w:val="a3"/>
        <w:divId w:val="999502009"/>
        <w:rPr>
          <w:rFonts w:ascii="Times New Roman" w:hAnsi="Times New Roman" w:cs="Times New Roman"/>
          <w:sz w:val="18"/>
          <w:szCs w:val="18"/>
        </w:rPr>
      </w:pPr>
      <w:r w:rsidRPr="005B5EC1">
        <w:rPr>
          <w:rFonts w:ascii="Times New Roman" w:hAnsi="Times New Roman" w:cs="Times New Roman"/>
          <w:sz w:val="18"/>
          <w:szCs w:val="18"/>
        </w:rPr>
        <w:t>无</w:t>
      </w:r>
    </w:p>
    <w:p w14:paraId="2B238DFE"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01" w:name="_Toc989227"/>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在建工程的减值测试情况</w:t>
      </w:r>
      <w:bookmarkEnd w:id="301"/>
    </w:p>
    <w:p w14:paraId="0E0B0CD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8F9279E"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02" w:name="_Toc989228"/>
      <w:r w:rsidRPr="005B5EC1">
        <w:rPr>
          <w:rFonts w:ascii="Times New Roman" w:eastAsia="宋体" w:hAnsi="Times New Roman" w:cs="Times New Roman"/>
          <w:b/>
          <w:bCs/>
          <w:sz w:val="21"/>
          <w:szCs w:val="21"/>
        </w:rPr>
        <w:lastRenderedPageBreak/>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工程物资</w:t>
      </w:r>
      <w:bookmarkEnd w:id="302"/>
    </w:p>
    <w:p w14:paraId="46A11FCC" w14:textId="77777777" w:rsidR="00AF139E" w:rsidRPr="005B5EC1" w:rsidRDefault="00000000">
      <w:pPr>
        <w:pStyle w:val="a3"/>
        <w:divId w:val="1080717227"/>
        <w:rPr>
          <w:rFonts w:ascii="Times New Roman" w:hAnsi="Times New Roman" w:cs="Times New Roman"/>
          <w:sz w:val="18"/>
          <w:szCs w:val="18"/>
        </w:rPr>
      </w:pPr>
      <w:r w:rsidRPr="005B5EC1">
        <w:rPr>
          <w:rFonts w:ascii="Times New Roman" w:hAnsi="Times New Roman" w:cs="Times New Roman"/>
          <w:sz w:val="18"/>
          <w:szCs w:val="18"/>
        </w:rPr>
        <w:t>无</w:t>
      </w:r>
    </w:p>
    <w:p w14:paraId="2E4DB0F9" w14:textId="77777777" w:rsidR="00E32FE0" w:rsidRPr="005B5EC1" w:rsidRDefault="00000000">
      <w:pPr>
        <w:pStyle w:val="3"/>
        <w:spacing w:line="280" w:lineRule="exact"/>
        <w:jc w:val="left"/>
        <w:rPr>
          <w:rFonts w:ascii="Times New Roman" w:hAnsi="Times New Roman" w:cs="Times New Roman"/>
          <w:b/>
          <w:bCs/>
        </w:rPr>
      </w:pPr>
      <w:bookmarkStart w:id="303" w:name="_Toc989229"/>
      <w:r w:rsidRPr="005B5EC1">
        <w:rPr>
          <w:rFonts w:ascii="Times New Roman" w:hAnsi="Times New Roman" w:cs="Times New Roman"/>
          <w:b/>
          <w:bCs/>
        </w:rPr>
        <w:t>23</w:t>
      </w:r>
      <w:r w:rsidRPr="005B5EC1">
        <w:rPr>
          <w:rFonts w:ascii="Times New Roman" w:hAnsi="Times New Roman" w:cs="Times New Roman"/>
          <w:b/>
          <w:bCs/>
        </w:rPr>
        <w:t>、生产性生物资产</w:t>
      </w:r>
      <w:bookmarkEnd w:id="303"/>
    </w:p>
    <w:p w14:paraId="758B0E7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04" w:name="_Toc989230"/>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采用成本计量模式的生产性生物资产</w:t>
      </w:r>
      <w:bookmarkEnd w:id="304"/>
    </w:p>
    <w:p w14:paraId="72B67BB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5DB4F3D2"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451DD528"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FA9F2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6B74E5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种植业</w:t>
            </w:r>
          </w:p>
        </w:tc>
        <w:tc>
          <w:tcPr>
            <w:tcW w:w="275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1443C0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畜牧养殖业</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C0287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林业</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3DD037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水产业</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0D9F87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r>
      <w:tr w:rsidR="00E32FE0" w:rsidRPr="005B5EC1" w14:paraId="633E97BC"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48736E7" w14:textId="77777777" w:rsidR="00E32FE0" w:rsidRPr="005B5EC1" w:rsidRDefault="00E32FE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51F2EA" w14:textId="77777777" w:rsidR="00E32FE0" w:rsidRPr="005B5EC1" w:rsidRDefault="00E32FE0">
            <w:pPr>
              <w:spacing w:after="0" w:line="240" w:lineRule="exact"/>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CE0E149"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成熟</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2F851C"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未成熟</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C1269F9" w14:textId="77777777" w:rsidR="00E32FE0" w:rsidRPr="005B5EC1" w:rsidRDefault="00E32FE0">
            <w:pPr>
              <w:spacing w:after="0" w:line="240" w:lineRule="exact"/>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785764" w14:textId="77777777" w:rsidR="00E32FE0" w:rsidRPr="005B5EC1" w:rsidRDefault="00E32FE0">
            <w:pPr>
              <w:spacing w:after="0" w:line="240" w:lineRule="exact"/>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8BD5A51" w14:textId="77777777" w:rsidR="00E32FE0" w:rsidRPr="005B5EC1" w:rsidRDefault="00E32FE0">
            <w:pPr>
              <w:rPr>
                <w:rFonts w:ascii="Times New Roman" w:hAnsi="Times New Roman" w:cs="Times New Roman"/>
              </w:rPr>
            </w:pPr>
          </w:p>
        </w:tc>
      </w:tr>
      <w:tr w:rsidR="00E32FE0" w:rsidRPr="005B5EC1" w14:paraId="4D70C494"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34FFDF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ECF7B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8C568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84077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C2A803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58605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91477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DB6F735"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323BC0"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42B3A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9789C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17,443,970.32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3131E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731,473.74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76E3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F0FE7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0259AF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18,175,444.06</w:t>
            </w:r>
          </w:p>
        </w:tc>
      </w:tr>
      <w:tr w:rsidR="00E32FE0" w:rsidRPr="005B5EC1" w14:paraId="0CDF5A4D"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F36814D"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90B20A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F114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28,685,302.27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DB48D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43,426,360.51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9598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00EFF3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6196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72,111,662.78</w:t>
            </w:r>
          </w:p>
        </w:tc>
      </w:tr>
      <w:tr w:rsidR="00E32FE0" w:rsidRPr="005B5EC1" w14:paraId="58852FC5"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97E674"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）外购</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170EFF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4B2D2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B3FE8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28,101,327.46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DBDF01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AB05A2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80568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28,101,327.46</w:t>
            </w:r>
          </w:p>
        </w:tc>
      </w:tr>
      <w:tr w:rsidR="00E32FE0" w:rsidRPr="005B5EC1" w14:paraId="58198C35"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8867C86"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）自行培育</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A63DFF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494FFC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28,685,302.27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32503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15,325,033.05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DF1206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67587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5E7C9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44,010,335.32</w:t>
            </w:r>
          </w:p>
        </w:tc>
      </w:tr>
      <w:tr w:rsidR="00E32FE0" w:rsidRPr="005B5EC1" w14:paraId="3797743A"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724B0FB"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5A6845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02F10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89099D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E6A6E0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40AC5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55EDF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19CCB3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5297D5"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3979A2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A0180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12,645,422.94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6AB2F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31,067,189.69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051BC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B07F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01C1D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43,712,612.63</w:t>
            </w:r>
          </w:p>
        </w:tc>
      </w:tr>
      <w:tr w:rsidR="00E32FE0" w:rsidRPr="005B5EC1" w14:paraId="6B490DC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72DF32C"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8D6BD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12400D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12,645,422.94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406F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2,381,887.42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F6DB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84EE35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5752C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15,027,310.36</w:t>
            </w:r>
          </w:p>
        </w:tc>
      </w:tr>
      <w:tr w:rsidR="00E32FE0" w:rsidRPr="005B5EC1" w14:paraId="1BA4FEE0"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A3A141"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C6E19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6D6EF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E9F40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28,685,302.27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E75F9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EF332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EF91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28,685,302.27</w:t>
            </w:r>
          </w:p>
        </w:tc>
      </w:tr>
      <w:tr w:rsidR="00E32FE0" w:rsidRPr="005B5EC1" w14:paraId="09490A61"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3D2A60D"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3390F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24AA5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CA7FB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366C3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86B77D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DE22F9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8F1C0F5"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21FE023"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BE681B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50A617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33,483,849.65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A4A81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13,090,644.56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744BF1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647F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181BB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46,574,494.21</w:t>
            </w:r>
          </w:p>
        </w:tc>
      </w:tr>
      <w:tr w:rsidR="00E32FE0" w:rsidRPr="005B5EC1" w14:paraId="2383DB6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D844BA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二、累计折旧</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57E9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94F4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761F1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3872A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37964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0EA2A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D17149D"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485EC39"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0C3F1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80E7E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8,059,222.23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F04DF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905DE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13932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A543F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8,059,222.23</w:t>
            </w:r>
          </w:p>
        </w:tc>
      </w:tr>
      <w:tr w:rsidR="00E32FE0" w:rsidRPr="005B5EC1" w14:paraId="73D9793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97E7F56"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4E7D7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D5025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6,115,690.88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6BC7E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8498DC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8D108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6317E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6,115,690.88</w:t>
            </w:r>
          </w:p>
        </w:tc>
      </w:tr>
      <w:tr w:rsidR="00E32FE0" w:rsidRPr="005B5EC1" w14:paraId="5BDE85A9"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90D67BC"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2518F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DF1A9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6,115,690.88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AFF60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21D24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1543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1D74E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6,115,690.88</w:t>
            </w:r>
          </w:p>
        </w:tc>
      </w:tr>
      <w:tr w:rsidR="00E32FE0" w:rsidRPr="005B5EC1" w14:paraId="1D911EED"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BA8D86"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D3FB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45457A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2B493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7D994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6D2F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4D369D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C43747B"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35C2331"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0BEF86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94B52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4,800,218.36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99926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6DB1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23AE43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5266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4,800,218.36</w:t>
            </w:r>
          </w:p>
        </w:tc>
      </w:tr>
      <w:tr w:rsidR="00E32FE0" w:rsidRPr="005B5EC1" w14:paraId="07527B51"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D8591D"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0DFA3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E9D8E6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4,800,218.36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D6CE5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5B4ED8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90924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EC2195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4,800,218.36</w:t>
            </w:r>
          </w:p>
        </w:tc>
      </w:tr>
      <w:tr w:rsidR="00E32FE0" w:rsidRPr="005B5EC1" w14:paraId="3D5A6807"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519710"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F1D02F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707F3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0A26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75B1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D1765D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5ABDD6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58D7B41"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055AEAE"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1B36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91079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80D74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348F2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665E1A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D8EACF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4A01D4D"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FBE676B"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69268E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9CF81F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9,374,694.75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8BAD4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2837DB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79BD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E62F0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9,374,694.75</w:t>
            </w:r>
          </w:p>
        </w:tc>
      </w:tr>
      <w:tr w:rsidR="00E32FE0" w:rsidRPr="005B5EC1" w14:paraId="07FF4F0C"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D91197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8AEC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69572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E657E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6AF23A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7F705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A99C3F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58A9E14"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88825F2"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A24A3A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A74F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5,078,043.58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FA986E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76,040.61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5A935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78739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ADA4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5,154,084.19</w:t>
            </w:r>
          </w:p>
        </w:tc>
      </w:tr>
      <w:tr w:rsidR="00E32FE0" w:rsidRPr="005B5EC1" w14:paraId="08AA32AB"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DF37FC"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B73AC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B7BC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6C5CC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D3084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95534A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D2739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3D41B30"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4667B6E"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99CC0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34202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FC321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F101E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E3035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04D7B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BDF466E"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23D183"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2956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4EBF46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0C4F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49A5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E6178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C5AA10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0DCB25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9DC41A"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w:t>
            </w:r>
            <w:r w:rsidRPr="005B5EC1">
              <w:rPr>
                <w:rFonts w:ascii="Times New Roman" w:eastAsia="宋体" w:hAnsi="Times New Roman" w:cs="Times New Roman"/>
                <w:sz w:val="18"/>
                <w:szCs w:val="18"/>
              </w:rPr>
              <w:lastRenderedPageBreak/>
              <w:t>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78E0A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4E49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1,907,075.00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062776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C8C189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59929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DD1E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1,907,075.00</w:t>
            </w:r>
          </w:p>
        </w:tc>
      </w:tr>
      <w:tr w:rsidR="00E32FE0" w:rsidRPr="005B5EC1" w14:paraId="34206D17"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B39532"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D6F58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3B0D0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1,907,075.00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2914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00DE7C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081E2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1D2EE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1,907,075.00</w:t>
            </w:r>
          </w:p>
        </w:tc>
      </w:tr>
      <w:tr w:rsidR="00E32FE0" w:rsidRPr="005B5EC1" w14:paraId="511C948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B05E8CA"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CC07AA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F2D45E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6DECF5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CC3EC3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4A67C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87D11B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5560550"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07C19F3"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FC5D9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A01D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0A47CD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5735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9A69C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7C82C3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6CB7137"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016B025"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704C5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C2E6C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3,170,968.58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FA71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76,040.61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E0BD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5DF13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9F569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3,247,009.19</w:t>
            </w:r>
          </w:p>
        </w:tc>
      </w:tr>
      <w:tr w:rsidR="00E32FE0" w:rsidRPr="005B5EC1" w14:paraId="2D91844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5C2F08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91F83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4ECC8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AC456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92AA49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3F8D6B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5254F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FFE53F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8D8DC3"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B843B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ADCE0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20,938,186.32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69C04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13,014,603.95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A6B69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5AF2D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C68EAA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33,952,790.27</w:t>
            </w:r>
          </w:p>
        </w:tc>
      </w:tr>
      <w:tr w:rsidR="00E32FE0" w:rsidRPr="005B5EC1" w14:paraId="34B54373"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AE91CE0"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05A2E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F47567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4,306,704.51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ECD69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655,433.13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947C70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1ABF4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CE0BC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4,962,137.64</w:t>
            </w:r>
          </w:p>
        </w:tc>
      </w:tr>
    </w:tbl>
    <w:p w14:paraId="28E973BC"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05" w:name="_Toc98923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采用成本计量模式的生产性生物资产的减值测试情况</w:t>
      </w:r>
      <w:bookmarkEnd w:id="305"/>
    </w:p>
    <w:p w14:paraId="1F09CEC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64EC68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06" w:name="_Toc989232"/>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采用公允价值计量模式的生产性生物资产</w:t>
      </w:r>
      <w:bookmarkEnd w:id="306"/>
    </w:p>
    <w:p w14:paraId="27238DF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A0979BF" w14:textId="77777777" w:rsidR="00E32FE0" w:rsidRPr="005B5EC1" w:rsidRDefault="00000000">
      <w:pPr>
        <w:pStyle w:val="3"/>
        <w:spacing w:line="280" w:lineRule="exact"/>
        <w:jc w:val="left"/>
        <w:rPr>
          <w:rFonts w:ascii="Times New Roman" w:hAnsi="Times New Roman" w:cs="Times New Roman"/>
          <w:b/>
          <w:bCs/>
        </w:rPr>
      </w:pPr>
      <w:bookmarkStart w:id="307" w:name="_Toc989233"/>
      <w:r w:rsidRPr="005B5EC1">
        <w:rPr>
          <w:rFonts w:ascii="Times New Roman" w:hAnsi="Times New Roman" w:cs="Times New Roman"/>
          <w:b/>
          <w:bCs/>
        </w:rPr>
        <w:t>24</w:t>
      </w:r>
      <w:r w:rsidRPr="005B5EC1">
        <w:rPr>
          <w:rFonts w:ascii="Times New Roman" w:hAnsi="Times New Roman" w:cs="Times New Roman"/>
          <w:b/>
          <w:bCs/>
        </w:rPr>
        <w:t>、油气资产</w:t>
      </w:r>
      <w:bookmarkEnd w:id="307"/>
    </w:p>
    <w:p w14:paraId="78905F6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5A85259" w14:textId="77777777" w:rsidR="00E32FE0" w:rsidRPr="005B5EC1" w:rsidRDefault="00000000">
      <w:pPr>
        <w:pStyle w:val="3"/>
        <w:spacing w:line="280" w:lineRule="exact"/>
        <w:jc w:val="left"/>
        <w:rPr>
          <w:rFonts w:ascii="Times New Roman" w:hAnsi="Times New Roman" w:cs="Times New Roman"/>
          <w:b/>
          <w:bCs/>
        </w:rPr>
      </w:pPr>
      <w:bookmarkStart w:id="308" w:name="_Toc989234"/>
      <w:r w:rsidRPr="005B5EC1">
        <w:rPr>
          <w:rFonts w:ascii="Times New Roman" w:hAnsi="Times New Roman" w:cs="Times New Roman"/>
          <w:b/>
          <w:bCs/>
        </w:rPr>
        <w:t>25</w:t>
      </w:r>
      <w:r w:rsidRPr="005B5EC1">
        <w:rPr>
          <w:rFonts w:ascii="Times New Roman" w:hAnsi="Times New Roman" w:cs="Times New Roman"/>
          <w:b/>
          <w:bCs/>
        </w:rPr>
        <w:t>、使用权资产</w:t>
      </w:r>
      <w:bookmarkEnd w:id="308"/>
    </w:p>
    <w:p w14:paraId="356C041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09" w:name="_Toc98923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使用权资产情况</w:t>
      </w:r>
      <w:bookmarkEnd w:id="309"/>
    </w:p>
    <w:p w14:paraId="0BE4AA97"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1E314AEF"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E710EF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258D93A"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5924D54"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土地</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8AD5F6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r>
      <w:tr w:rsidR="00E32FE0" w:rsidRPr="005B5EC1" w14:paraId="58E12D54"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41470D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F3AB76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A9B0A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8FE8FD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05BCE5B"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194E407"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7FCCBB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53,011,950.64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81F156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23,633,272.00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B84CA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76,645,222.64</w:t>
            </w:r>
          </w:p>
        </w:tc>
      </w:tr>
      <w:tr w:rsidR="00E32FE0" w:rsidRPr="005B5EC1" w14:paraId="2DC4DEBA"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D083D05"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019B8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5DAA96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5,836,438.96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0A10E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5,836,438.96</w:t>
            </w:r>
          </w:p>
        </w:tc>
      </w:tr>
      <w:tr w:rsidR="00E32FE0" w:rsidRPr="005B5EC1" w14:paraId="365D6DEC"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4A14B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）购置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AD0D39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852B6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5,836,438.96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83BBA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5,836,438.96</w:t>
            </w:r>
          </w:p>
        </w:tc>
      </w:tr>
      <w:tr w:rsidR="00E32FE0" w:rsidRPr="005B5EC1" w14:paraId="1301D424"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4ED179"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FC6E7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13,334,365.09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CACCD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88,167.75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C66E8E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13,422,532.84</w:t>
            </w:r>
          </w:p>
        </w:tc>
      </w:tr>
      <w:tr w:rsidR="00E32FE0" w:rsidRPr="005B5EC1" w14:paraId="49F0E187"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83424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）处置或报废</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357B85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13,334,365.09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7472B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88,167.75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05A0E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13,422,532.84</w:t>
            </w:r>
          </w:p>
        </w:tc>
      </w:tr>
      <w:tr w:rsidR="00E32FE0" w:rsidRPr="005B5EC1" w14:paraId="2B9B4CEC"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08CF2F"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20121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39,677,585.55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06C4D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29,381,543.21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5DC9D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69,059,128.76</w:t>
            </w:r>
          </w:p>
        </w:tc>
      </w:tr>
      <w:tr w:rsidR="00E32FE0" w:rsidRPr="005B5EC1" w14:paraId="5C85EA10"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FE2D2A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BB901A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3803B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98132C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5E1AF98"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87145A0"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C88CE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15,581,754.05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766503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4,382,173.11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B1F96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19,963,927.16</w:t>
            </w:r>
          </w:p>
        </w:tc>
      </w:tr>
      <w:tr w:rsidR="00E32FE0" w:rsidRPr="005B5EC1" w14:paraId="0754E06B"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E1A3AA7"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F48E9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5,438,465.21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B3BE6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1,541,939.52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3F489B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6,980,404.73</w:t>
            </w:r>
          </w:p>
        </w:tc>
      </w:tr>
      <w:tr w:rsidR="00E32FE0" w:rsidRPr="005B5EC1" w14:paraId="38E6C935"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E322ABB"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）计提</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59E3B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5,438,465.21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250EE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1,541,939.52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5E478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6,980,404.73</w:t>
            </w:r>
          </w:p>
        </w:tc>
      </w:tr>
      <w:tr w:rsidR="00E32FE0" w:rsidRPr="005B5EC1" w14:paraId="1DD75F6A"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8C1BD71" w14:textId="77777777" w:rsidR="00E32FE0" w:rsidRPr="005B5EC1" w:rsidRDefault="00E32FE0">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B8D3A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40DA8F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B17099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28D4E05"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A742784"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51CF42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12,886,296.67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2CE75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35,267.04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57F5FD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12,921,563.71</w:t>
            </w:r>
          </w:p>
        </w:tc>
      </w:tr>
      <w:tr w:rsidR="00E32FE0" w:rsidRPr="005B5EC1" w14:paraId="679807A9"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1F6DA28"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61BD6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12,886,296.67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50D20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35,267.04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3978A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12,921,563.71</w:t>
            </w:r>
          </w:p>
        </w:tc>
      </w:tr>
      <w:tr w:rsidR="00E32FE0" w:rsidRPr="005B5EC1" w14:paraId="4BE9FDD8"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E6AD0A9" w14:textId="77777777" w:rsidR="00E32FE0" w:rsidRPr="005B5EC1" w:rsidRDefault="00E32FE0">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2D3BD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01258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AD3D6F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E2D0D1C"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ABC31F1"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0D4C8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8,133,922.59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E22DA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5,888,845.59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A2A27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14,022,768.18</w:t>
            </w:r>
          </w:p>
        </w:tc>
      </w:tr>
      <w:tr w:rsidR="00E32FE0" w:rsidRPr="005B5EC1" w14:paraId="19079189"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15CD45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14C1B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FBE3ED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07CA66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EF18CE9"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266F462"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2BA359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CA76BA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DD8BDA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64F8874"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3B7922C"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w:t>
            </w:r>
            <w:r w:rsidRPr="005B5EC1">
              <w:rPr>
                <w:rFonts w:ascii="Times New Roman" w:eastAsia="宋体" w:hAnsi="Times New Roman" w:cs="Times New Roman"/>
                <w:sz w:val="18"/>
                <w:szCs w:val="18"/>
              </w:rPr>
              <w:t>本期增加金额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46F7F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47819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E68674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36AA24B"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432ACAD"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）计提</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71716D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BD497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5BBDF1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1EBD589"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CE0D36A" w14:textId="77777777" w:rsidR="00E32FE0" w:rsidRPr="005B5EC1" w:rsidRDefault="00E32FE0">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81B5D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CED487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60110B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18AD028"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F6BCF6D"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601363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78A40A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DDF7B5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2CE9025"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560606F"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6023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C4DCA0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F4D47F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D81C86A"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7CA4DF" w14:textId="77777777" w:rsidR="00E32FE0" w:rsidRPr="005B5EC1" w:rsidRDefault="00E32FE0">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DCDD9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1074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B4C69C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CDF2D06"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6F23FEF"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68B7A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FF504E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5C976C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CA16721"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8CF32D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FDF59D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68797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ABE968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52246F2"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6FE054D"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期末账面价值</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A1E2A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31,543,662.96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244B3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23,492,697.62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0AAD7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55,036,360.58</w:t>
            </w:r>
          </w:p>
        </w:tc>
      </w:tr>
      <w:tr w:rsidR="00E32FE0" w:rsidRPr="005B5EC1" w14:paraId="08C846DB"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F0885FC"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期初账面价值</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508E6B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37,430,196.59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188EA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19,251,098.89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CA59E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56,681,295.48</w:t>
            </w:r>
          </w:p>
        </w:tc>
      </w:tr>
    </w:tbl>
    <w:p w14:paraId="0652F2E3"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10" w:name="_Toc98923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使用权资产的减值测试情况</w:t>
      </w:r>
      <w:bookmarkEnd w:id="310"/>
    </w:p>
    <w:p w14:paraId="373CB23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E8D302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797D625E" w14:textId="77777777" w:rsidR="00AF139E" w:rsidRPr="005B5EC1" w:rsidRDefault="00000000">
      <w:pPr>
        <w:pStyle w:val="a3"/>
        <w:divId w:val="1269895790"/>
        <w:rPr>
          <w:rFonts w:ascii="Times New Roman" w:hAnsi="Times New Roman" w:cs="Times New Roman"/>
          <w:sz w:val="18"/>
          <w:szCs w:val="18"/>
        </w:rPr>
      </w:pPr>
      <w:r w:rsidRPr="005B5EC1">
        <w:rPr>
          <w:rFonts w:ascii="Times New Roman" w:hAnsi="Times New Roman" w:cs="Times New Roman"/>
          <w:sz w:val="18"/>
          <w:szCs w:val="18"/>
        </w:rPr>
        <w:t>无</w:t>
      </w:r>
    </w:p>
    <w:p w14:paraId="5A33A94E" w14:textId="77777777" w:rsidR="00E32FE0" w:rsidRPr="005B5EC1" w:rsidRDefault="00000000">
      <w:pPr>
        <w:pStyle w:val="3"/>
        <w:spacing w:line="280" w:lineRule="exact"/>
        <w:jc w:val="left"/>
        <w:rPr>
          <w:rFonts w:ascii="Times New Roman" w:hAnsi="Times New Roman" w:cs="Times New Roman"/>
          <w:b/>
          <w:bCs/>
        </w:rPr>
      </w:pPr>
      <w:bookmarkStart w:id="311" w:name="_Toc989237"/>
      <w:r w:rsidRPr="005B5EC1">
        <w:rPr>
          <w:rFonts w:ascii="Times New Roman" w:hAnsi="Times New Roman" w:cs="Times New Roman"/>
          <w:b/>
          <w:bCs/>
        </w:rPr>
        <w:t>26</w:t>
      </w:r>
      <w:r w:rsidRPr="005B5EC1">
        <w:rPr>
          <w:rFonts w:ascii="Times New Roman" w:hAnsi="Times New Roman" w:cs="Times New Roman"/>
          <w:b/>
          <w:bCs/>
        </w:rPr>
        <w:t>、无形资产</w:t>
      </w:r>
      <w:bookmarkEnd w:id="311"/>
    </w:p>
    <w:p w14:paraId="0AF30A9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12" w:name="_Toc989238"/>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无形资产情况</w:t>
      </w:r>
      <w:bookmarkEnd w:id="312"/>
    </w:p>
    <w:p w14:paraId="28EA73B0"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36AD2BA6"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564F43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CF8B9B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土地使用权</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CF8967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专利权</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7B2156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非专利技术</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5ECAC2C"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软件使用权</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395E8F4"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商标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916B1B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r>
      <w:tr w:rsidR="00E32FE0" w:rsidRPr="005B5EC1" w14:paraId="12C05D81"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C705B8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D74AD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04318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90CE7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28C49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0A6F2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D57220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90710F8"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8CFC8F2"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65CD6C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144,563,163.34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A7D19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B1FF3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3C6D2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17,160,466.24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D7A01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4,210,000.00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C95C7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165,933,629.58</w:t>
            </w:r>
          </w:p>
        </w:tc>
      </w:tr>
      <w:tr w:rsidR="00E32FE0" w:rsidRPr="005B5EC1" w14:paraId="0C789C17"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F22CB17"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4D618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80976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43E1F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E4538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113,000.00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08CD6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60658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113,000.00</w:t>
            </w:r>
          </w:p>
        </w:tc>
      </w:tr>
      <w:tr w:rsidR="00E32FE0" w:rsidRPr="005B5EC1" w14:paraId="1A743B3B"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A08C998"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）购置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2A784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550E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00C467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1F7C6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113,000.00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973E39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EDE4E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113,000.00</w:t>
            </w:r>
          </w:p>
        </w:tc>
      </w:tr>
      <w:tr w:rsidR="00E32FE0" w:rsidRPr="005B5EC1" w14:paraId="1D163E47"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81105D2"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）内部研发</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0193C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33C8E8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533D5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08942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CC84C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B19EFE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1E5C16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95FE1D6"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）企业合并增加</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E67C9D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EB7747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EFB72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F5B524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D7125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8B564B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B949476"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63A89F5"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CB2C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36AD9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51570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280781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58B8AE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55BBDF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4853A3A"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E104EE1"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AEE9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4,260,256.00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B4766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4039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3D827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66658B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F66C4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4,260,256.00</w:t>
            </w:r>
          </w:p>
        </w:tc>
      </w:tr>
      <w:tr w:rsidR="00E32FE0" w:rsidRPr="005B5EC1" w14:paraId="54F9C5F7"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61799EA"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786D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10D393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57CC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A3E61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61D4A5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CB9F50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4EB4DF7"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D2C65F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）企业合并减少</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B50179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4,260,256.00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AA596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D7B6D4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31C52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08A4FB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520C3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4,260,256.00</w:t>
            </w:r>
          </w:p>
        </w:tc>
      </w:tr>
      <w:tr w:rsidR="00E32FE0" w:rsidRPr="005B5EC1" w14:paraId="7A30F2C9"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1AC94E"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8A9A7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140,302,907.34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8F98E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EAE86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8E3BB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17,273,466.24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39BE0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4,210,000.00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DED786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161,786,373.58</w:t>
            </w:r>
          </w:p>
        </w:tc>
      </w:tr>
      <w:tr w:rsidR="00E32FE0" w:rsidRPr="005B5EC1" w14:paraId="0C3E19B1"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DF146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二、累计摊销</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1DEE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E4481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5229FE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5E363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552C42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3B126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F939932"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56C6316"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220DE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19,431,963.15</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7C86C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F4B3F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4D6E9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9,752,148.62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CF68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2,175,166.67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6DBF6B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31,359,278.44</w:t>
            </w:r>
          </w:p>
        </w:tc>
      </w:tr>
      <w:tr w:rsidR="00E32FE0" w:rsidRPr="005B5EC1" w14:paraId="5918CEC2"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C691C82"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7777F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3,198,179.23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E547E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A7AAF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9AE3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1,808,438.59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41CA4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421,000.00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9F222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5,427,617.82</w:t>
            </w:r>
          </w:p>
        </w:tc>
      </w:tr>
      <w:tr w:rsidR="00E32FE0" w:rsidRPr="005B5EC1" w14:paraId="6FC4E1FB"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7C0DCB1"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CDF419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3,198,179.23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E384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27196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AA9AB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1,808,438.59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2D55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421,000.00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82508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5,427,617.82</w:t>
            </w:r>
          </w:p>
        </w:tc>
      </w:tr>
      <w:tr w:rsidR="00E32FE0" w:rsidRPr="005B5EC1" w14:paraId="5A268FF0"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1E4A33"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81175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0DB23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E0F59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E39D0C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B0B74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7AAC0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F925AA8"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46CCCA6"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w:t>
            </w:r>
            <w:r w:rsidRPr="005B5EC1">
              <w:rPr>
                <w:rFonts w:ascii="Times New Roman" w:eastAsia="宋体" w:hAnsi="Times New Roman" w:cs="Times New Roman"/>
                <w:sz w:val="18"/>
                <w:szCs w:val="18"/>
              </w:rPr>
              <w:lastRenderedPageBreak/>
              <w:t>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CF3AEC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512,849.48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85FF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E94D85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F3BD7D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5D559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4CE0B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512,849.48</w:t>
            </w:r>
          </w:p>
        </w:tc>
      </w:tr>
      <w:tr w:rsidR="00E32FE0" w:rsidRPr="005B5EC1" w14:paraId="1ABB7362"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CACD903"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E0E3D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34ECA0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0AA771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6A79E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83D2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725A86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CD01FF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4462DE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）企业合并减少</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35BAC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512,849.48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EEF730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31BA8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159C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32EEDC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A63AC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512,849.48</w:t>
            </w:r>
          </w:p>
        </w:tc>
      </w:tr>
      <w:tr w:rsidR="00E32FE0" w:rsidRPr="005B5EC1" w14:paraId="349F877D"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7684C95"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74ECC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22,117,292.90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5171B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28F5A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08925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11,560,587.21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6AC9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2,596,166.67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C340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36,274,046.78</w:t>
            </w:r>
          </w:p>
        </w:tc>
      </w:tr>
      <w:tr w:rsidR="00E32FE0" w:rsidRPr="005B5EC1" w14:paraId="7D39678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71D9EC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6600B8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DA6594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BD18D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E6FEF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74180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6D8FB9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4F991ED"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E46DBB4"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期初余额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673A8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63CC7A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4C4022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E9333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0235C7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9E74F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DA9727B"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5601069"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本期增加金额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62416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174855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E2BD11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01369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397695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B1E4F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F191FAD"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899AC9B"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A7F7A9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8DF8B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C8BA8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C0820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848DD5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E5F750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58EEC99"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E1082F"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103F9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07BD2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94367B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9EF07F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21052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4B79D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A969CF8"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179734"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本期减少金额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1075C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582AB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105E23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C527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80EF4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68C69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8CF1814"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F1085F9"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7F07D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01B7F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A00F1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145FB2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C1FDA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12D101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E26083A"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DB62F4" w14:textId="77777777" w:rsidR="00E32FE0" w:rsidRPr="005B5EC1" w:rsidRDefault="00E32FE0">
            <w:pPr>
              <w:spacing w:after="0" w:line="240" w:lineRule="exac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6FDA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0109D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8742C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BD4474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C08A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A8F150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347CA35"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41687E3"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期末余额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68021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4259C5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1EBFA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FC412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C5D00A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6EF3EC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53FF238"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25276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0654D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9503D0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6420DA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12D7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0D8775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B66E3D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753CC62"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3C27E1"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期末账面价值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BD2E5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118,185,614.44</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4B2255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503B7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057C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5,712,879.03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8141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1,613,833.33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0B2D2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125,512,326.80</w:t>
            </w:r>
          </w:p>
        </w:tc>
      </w:tr>
      <w:tr w:rsidR="00E32FE0" w:rsidRPr="005B5EC1" w14:paraId="601507B1"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4D49B1A"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期初账面价值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4F03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125,131,200.19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48CAA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09482D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C6BBE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7,408,317.62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C6BC9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2,034,833.33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153E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134,574,351.14</w:t>
            </w:r>
          </w:p>
        </w:tc>
      </w:tr>
    </w:tbl>
    <w:p w14:paraId="21D4F72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本期末通过公司内部研发形成的无形资产占无形资产余额的比例</w:t>
      </w:r>
      <w:r w:rsidRPr="005B5EC1">
        <w:rPr>
          <w:rFonts w:ascii="Times New Roman" w:eastAsia="宋体" w:hAnsi="Times New Roman" w:cs="Times New Roman"/>
          <w:sz w:val="18"/>
          <w:szCs w:val="18"/>
        </w:rPr>
        <w:t>0.00%</w:t>
      </w:r>
      <w:r w:rsidRPr="005B5EC1">
        <w:rPr>
          <w:rFonts w:ascii="Times New Roman" w:eastAsia="宋体" w:hAnsi="Times New Roman" w:cs="Times New Roman"/>
          <w:sz w:val="18"/>
          <w:szCs w:val="18"/>
        </w:rPr>
        <w:t>。</w:t>
      </w:r>
    </w:p>
    <w:p w14:paraId="0219811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13" w:name="_Toc989239"/>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确认为无形资产的数据资源</w:t>
      </w:r>
      <w:bookmarkEnd w:id="313"/>
    </w:p>
    <w:p w14:paraId="2778EEA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56813B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14" w:name="_Toc989240"/>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未办妥产权证书的土地使用权情况</w:t>
      </w:r>
      <w:bookmarkEnd w:id="314"/>
    </w:p>
    <w:p w14:paraId="39CB62E5" w14:textId="77777777" w:rsidR="00AF139E" w:rsidRPr="005B5EC1" w:rsidRDefault="00000000">
      <w:pPr>
        <w:pStyle w:val="a3"/>
        <w:divId w:val="1652711086"/>
        <w:rPr>
          <w:rFonts w:ascii="Times New Roman" w:hAnsi="Times New Roman" w:cs="Times New Roman"/>
          <w:sz w:val="18"/>
          <w:szCs w:val="18"/>
        </w:rPr>
      </w:pPr>
      <w:r w:rsidRPr="005B5EC1">
        <w:rPr>
          <w:rFonts w:ascii="Times New Roman" w:hAnsi="Times New Roman" w:cs="Times New Roman"/>
          <w:sz w:val="18"/>
          <w:szCs w:val="18"/>
        </w:rPr>
        <w:t>无</w:t>
      </w:r>
    </w:p>
    <w:p w14:paraId="4A9DBDE9"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15" w:name="_Toc98924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无形资产的减值测试情况</w:t>
      </w:r>
      <w:bookmarkEnd w:id="315"/>
    </w:p>
    <w:p w14:paraId="208B81D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301DC8B" w14:textId="77777777" w:rsidR="00E32FE0" w:rsidRPr="005B5EC1" w:rsidRDefault="00000000">
      <w:pPr>
        <w:pStyle w:val="3"/>
        <w:spacing w:line="280" w:lineRule="exact"/>
        <w:jc w:val="left"/>
        <w:rPr>
          <w:rFonts w:ascii="Times New Roman" w:hAnsi="Times New Roman" w:cs="Times New Roman"/>
          <w:b/>
          <w:bCs/>
        </w:rPr>
      </w:pPr>
      <w:bookmarkStart w:id="316" w:name="_Toc989242"/>
      <w:r w:rsidRPr="005B5EC1">
        <w:rPr>
          <w:rFonts w:ascii="Times New Roman" w:hAnsi="Times New Roman" w:cs="Times New Roman"/>
          <w:b/>
          <w:bCs/>
        </w:rPr>
        <w:t>27</w:t>
      </w:r>
      <w:r w:rsidRPr="005B5EC1">
        <w:rPr>
          <w:rFonts w:ascii="Times New Roman" w:hAnsi="Times New Roman" w:cs="Times New Roman"/>
          <w:b/>
          <w:bCs/>
        </w:rPr>
        <w:t>、商誉</w:t>
      </w:r>
      <w:bookmarkEnd w:id="316"/>
    </w:p>
    <w:p w14:paraId="1976917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17" w:name="_Toc989243"/>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商誉账面原值</w:t>
      </w:r>
      <w:bookmarkEnd w:id="317"/>
    </w:p>
    <w:p w14:paraId="74B8762C"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68B282E7" w14:textId="77777777" w:rsidTr="005C09BC">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639A694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5C6776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9E0833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51791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437B8A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6F113D55" w14:textId="77777777" w:rsidTr="005C09BC">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354BB46" w14:textId="77777777" w:rsidR="00E32FE0" w:rsidRPr="005B5EC1" w:rsidRDefault="00E32FE0">
            <w:pPr>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4A140BA" w14:textId="77777777" w:rsidR="00E32FE0" w:rsidRPr="005B5EC1" w:rsidRDefault="00E32FE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93CE04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F760E23" w14:textId="77777777" w:rsidR="00E32FE0" w:rsidRPr="005B5EC1" w:rsidRDefault="00E32FE0">
            <w:pPr>
              <w:spacing w:after="0" w:line="240" w:lineRule="exact"/>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0953F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E62EE0" w14:textId="77777777" w:rsidR="00E32FE0" w:rsidRPr="005B5EC1" w:rsidRDefault="00E32FE0">
            <w:pPr>
              <w:spacing w:after="0" w:line="240" w:lineRule="exact"/>
              <w:jc w:val="center"/>
              <w:rPr>
                <w:rFonts w:ascii="Times New Roman" w:eastAsia="宋体"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0A1178C" w14:textId="77777777" w:rsidR="00E32FE0" w:rsidRPr="005B5EC1" w:rsidRDefault="00E32FE0">
            <w:pPr>
              <w:rPr>
                <w:rFonts w:ascii="Times New Roman" w:hAnsi="Times New Roman" w:cs="Times New Roman"/>
              </w:rPr>
            </w:pPr>
          </w:p>
        </w:tc>
      </w:tr>
      <w:tr w:rsidR="00E32FE0" w:rsidRPr="005B5EC1" w14:paraId="7F106C0F"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36AE0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6294F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59,823,738.70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9DA50C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591C1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0974A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708D7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93706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59,823,738.70</w:t>
            </w:r>
          </w:p>
        </w:tc>
      </w:tr>
      <w:tr w:rsidR="00E32FE0" w:rsidRPr="005B5EC1" w14:paraId="3A65831B"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40E78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通辽金泉食品有限责任公司</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A3A6C6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25,173.06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E5CCC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914E5F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1C6A3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25,173.06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C80E1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74E85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r w:rsidR="00E32FE0" w:rsidRPr="005B5EC1" w14:paraId="2A204B73"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3636E5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88CB6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59,848,911.76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48F81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F62844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78EC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25,173.06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7152B5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2C57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59,823,738.70</w:t>
            </w:r>
          </w:p>
        </w:tc>
      </w:tr>
    </w:tbl>
    <w:p w14:paraId="33FB4B5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18" w:name="_Toc989244"/>
      <w:r w:rsidRPr="005B5EC1">
        <w:rPr>
          <w:rFonts w:ascii="Times New Roman" w:eastAsia="宋体" w:hAnsi="Times New Roman" w:cs="Times New Roman"/>
          <w:b/>
          <w:bCs/>
          <w:sz w:val="21"/>
          <w:szCs w:val="21"/>
        </w:rPr>
        <w:lastRenderedPageBreak/>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商誉减值准备</w:t>
      </w:r>
      <w:bookmarkEnd w:id="318"/>
    </w:p>
    <w:p w14:paraId="4A85931B"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5628672C" w14:textId="77777777" w:rsidTr="005C09BC">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169587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被投资单位名称或形成商誉的事项</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174798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C67A3F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F08F65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5DF64B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4BC82D42" w14:textId="77777777" w:rsidTr="005C09BC">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70AEBE2" w14:textId="77777777" w:rsidR="00E32FE0" w:rsidRPr="005B5EC1" w:rsidRDefault="00E32FE0">
            <w:pPr>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9082255" w14:textId="77777777" w:rsidR="00E32FE0" w:rsidRPr="005B5EC1" w:rsidRDefault="00E32FE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819D99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2BC5C7A" w14:textId="77777777" w:rsidR="00E32FE0" w:rsidRPr="005B5EC1" w:rsidRDefault="00E32FE0">
            <w:pPr>
              <w:spacing w:after="0" w:line="240" w:lineRule="exact"/>
              <w:jc w:val="center"/>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F34952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处置</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F49E08A" w14:textId="77777777" w:rsidR="00E32FE0" w:rsidRPr="005B5EC1" w:rsidRDefault="00E32FE0">
            <w:pPr>
              <w:spacing w:after="0" w:line="240" w:lineRule="exact"/>
              <w:jc w:val="center"/>
              <w:rPr>
                <w:rFonts w:ascii="Times New Roman" w:eastAsia="宋体" w:hAnsi="Times New Roman" w:cs="Times New Roman"/>
                <w:sz w:val="18"/>
                <w:szCs w:val="18"/>
              </w:rPr>
            </w:pP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037E7E6" w14:textId="77777777" w:rsidR="00E32FE0" w:rsidRPr="005B5EC1" w:rsidRDefault="00E32FE0">
            <w:pPr>
              <w:rPr>
                <w:rFonts w:ascii="Times New Roman" w:hAnsi="Times New Roman" w:cs="Times New Roman"/>
              </w:rPr>
            </w:pPr>
          </w:p>
        </w:tc>
      </w:tr>
      <w:tr w:rsidR="00E32FE0" w:rsidRPr="005B5EC1" w14:paraId="0ABDA4CA"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97D1A7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潍坊振祥食品有限公司</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F6DFB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32,951,764.52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4D089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B504F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30B3F6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8C5EE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121DA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32,951,764.52</w:t>
            </w:r>
          </w:p>
        </w:tc>
      </w:tr>
      <w:tr w:rsidR="00E32FE0" w:rsidRPr="005B5EC1" w14:paraId="54478FDD"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8677D7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通辽金泉食品有限责任公司</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544D9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25,173.06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D4C74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927EF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C0A7E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25,173.06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9A482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71CBB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r w:rsidR="00E32FE0" w:rsidRPr="005B5EC1" w14:paraId="749F4D19" w14:textId="77777777" w:rsidTr="005C09B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866EB6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F627B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32,976,937.58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03370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072141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7A61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25,173.06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8EEA58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65136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32,951,764.52</w:t>
            </w:r>
          </w:p>
        </w:tc>
      </w:tr>
    </w:tbl>
    <w:p w14:paraId="1E5DA495"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19" w:name="_Toc98924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商誉所在资产组或资产组组合的相关信息</w:t>
      </w:r>
      <w:bookmarkEnd w:id="319"/>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3707501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97F9C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F9859F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所属资产组或组合的构成及依据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BF77B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所属经营分部及依据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65FDF5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是否与以前年度保持一致</w:t>
            </w:r>
          </w:p>
        </w:tc>
      </w:tr>
    </w:tbl>
    <w:p w14:paraId="2E9758A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资产组或资产组组合发生变化</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06A7345B"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F307BD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20B04E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变化前的构成</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BC6DA4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变化后的构成</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B05B3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导致变化的客观事实及依据</w:t>
            </w:r>
          </w:p>
        </w:tc>
      </w:tr>
    </w:tbl>
    <w:p w14:paraId="57903A7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7C3A3D8C" w14:textId="77777777" w:rsidR="00AF139E" w:rsidRPr="005B5EC1" w:rsidRDefault="00000000" w:rsidP="005C09BC">
      <w:pPr>
        <w:widowControl/>
        <w:spacing w:after="0" w:line="276" w:lineRule="auto"/>
        <w:ind w:firstLineChars="200" w:firstLine="360"/>
        <w:divId w:val="1626814734"/>
        <w:rPr>
          <w:rFonts w:ascii="Times New Roman" w:hAnsi="Times New Roman" w:cs="Times New Roman"/>
          <w:kern w:val="0"/>
          <w:sz w:val="18"/>
          <w:szCs w:val="18"/>
          <w14:ligatures w14:val="none"/>
        </w:rPr>
      </w:pPr>
      <w:r w:rsidRPr="005B5EC1">
        <w:rPr>
          <w:rFonts w:ascii="Times New Roman" w:eastAsia="宋体" w:hAnsi="Times New Roman" w:cs="Times New Roman"/>
          <w:sz w:val="18"/>
          <w:szCs w:val="18"/>
        </w:rPr>
        <w:t>商誉的初始形成</w:t>
      </w:r>
    </w:p>
    <w:p w14:paraId="61581812" w14:textId="77777777" w:rsidR="00AF139E" w:rsidRPr="005B5EC1" w:rsidRDefault="00000000" w:rsidP="005C09BC">
      <w:pPr>
        <w:pStyle w:val="a3"/>
        <w:spacing w:before="0" w:beforeAutospacing="0" w:after="0" w:afterAutospacing="0" w:line="276" w:lineRule="auto"/>
        <w:ind w:firstLineChars="200" w:firstLine="360"/>
        <w:jc w:val="both"/>
        <w:divId w:val="1626814734"/>
        <w:rPr>
          <w:rFonts w:ascii="Times New Roman" w:hAnsi="Times New Roman" w:cs="Times New Roman"/>
          <w:sz w:val="21"/>
          <w:szCs w:val="21"/>
        </w:rPr>
      </w:pPr>
      <w:r w:rsidRPr="005B5EC1">
        <w:rPr>
          <w:rFonts w:ascii="Times New Roman" w:hAnsi="Times New Roman" w:cs="Times New Roman"/>
          <w:sz w:val="18"/>
          <w:szCs w:val="18"/>
        </w:rPr>
        <w:t>本公司于</w:t>
      </w:r>
      <w:r w:rsidRPr="005B5EC1">
        <w:rPr>
          <w:rFonts w:ascii="Times New Roman" w:hAnsi="Times New Roman" w:cs="Times New Roman"/>
          <w:sz w:val="18"/>
          <w:szCs w:val="18"/>
        </w:rPr>
        <w:t>2018</w:t>
      </w:r>
      <w:r w:rsidRPr="005B5EC1">
        <w:rPr>
          <w:rFonts w:ascii="Times New Roman" w:hAnsi="Times New Roman" w:cs="Times New Roman"/>
          <w:sz w:val="18"/>
          <w:szCs w:val="18"/>
        </w:rPr>
        <w:t>年收购潍坊振祥食品有限公司（以下简称</w:t>
      </w:r>
      <w:r w:rsidRPr="005B5EC1">
        <w:rPr>
          <w:rFonts w:ascii="Times New Roman" w:hAnsi="Times New Roman" w:cs="Times New Roman"/>
          <w:sz w:val="18"/>
          <w:szCs w:val="18"/>
        </w:rPr>
        <w:t>“</w:t>
      </w:r>
      <w:r w:rsidRPr="005B5EC1">
        <w:rPr>
          <w:rFonts w:ascii="Times New Roman" w:hAnsi="Times New Roman" w:cs="Times New Roman"/>
          <w:sz w:val="18"/>
          <w:szCs w:val="18"/>
        </w:rPr>
        <w:t>潍坊振祥</w:t>
      </w:r>
      <w:r w:rsidRPr="005B5EC1">
        <w:rPr>
          <w:rFonts w:ascii="Times New Roman" w:hAnsi="Times New Roman" w:cs="Times New Roman"/>
          <w:sz w:val="18"/>
          <w:szCs w:val="18"/>
        </w:rPr>
        <w:t>”</w:t>
      </w:r>
      <w:r w:rsidRPr="005B5EC1">
        <w:rPr>
          <w:rFonts w:ascii="Times New Roman" w:hAnsi="Times New Roman" w:cs="Times New Roman"/>
          <w:sz w:val="18"/>
          <w:szCs w:val="18"/>
        </w:rPr>
        <w:t>）</w:t>
      </w:r>
      <w:r w:rsidRPr="005B5EC1">
        <w:rPr>
          <w:rFonts w:ascii="Times New Roman" w:hAnsi="Times New Roman" w:cs="Times New Roman"/>
          <w:sz w:val="18"/>
          <w:szCs w:val="18"/>
        </w:rPr>
        <w:t>70%</w:t>
      </w:r>
      <w:r w:rsidRPr="005B5EC1">
        <w:rPr>
          <w:rFonts w:ascii="Times New Roman" w:hAnsi="Times New Roman" w:cs="Times New Roman"/>
          <w:sz w:val="18"/>
          <w:szCs w:val="18"/>
        </w:rPr>
        <w:t>股权，交易的合并成本为</w:t>
      </w:r>
      <w:r w:rsidRPr="005B5EC1">
        <w:rPr>
          <w:rFonts w:ascii="Times New Roman" w:hAnsi="Times New Roman" w:cs="Times New Roman"/>
          <w:sz w:val="18"/>
          <w:szCs w:val="18"/>
        </w:rPr>
        <w:t>86,690,300.00</w:t>
      </w:r>
      <w:r w:rsidRPr="005B5EC1">
        <w:rPr>
          <w:rFonts w:ascii="Times New Roman" w:hAnsi="Times New Roman" w:cs="Times New Roman"/>
          <w:sz w:val="18"/>
          <w:szCs w:val="18"/>
        </w:rPr>
        <w:t>元，取得被购买方潍坊振祥</w:t>
      </w:r>
      <w:r w:rsidRPr="005B5EC1">
        <w:rPr>
          <w:rFonts w:ascii="Times New Roman" w:hAnsi="Times New Roman" w:cs="Times New Roman"/>
          <w:sz w:val="18"/>
          <w:szCs w:val="18"/>
        </w:rPr>
        <w:t>70%</w:t>
      </w:r>
      <w:r w:rsidRPr="005B5EC1">
        <w:rPr>
          <w:rFonts w:ascii="Times New Roman" w:hAnsi="Times New Roman" w:cs="Times New Roman"/>
          <w:sz w:val="18"/>
          <w:szCs w:val="18"/>
        </w:rPr>
        <w:t>股权对应的可辨认净资产公允价值为</w:t>
      </w:r>
      <w:r w:rsidRPr="005B5EC1">
        <w:rPr>
          <w:rFonts w:ascii="Times New Roman" w:hAnsi="Times New Roman" w:cs="Times New Roman"/>
          <w:sz w:val="18"/>
          <w:szCs w:val="18"/>
        </w:rPr>
        <w:t>26,866,561.30</w:t>
      </w:r>
      <w:r w:rsidRPr="005B5EC1">
        <w:rPr>
          <w:rFonts w:ascii="Times New Roman" w:hAnsi="Times New Roman" w:cs="Times New Roman"/>
          <w:sz w:val="18"/>
          <w:szCs w:val="18"/>
        </w:rPr>
        <w:t>元，合并成本大于合并中取得的被购买方可辨认净资产公允价值份额的差额为</w:t>
      </w:r>
      <w:r w:rsidRPr="005B5EC1">
        <w:rPr>
          <w:rFonts w:ascii="Times New Roman" w:hAnsi="Times New Roman" w:cs="Times New Roman"/>
          <w:sz w:val="18"/>
          <w:szCs w:val="18"/>
        </w:rPr>
        <w:t>59,823,738.70</w:t>
      </w:r>
      <w:r w:rsidRPr="005B5EC1">
        <w:rPr>
          <w:rFonts w:ascii="Times New Roman" w:hAnsi="Times New Roman" w:cs="Times New Roman"/>
          <w:sz w:val="18"/>
          <w:szCs w:val="18"/>
        </w:rPr>
        <w:t>元，确认为商誉。</w:t>
      </w:r>
    </w:p>
    <w:p w14:paraId="0BA06041"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本公司于</w:t>
      </w:r>
      <w:r w:rsidRPr="005B5EC1">
        <w:rPr>
          <w:rFonts w:ascii="Times New Roman" w:eastAsia="宋体" w:hAnsi="Times New Roman" w:cs="Times New Roman"/>
          <w:sz w:val="18"/>
          <w:szCs w:val="18"/>
        </w:rPr>
        <w:t>2020</w:t>
      </w:r>
      <w:r w:rsidRPr="005B5EC1">
        <w:rPr>
          <w:rFonts w:ascii="Times New Roman" w:eastAsia="宋体" w:hAnsi="Times New Roman" w:cs="Times New Roman"/>
          <w:sz w:val="18"/>
          <w:szCs w:val="18"/>
        </w:rPr>
        <w:t>年收购通辽金泉食品有限责任公司（以下简称</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通辽金泉</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100%</w:t>
      </w:r>
      <w:r w:rsidRPr="005B5EC1">
        <w:rPr>
          <w:rFonts w:ascii="Times New Roman" w:eastAsia="宋体" w:hAnsi="Times New Roman" w:cs="Times New Roman"/>
          <w:sz w:val="18"/>
          <w:szCs w:val="18"/>
        </w:rPr>
        <w:t>股权，交易的合并成本为</w:t>
      </w:r>
      <w:r w:rsidRPr="005B5EC1">
        <w:rPr>
          <w:rFonts w:ascii="Times New Roman" w:eastAsia="宋体" w:hAnsi="Times New Roman" w:cs="Times New Roman"/>
          <w:sz w:val="18"/>
          <w:szCs w:val="18"/>
        </w:rPr>
        <w:t>35,000,700.00</w:t>
      </w:r>
      <w:r w:rsidRPr="005B5EC1">
        <w:rPr>
          <w:rFonts w:ascii="Times New Roman" w:eastAsia="宋体" w:hAnsi="Times New Roman" w:cs="Times New Roman"/>
          <w:sz w:val="18"/>
          <w:szCs w:val="18"/>
        </w:rPr>
        <w:t>元，取得被购买方通辽金泉</w:t>
      </w:r>
      <w:r w:rsidRPr="005B5EC1">
        <w:rPr>
          <w:rFonts w:ascii="Times New Roman" w:eastAsia="宋体" w:hAnsi="Times New Roman" w:cs="Times New Roman"/>
          <w:sz w:val="18"/>
          <w:szCs w:val="18"/>
        </w:rPr>
        <w:t>100%</w:t>
      </w:r>
      <w:r w:rsidRPr="005B5EC1">
        <w:rPr>
          <w:rFonts w:ascii="Times New Roman" w:eastAsia="宋体" w:hAnsi="Times New Roman" w:cs="Times New Roman"/>
          <w:sz w:val="18"/>
          <w:szCs w:val="18"/>
        </w:rPr>
        <w:t>股权对应的可辨认净资产公允价值为</w:t>
      </w:r>
      <w:r w:rsidRPr="005B5EC1">
        <w:rPr>
          <w:rFonts w:ascii="Times New Roman" w:eastAsia="宋体" w:hAnsi="Times New Roman" w:cs="Times New Roman"/>
          <w:sz w:val="18"/>
          <w:szCs w:val="18"/>
        </w:rPr>
        <w:t>34,975,526.94</w:t>
      </w:r>
      <w:r w:rsidRPr="005B5EC1">
        <w:rPr>
          <w:rFonts w:ascii="Times New Roman" w:eastAsia="宋体" w:hAnsi="Times New Roman" w:cs="Times New Roman"/>
          <w:sz w:val="18"/>
          <w:szCs w:val="18"/>
        </w:rPr>
        <w:t>元，合并成本大于合并中取得的被购买方可辨认净资产公允价值份额的差额为</w:t>
      </w:r>
      <w:r w:rsidRPr="005B5EC1">
        <w:rPr>
          <w:rFonts w:ascii="Times New Roman" w:eastAsia="宋体" w:hAnsi="Times New Roman" w:cs="Times New Roman"/>
          <w:sz w:val="18"/>
          <w:szCs w:val="18"/>
        </w:rPr>
        <w:t>25,173.06</w:t>
      </w:r>
      <w:r w:rsidRPr="005B5EC1">
        <w:rPr>
          <w:rFonts w:ascii="Times New Roman" w:eastAsia="宋体" w:hAnsi="Times New Roman" w:cs="Times New Roman"/>
          <w:sz w:val="18"/>
          <w:szCs w:val="18"/>
        </w:rPr>
        <w:t>元，确认为商誉。</w:t>
      </w:r>
    </w:p>
    <w:p w14:paraId="22995ECE" w14:textId="77777777" w:rsidR="00AF139E" w:rsidRPr="005B5EC1" w:rsidRDefault="00AF139E" w:rsidP="005C09BC">
      <w:pPr>
        <w:widowControl/>
        <w:spacing w:after="0" w:line="276" w:lineRule="auto"/>
        <w:ind w:firstLineChars="200" w:firstLine="360"/>
        <w:divId w:val="1626814734"/>
        <w:rPr>
          <w:rFonts w:ascii="Times New Roman" w:eastAsia="宋体" w:hAnsi="Times New Roman" w:cs="Times New Roman"/>
          <w:sz w:val="18"/>
          <w:szCs w:val="18"/>
        </w:rPr>
      </w:pPr>
    </w:p>
    <w:p w14:paraId="70D6B95C"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资产组或资产组组合的相关信息</w:t>
      </w:r>
    </w:p>
    <w:p w14:paraId="7891E4EC"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资产组包括组成与商誉相关资产组的长期资产（具体包括固定资产、在建工程和无形资产）和合并报表确认的商誉。</w:t>
      </w:r>
    </w:p>
    <w:p w14:paraId="10081E29"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Cambria Math" w:eastAsia="宋体" w:hAnsi="Cambria Math" w:cs="Cambria Math"/>
          <w:sz w:val="18"/>
          <w:szCs w:val="18"/>
        </w:rPr>
        <w:t>③</w:t>
      </w:r>
      <w:r w:rsidRPr="005B5EC1">
        <w:rPr>
          <w:rFonts w:ascii="Times New Roman" w:eastAsia="宋体" w:hAnsi="Times New Roman" w:cs="Times New Roman"/>
          <w:sz w:val="18"/>
          <w:szCs w:val="18"/>
        </w:rPr>
        <w:t>商誉减少</w:t>
      </w:r>
    </w:p>
    <w:p w14:paraId="2279B814"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本公司</w:t>
      </w: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年转让子公司通辽金泉有限公司</w:t>
      </w:r>
      <w:r w:rsidRPr="005B5EC1">
        <w:rPr>
          <w:rFonts w:ascii="Times New Roman" w:eastAsia="宋体" w:hAnsi="Times New Roman" w:cs="Times New Roman"/>
          <w:sz w:val="18"/>
          <w:szCs w:val="18"/>
        </w:rPr>
        <w:t>100%</w:t>
      </w:r>
      <w:r w:rsidRPr="005B5EC1">
        <w:rPr>
          <w:rFonts w:ascii="Times New Roman" w:eastAsia="宋体" w:hAnsi="Times New Roman" w:cs="Times New Roman"/>
          <w:sz w:val="18"/>
          <w:szCs w:val="18"/>
        </w:rPr>
        <w:t>股权，股权处置后对应减少商誉</w:t>
      </w:r>
      <w:r w:rsidRPr="005B5EC1">
        <w:rPr>
          <w:rFonts w:ascii="Times New Roman" w:eastAsia="宋体" w:hAnsi="Times New Roman" w:cs="Times New Roman"/>
          <w:sz w:val="18"/>
          <w:szCs w:val="18"/>
        </w:rPr>
        <w:t>25,173.06</w:t>
      </w:r>
      <w:r w:rsidRPr="005B5EC1">
        <w:rPr>
          <w:rFonts w:ascii="Times New Roman" w:eastAsia="宋体" w:hAnsi="Times New Roman" w:cs="Times New Roman"/>
          <w:sz w:val="18"/>
          <w:szCs w:val="18"/>
        </w:rPr>
        <w:t>元，商誉减值准备</w:t>
      </w:r>
      <w:r w:rsidRPr="005B5EC1">
        <w:rPr>
          <w:rFonts w:ascii="Times New Roman" w:eastAsia="宋体" w:hAnsi="Times New Roman" w:cs="Times New Roman"/>
          <w:sz w:val="18"/>
          <w:szCs w:val="18"/>
        </w:rPr>
        <w:t>25,173.06</w:t>
      </w:r>
      <w:r w:rsidRPr="005B5EC1">
        <w:rPr>
          <w:rFonts w:ascii="Times New Roman" w:eastAsia="宋体" w:hAnsi="Times New Roman" w:cs="Times New Roman"/>
          <w:sz w:val="18"/>
          <w:szCs w:val="18"/>
        </w:rPr>
        <w:t>元，对财务报表无影响。</w:t>
      </w:r>
    </w:p>
    <w:p w14:paraId="32979F0C"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商誉的减值测试过程</w:t>
      </w:r>
    </w:p>
    <w:p w14:paraId="668ADA6C" w14:textId="6A61980A"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公司期末对与商誉相关的资产组进行了减值测试，首先将该商誉及归属于少数股东权益的商誉包括在内，调整资产组的账面价值，然后将调整后的资产组账面价值与其可收回金额进行比较，以确定资产组（包括商誉）是否发生了减值。</w:t>
      </w:r>
    </w:p>
    <w:p w14:paraId="77EA4842" w14:textId="0FACDA1F" w:rsidR="00AF139E" w:rsidRPr="005B5EC1" w:rsidRDefault="00000000" w:rsidP="005C09BC">
      <w:pPr>
        <w:widowControl/>
        <w:spacing w:after="0" w:line="276" w:lineRule="auto"/>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重要公司商誉减值测试过程如下：</w:t>
      </w:r>
      <w:r w:rsidRPr="005B5EC1">
        <w:rPr>
          <w:rFonts w:ascii="Times New Roman" w:eastAsia="宋体" w:hAnsi="Times New Roman" w:cs="Times New Roman"/>
          <w:sz w:val="18"/>
          <w:szCs w:val="18"/>
        </w:rPr>
        <w:t>       </w:t>
      </w:r>
      <w:r w:rsidR="005C09BC" w:rsidRPr="005B5EC1">
        <w:rPr>
          <w:rFonts w:ascii="Times New Roman" w:eastAsia="宋体" w:hAnsi="Times New Roman" w:cs="Times New Roman" w:hint="eastAsia"/>
          <w:sz w:val="18"/>
          <w:szCs w:val="18"/>
        </w:rPr>
        <w:t xml:space="preserve"> </w:t>
      </w:r>
      <w:r w:rsidRPr="005B5EC1">
        <w:rPr>
          <w:rFonts w:ascii="Times New Roman" w:eastAsia="宋体" w:hAnsi="Times New Roman" w:cs="Times New Roman"/>
          <w:sz w:val="18"/>
          <w:szCs w:val="18"/>
        </w:rPr>
        <w:t xml:space="preserve">        </w:t>
      </w:r>
      <w:r w:rsidR="005C09BC" w:rsidRPr="005B5EC1">
        <w:rPr>
          <w:rFonts w:ascii="Times New Roman" w:eastAsia="宋体" w:hAnsi="Times New Roman" w:cs="Times New Roman" w:hint="eastAsia"/>
          <w:sz w:val="18"/>
          <w:szCs w:val="18"/>
        </w:rPr>
        <w:t xml:space="preserve"> </w:t>
      </w:r>
      <w:r w:rsidRPr="005B5EC1">
        <w:rPr>
          <w:rFonts w:ascii="Times New Roman" w:eastAsia="宋体" w:hAnsi="Times New Roman" w:cs="Times New Roman"/>
          <w:sz w:val="18"/>
          <w:szCs w:val="18"/>
        </w:rPr>
        <w:t xml:space="preserve">                        </w:t>
      </w:r>
      <w:r w:rsidR="005C09BC" w:rsidRPr="005B5EC1">
        <w:rPr>
          <w:rFonts w:ascii="Times New Roman" w:eastAsia="宋体" w:hAnsi="Times New Roman" w:cs="Times New Roman" w:hint="eastAsia"/>
          <w:sz w:val="18"/>
          <w:szCs w:val="18"/>
        </w:rPr>
        <w:t xml:space="preserve">                                                                                  </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单位：万元</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57"/>
        <w:gridCol w:w="4178"/>
      </w:tblGrid>
      <w:tr w:rsidR="00AF139E" w:rsidRPr="005B5EC1" w14:paraId="050D1E7A" w14:textId="77777777" w:rsidTr="005C09BC">
        <w:trPr>
          <w:divId w:val="1626814734"/>
          <w:trHeight w:val="340"/>
        </w:trPr>
        <w:tc>
          <w:tcPr>
            <w:tcW w:w="2786" w:type="pct"/>
            <w:noWrap/>
            <w:tcMar>
              <w:top w:w="0" w:type="dxa"/>
              <w:left w:w="0" w:type="dxa"/>
              <w:bottom w:w="0" w:type="dxa"/>
              <w:right w:w="0" w:type="dxa"/>
            </w:tcMar>
            <w:vAlign w:val="center"/>
            <w:hideMark/>
          </w:tcPr>
          <w:p w14:paraId="71E302CF"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2214" w:type="pct"/>
            <w:noWrap/>
            <w:tcMar>
              <w:top w:w="0" w:type="dxa"/>
              <w:left w:w="0" w:type="dxa"/>
              <w:bottom w:w="0" w:type="dxa"/>
              <w:right w:w="0" w:type="dxa"/>
            </w:tcMar>
            <w:vAlign w:val="center"/>
            <w:hideMark/>
          </w:tcPr>
          <w:p w14:paraId="2CEFC2B3"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潍坊振祥食品有限公司</w:t>
            </w:r>
          </w:p>
        </w:tc>
      </w:tr>
      <w:tr w:rsidR="00AF139E" w:rsidRPr="005B5EC1" w14:paraId="3563573A" w14:textId="77777777" w:rsidTr="005C09BC">
        <w:trPr>
          <w:divId w:val="1626814734"/>
          <w:trHeight w:val="340"/>
        </w:trPr>
        <w:tc>
          <w:tcPr>
            <w:tcW w:w="2786" w:type="pct"/>
            <w:noWrap/>
            <w:tcMar>
              <w:top w:w="0" w:type="dxa"/>
              <w:left w:w="0" w:type="dxa"/>
              <w:bottom w:w="0" w:type="dxa"/>
              <w:right w:w="0" w:type="dxa"/>
            </w:tcMar>
            <w:vAlign w:val="center"/>
            <w:hideMark/>
          </w:tcPr>
          <w:p w14:paraId="6356F2CE"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商誉账面余额</w:t>
            </w:r>
            <w:r w:rsidRPr="005B5EC1">
              <w:rPr>
                <w:rFonts w:ascii="Cambria Math" w:hAnsi="Cambria Math" w:cs="Cambria Math"/>
                <w:sz w:val="18"/>
                <w:szCs w:val="18"/>
              </w:rPr>
              <w:t>①</w:t>
            </w:r>
          </w:p>
        </w:tc>
        <w:tc>
          <w:tcPr>
            <w:tcW w:w="2214" w:type="pct"/>
            <w:noWrap/>
            <w:tcMar>
              <w:top w:w="0" w:type="dxa"/>
              <w:left w:w="0" w:type="dxa"/>
              <w:bottom w:w="0" w:type="dxa"/>
              <w:right w:w="0" w:type="dxa"/>
            </w:tcMar>
            <w:vAlign w:val="center"/>
            <w:hideMark/>
          </w:tcPr>
          <w:p w14:paraId="19ADA36D"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5,982.37</w:t>
            </w:r>
          </w:p>
        </w:tc>
      </w:tr>
      <w:tr w:rsidR="00AF139E" w:rsidRPr="005B5EC1" w14:paraId="19F222A1" w14:textId="77777777" w:rsidTr="005C09BC">
        <w:trPr>
          <w:divId w:val="1626814734"/>
          <w:trHeight w:val="340"/>
        </w:trPr>
        <w:tc>
          <w:tcPr>
            <w:tcW w:w="2786" w:type="pct"/>
            <w:noWrap/>
            <w:tcMar>
              <w:top w:w="0" w:type="dxa"/>
              <w:left w:w="0" w:type="dxa"/>
              <w:bottom w:w="0" w:type="dxa"/>
              <w:right w:w="0" w:type="dxa"/>
            </w:tcMar>
            <w:vAlign w:val="center"/>
            <w:hideMark/>
          </w:tcPr>
          <w:p w14:paraId="3F16229D"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商誉减值准备余额</w:t>
            </w:r>
            <w:r w:rsidRPr="005B5EC1">
              <w:rPr>
                <w:rFonts w:ascii="Cambria Math" w:hAnsi="Cambria Math" w:cs="Cambria Math"/>
                <w:sz w:val="18"/>
                <w:szCs w:val="18"/>
              </w:rPr>
              <w:t>②</w:t>
            </w:r>
          </w:p>
        </w:tc>
        <w:tc>
          <w:tcPr>
            <w:tcW w:w="2214" w:type="pct"/>
            <w:noWrap/>
            <w:tcMar>
              <w:top w:w="0" w:type="dxa"/>
              <w:left w:w="0" w:type="dxa"/>
              <w:bottom w:w="0" w:type="dxa"/>
              <w:right w:w="0" w:type="dxa"/>
            </w:tcMar>
            <w:vAlign w:val="center"/>
            <w:hideMark/>
          </w:tcPr>
          <w:p w14:paraId="4F3AB302"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3,295.18</w:t>
            </w:r>
          </w:p>
        </w:tc>
      </w:tr>
      <w:tr w:rsidR="00AF139E" w:rsidRPr="005B5EC1" w14:paraId="047EA9E8" w14:textId="77777777" w:rsidTr="005C09BC">
        <w:trPr>
          <w:divId w:val="1626814734"/>
          <w:trHeight w:val="340"/>
        </w:trPr>
        <w:tc>
          <w:tcPr>
            <w:tcW w:w="2786" w:type="pct"/>
            <w:noWrap/>
            <w:tcMar>
              <w:top w:w="0" w:type="dxa"/>
              <w:left w:w="0" w:type="dxa"/>
              <w:bottom w:w="0" w:type="dxa"/>
              <w:right w:w="0" w:type="dxa"/>
            </w:tcMar>
            <w:vAlign w:val="center"/>
            <w:hideMark/>
          </w:tcPr>
          <w:p w14:paraId="7927383A"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商誉的账面价值</w:t>
            </w:r>
            <w:r w:rsidRPr="005B5EC1">
              <w:rPr>
                <w:rFonts w:ascii="Cambria Math" w:hAnsi="Cambria Math" w:cs="Cambria Math"/>
                <w:sz w:val="18"/>
                <w:szCs w:val="18"/>
              </w:rPr>
              <w:t>③</w:t>
            </w:r>
            <w:r w:rsidRPr="005B5EC1">
              <w:rPr>
                <w:rFonts w:ascii="Times New Roman" w:hAnsi="Times New Roman" w:cs="Times New Roman"/>
                <w:sz w:val="18"/>
                <w:szCs w:val="18"/>
              </w:rPr>
              <w:t>=</w:t>
            </w:r>
            <w:r w:rsidRPr="005B5EC1">
              <w:rPr>
                <w:rFonts w:ascii="Cambria Math" w:hAnsi="Cambria Math" w:cs="Cambria Math"/>
                <w:sz w:val="18"/>
                <w:szCs w:val="18"/>
              </w:rPr>
              <w:t>①</w:t>
            </w:r>
            <w:r w:rsidRPr="005B5EC1">
              <w:rPr>
                <w:rFonts w:ascii="Times New Roman" w:hAnsi="Times New Roman" w:cs="Times New Roman"/>
                <w:sz w:val="18"/>
                <w:szCs w:val="18"/>
              </w:rPr>
              <w:t>-</w:t>
            </w:r>
            <w:r w:rsidRPr="005B5EC1">
              <w:rPr>
                <w:rFonts w:ascii="Cambria Math" w:hAnsi="Cambria Math" w:cs="Cambria Math"/>
                <w:sz w:val="18"/>
                <w:szCs w:val="18"/>
              </w:rPr>
              <w:t>②</w:t>
            </w:r>
          </w:p>
        </w:tc>
        <w:tc>
          <w:tcPr>
            <w:tcW w:w="2214" w:type="pct"/>
            <w:noWrap/>
            <w:tcMar>
              <w:top w:w="0" w:type="dxa"/>
              <w:left w:w="0" w:type="dxa"/>
              <w:bottom w:w="0" w:type="dxa"/>
              <w:right w:w="0" w:type="dxa"/>
            </w:tcMar>
            <w:vAlign w:val="center"/>
            <w:hideMark/>
          </w:tcPr>
          <w:p w14:paraId="70A4FCAF"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2,687.20</w:t>
            </w:r>
          </w:p>
        </w:tc>
      </w:tr>
      <w:tr w:rsidR="00AF139E" w:rsidRPr="005B5EC1" w14:paraId="71916EF2" w14:textId="77777777" w:rsidTr="005C09BC">
        <w:trPr>
          <w:divId w:val="1626814734"/>
          <w:trHeight w:val="340"/>
        </w:trPr>
        <w:tc>
          <w:tcPr>
            <w:tcW w:w="2786" w:type="pct"/>
            <w:noWrap/>
            <w:tcMar>
              <w:top w:w="0" w:type="dxa"/>
              <w:left w:w="0" w:type="dxa"/>
              <w:bottom w:w="0" w:type="dxa"/>
              <w:right w:w="0" w:type="dxa"/>
            </w:tcMar>
            <w:vAlign w:val="center"/>
            <w:hideMark/>
          </w:tcPr>
          <w:p w14:paraId="0A48E527"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未确认归属于少数股东权益的商誉价值</w:t>
            </w:r>
            <w:r w:rsidRPr="005B5EC1">
              <w:rPr>
                <w:rFonts w:ascii="Cambria Math" w:hAnsi="Cambria Math" w:cs="Cambria Math"/>
                <w:sz w:val="18"/>
                <w:szCs w:val="18"/>
              </w:rPr>
              <w:t>④</w:t>
            </w:r>
          </w:p>
        </w:tc>
        <w:tc>
          <w:tcPr>
            <w:tcW w:w="2214" w:type="pct"/>
            <w:noWrap/>
            <w:tcMar>
              <w:top w:w="0" w:type="dxa"/>
              <w:left w:w="0" w:type="dxa"/>
              <w:bottom w:w="0" w:type="dxa"/>
              <w:right w:w="0" w:type="dxa"/>
            </w:tcMar>
            <w:vAlign w:val="center"/>
            <w:hideMark/>
          </w:tcPr>
          <w:p w14:paraId="298BC1AA"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2,563.87</w:t>
            </w:r>
          </w:p>
        </w:tc>
      </w:tr>
      <w:tr w:rsidR="00AF139E" w:rsidRPr="005B5EC1" w14:paraId="5F881233" w14:textId="77777777" w:rsidTr="005C09BC">
        <w:trPr>
          <w:divId w:val="1626814734"/>
          <w:trHeight w:val="340"/>
        </w:trPr>
        <w:tc>
          <w:tcPr>
            <w:tcW w:w="2786" w:type="pct"/>
            <w:noWrap/>
            <w:tcMar>
              <w:top w:w="0" w:type="dxa"/>
              <w:left w:w="0" w:type="dxa"/>
              <w:bottom w:w="0" w:type="dxa"/>
              <w:right w:w="0" w:type="dxa"/>
            </w:tcMar>
            <w:vAlign w:val="center"/>
            <w:hideMark/>
          </w:tcPr>
          <w:p w14:paraId="735A3219"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包含未确认归属于少数股东权益的商誉价值</w:t>
            </w:r>
            <w:r w:rsidRPr="005B5EC1">
              <w:rPr>
                <w:rFonts w:ascii="Cambria Math" w:hAnsi="Cambria Math" w:cs="Cambria Math"/>
                <w:sz w:val="18"/>
                <w:szCs w:val="18"/>
              </w:rPr>
              <w:t>⑤</w:t>
            </w:r>
            <w:r w:rsidRPr="005B5EC1">
              <w:rPr>
                <w:rFonts w:ascii="Times New Roman" w:hAnsi="Times New Roman" w:cs="Times New Roman"/>
                <w:sz w:val="18"/>
                <w:szCs w:val="18"/>
              </w:rPr>
              <w:t>=</w:t>
            </w:r>
            <w:r w:rsidRPr="005B5EC1">
              <w:rPr>
                <w:rFonts w:ascii="Cambria Math" w:hAnsi="Cambria Math" w:cs="Cambria Math"/>
                <w:sz w:val="18"/>
                <w:szCs w:val="18"/>
              </w:rPr>
              <w:t>④</w:t>
            </w:r>
            <w:r w:rsidRPr="005B5EC1">
              <w:rPr>
                <w:rFonts w:ascii="Times New Roman" w:hAnsi="Times New Roman" w:cs="Times New Roman"/>
                <w:sz w:val="18"/>
                <w:szCs w:val="18"/>
              </w:rPr>
              <w:t>+</w:t>
            </w:r>
            <w:r w:rsidRPr="005B5EC1">
              <w:rPr>
                <w:rFonts w:ascii="Cambria Math" w:hAnsi="Cambria Math" w:cs="Cambria Math"/>
                <w:sz w:val="18"/>
                <w:szCs w:val="18"/>
              </w:rPr>
              <w:t>③</w:t>
            </w:r>
          </w:p>
        </w:tc>
        <w:tc>
          <w:tcPr>
            <w:tcW w:w="2214" w:type="pct"/>
            <w:noWrap/>
            <w:tcMar>
              <w:top w:w="0" w:type="dxa"/>
              <w:left w:w="0" w:type="dxa"/>
              <w:bottom w:w="0" w:type="dxa"/>
              <w:right w:w="0" w:type="dxa"/>
            </w:tcMar>
            <w:vAlign w:val="center"/>
            <w:hideMark/>
          </w:tcPr>
          <w:p w14:paraId="6640D068"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5,251.06</w:t>
            </w:r>
          </w:p>
        </w:tc>
      </w:tr>
      <w:tr w:rsidR="00AF139E" w:rsidRPr="005B5EC1" w14:paraId="498423FE" w14:textId="77777777" w:rsidTr="005C09BC">
        <w:trPr>
          <w:divId w:val="1626814734"/>
          <w:trHeight w:val="340"/>
        </w:trPr>
        <w:tc>
          <w:tcPr>
            <w:tcW w:w="2786" w:type="pct"/>
            <w:noWrap/>
            <w:tcMar>
              <w:top w:w="0" w:type="dxa"/>
              <w:left w:w="0" w:type="dxa"/>
              <w:bottom w:w="0" w:type="dxa"/>
              <w:right w:w="0" w:type="dxa"/>
            </w:tcMar>
            <w:vAlign w:val="center"/>
            <w:hideMark/>
          </w:tcPr>
          <w:p w14:paraId="022F285D"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lastRenderedPageBreak/>
              <w:t>资产组的账面价值</w:t>
            </w:r>
            <w:r w:rsidRPr="005B5EC1">
              <w:rPr>
                <w:rFonts w:ascii="Cambria Math" w:hAnsi="Cambria Math" w:cs="Cambria Math"/>
                <w:sz w:val="18"/>
                <w:szCs w:val="18"/>
              </w:rPr>
              <w:t>⑥</w:t>
            </w:r>
          </w:p>
        </w:tc>
        <w:tc>
          <w:tcPr>
            <w:tcW w:w="2214" w:type="pct"/>
            <w:noWrap/>
            <w:tcMar>
              <w:top w:w="0" w:type="dxa"/>
              <w:left w:w="0" w:type="dxa"/>
              <w:bottom w:w="0" w:type="dxa"/>
              <w:right w:w="0" w:type="dxa"/>
            </w:tcMar>
            <w:vAlign w:val="center"/>
            <w:hideMark/>
          </w:tcPr>
          <w:p w14:paraId="662C3899"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12,904.58</w:t>
            </w:r>
          </w:p>
        </w:tc>
      </w:tr>
      <w:tr w:rsidR="00AF139E" w:rsidRPr="005B5EC1" w14:paraId="7BF25195" w14:textId="77777777" w:rsidTr="005C09BC">
        <w:trPr>
          <w:divId w:val="1626814734"/>
          <w:trHeight w:val="340"/>
        </w:trPr>
        <w:tc>
          <w:tcPr>
            <w:tcW w:w="2786" w:type="pct"/>
            <w:noWrap/>
            <w:tcMar>
              <w:top w:w="0" w:type="dxa"/>
              <w:left w:w="0" w:type="dxa"/>
              <w:bottom w:w="0" w:type="dxa"/>
              <w:right w:w="0" w:type="dxa"/>
            </w:tcMar>
            <w:vAlign w:val="center"/>
            <w:hideMark/>
          </w:tcPr>
          <w:p w14:paraId="6D65B305"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包含整体商誉的资产组的公允价值</w:t>
            </w:r>
            <w:r w:rsidRPr="005B5EC1">
              <w:rPr>
                <w:rFonts w:ascii="Cambria Math" w:hAnsi="Cambria Math" w:cs="Cambria Math"/>
                <w:sz w:val="18"/>
                <w:szCs w:val="18"/>
              </w:rPr>
              <w:t>⑦</w:t>
            </w:r>
            <w:r w:rsidRPr="005B5EC1">
              <w:rPr>
                <w:rFonts w:ascii="Times New Roman" w:hAnsi="Times New Roman" w:cs="Times New Roman"/>
                <w:sz w:val="18"/>
                <w:szCs w:val="18"/>
              </w:rPr>
              <w:t>=</w:t>
            </w:r>
            <w:r w:rsidRPr="005B5EC1">
              <w:rPr>
                <w:rFonts w:ascii="Cambria Math" w:hAnsi="Cambria Math" w:cs="Cambria Math"/>
                <w:sz w:val="18"/>
                <w:szCs w:val="18"/>
              </w:rPr>
              <w:t>⑤</w:t>
            </w:r>
            <w:r w:rsidRPr="005B5EC1">
              <w:rPr>
                <w:rFonts w:ascii="Times New Roman" w:hAnsi="Times New Roman" w:cs="Times New Roman"/>
                <w:sz w:val="18"/>
                <w:szCs w:val="18"/>
              </w:rPr>
              <w:t>+</w:t>
            </w:r>
            <w:r w:rsidRPr="005B5EC1">
              <w:rPr>
                <w:rFonts w:ascii="Cambria Math" w:hAnsi="Cambria Math" w:cs="Cambria Math"/>
                <w:sz w:val="18"/>
                <w:szCs w:val="18"/>
              </w:rPr>
              <w:t>⑥</w:t>
            </w:r>
          </w:p>
        </w:tc>
        <w:tc>
          <w:tcPr>
            <w:tcW w:w="2214" w:type="pct"/>
            <w:noWrap/>
            <w:tcMar>
              <w:top w:w="0" w:type="dxa"/>
              <w:left w:w="0" w:type="dxa"/>
              <w:bottom w:w="0" w:type="dxa"/>
              <w:right w:w="0" w:type="dxa"/>
            </w:tcMar>
            <w:vAlign w:val="center"/>
            <w:hideMark/>
          </w:tcPr>
          <w:p w14:paraId="7191A84C"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18,155.64</w:t>
            </w:r>
          </w:p>
        </w:tc>
      </w:tr>
      <w:tr w:rsidR="00AF139E" w:rsidRPr="005B5EC1" w14:paraId="2E877975" w14:textId="77777777" w:rsidTr="005C09BC">
        <w:trPr>
          <w:divId w:val="1626814734"/>
          <w:trHeight w:val="340"/>
        </w:trPr>
        <w:tc>
          <w:tcPr>
            <w:tcW w:w="2786" w:type="pct"/>
            <w:noWrap/>
            <w:tcMar>
              <w:top w:w="0" w:type="dxa"/>
              <w:left w:w="0" w:type="dxa"/>
              <w:bottom w:w="0" w:type="dxa"/>
              <w:right w:w="0" w:type="dxa"/>
            </w:tcMar>
            <w:vAlign w:val="center"/>
            <w:hideMark/>
          </w:tcPr>
          <w:p w14:paraId="1A30C993"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资产组预计未来现金流量的现值（可回收金额）</w:t>
            </w:r>
            <w:r w:rsidRPr="005B5EC1">
              <w:rPr>
                <w:rFonts w:ascii="Cambria Math" w:hAnsi="Cambria Math" w:cs="Cambria Math"/>
                <w:sz w:val="18"/>
                <w:szCs w:val="18"/>
              </w:rPr>
              <w:t>⑧</w:t>
            </w:r>
          </w:p>
        </w:tc>
        <w:tc>
          <w:tcPr>
            <w:tcW w:w="2214" w:type="pct"/>
            <w:noWrap/>
            <w:tcMar>
              <w:top w:w="0" w:type="dxa"/>
              <w:left w:w="0" w:type="dxa"/>
              <w:bottom w:w="0" w:type="dxa"/>
              <w:right w:w="0" w:type="dxa"/>
            </w:tcMar>
            <w:vAlign w:val="center"/>
            <w:hideMark/>
          </w:tcPr>
          <w:p w14:paraId="5CB1DD66"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19,260.00</w:t>
            </w:r>
          </w:p>
        </w:tc>
      </w:tr>
      <w:tr w:rsidR="00AF139E" w:rsidRPr="005B5EC1" w14:paraId="09D0F3C7" w14:textId="77777777" w:rsidTr="005C09BC">
        <w:trPr>
          <w:divId w:val="1626814734"/>
          <w:trHeight w:val="340"/>
        </w:trPr>
        <w:tc>
          <w:tcPr>
            <w:tcW w:w="2786" w:type="pct"/>
            <w:noWrap/>
            <w:tcMar>
              <w:top w:w="0" w:type="dxa"/>
              <w:left w:w="0" w:type="dxa"/>
              <w:bottom w:w="0" w:type="dxa"/>
              <w:right w:w="0" w:type="dxa"/>
            </w:tcMar>
            <w:vAlign w:val="center"/>
            <w:hideMark/>
          </w:tcPr>
          <w:p w14:paraId="1E4B4A75"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商誉减值损失（大于</w:t>
            </w:r>
            <w:r w:rsidRPr="005B5EC1">
              <w:rPr>
                <w:rFonts w:ascii="Times New Roman" w:hAnsi="Times New Roman" w:cs="Times New Roman"/>
                <w:sz w:val="18"/>
                <w:szCs w:val="18"/>
              </w:rPr>
              <w:t>0</w:t>
            </w:r>
            <w:r w:rsidRPr="005B5EC1">
              <w:rPr>
                <w:rFonts w:ascii="Times New Roman" w:hAnsi="Times New Roman" w:cs="Times New Roman"/>
                <w:sz w:val="18"/>
                <w:szCs w:val="18"/>
              </w:rPr>
              <w:t>时）</w:t>
            </w:r>
            <w:r w:rsidRPr="005B5EC1">
              <w:rPr>
                <w:rFonts w:ascii="Cambria Math" w:hAnsi="Cambria Math" w:cs="Cambria Math"/>
                <w:sz w:val="18"/>
                <w:szCs w:val="18"/>
              </w:rPr>
              <w:t>⑨</w:t>
            </w:r>
            <w:r w:rsidRPr="005B5EC1">
              <w:rPr>
                <w:rFonts w:ascii="Times New Roman" w:hAnsi="Times New Roman" w:cs="Times New Roman"/>
                <w:sz w:val="18"/>
                <w:szCs w:val="18"/>
              </w:rPr>
              <w:t>=</w:t>
            </w:r>
            <w:r w:rsidRPr="005B5EC1">
              <w:rPr>
                <w:rFonts w:ascii="Cambria Math" w:hAnsi="Cambria Math" w:cs="Cambria Math"/>
                <w:sz w:val="18"/>
                <w:szCs w:val="18"/>
              </w:rPr>
              <w:t>⑦</w:t>
            </w:r>
            <w:r w:rsidRPr="005B5EC1">
              <w:rPr>
                <w:rFonts w:ascii="Times New Roman" w:hAnsi="Times New Roman" w:cs="Times New Roman"/>
                <w:sz w:val="18"/>
                <w:szCs w:val="18"/>
              </w:rPr>
              <w:t>-</w:t>
            </w:r>
            <w:r w:rsidRPr="005B5EC1">
              <w:rPr>
                <w:rFonts w:ascii="Cambria Math" w:hAnsi="Cambria Math" w:cs="Cambria Math"/>
                <w:sz w:val="18"/>
                <w:szCs w:val="18"/>
              </w:rPr>
              <w:t>⑧</w:t>
            </w:r>
          </w:p>
        </w:tc>
        <w:tc>
          <w:tcPr>
            <w:tcW w:w="2214" w:type="pct"/>
            <w:noWrap/>
            <w:tcMar>
              <w:top w:w="0" w:type="dxa"/>
              <w:left w:w="0" w:type="dxa"/>
              <w:bottom w:w="0" w:type="dxa"/>
              <w:right w:w="0" w:type="dxa"/>
            </w:tcMar>
            <w:vAlign w:val="center"/>
            <w:hideMark/>
          </w:tcPr>
          <w:p w14:paraId="497432E2"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 xml:space="preserve">　</w:t>
            </w:r>
          </w:p>
        </w:tc>
      </w:tr>
      <w:tr w:rsidR="00AF139E" w:rsidRPr="005B5EC1" w14:paraId="4E5B7D91" w14:textId="77777777" w:rsidTr="005C09BC">
        <w:trPr>
          <w:divId w:val="1626814734"/>
          <w:trHeight w:val="340"/>
        </w:trPr>
        <w:tc>
          <w:tcPr>
            <w:tcW w:w="2786" w:type="pct"/>
            <w:noWrap/>
            <w:tcMar>
              <w:top w:w="0" w:type="dxa"/>
              <w:left w:w="0" w:type="dxa"/>
              <w:bottom w:w="0" w:type="dxa"/>
              <w:right w:w="0" w:type="dxa"/>
            </w:tcMar>
            <w:vAlign w:val="center"/>
            <w:hideMark/>
          </w:tcPr>
          <w:p w14:paraId="3024CD72"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商誉产生时的持股比例</w:t>
            </w:r>
            <w:r w:rsidRPr="005B5EC1">
              <w:rPr>
                <w:rFonts w:ascii="Cambria Math" w:hAnsi="Cambria Math" w:cs="Cambria Math"/>
                <w:sz w:val="18"/>
                <w:szCs w:val="18"/>
              </w:rPr>
              <w:t>⑩</w:t>
            </w:r>
          </w:p>
        </w:tc>
        <w:tc>
          <w:tcPr>
            <w:tcW w:w="2214" w:type="pct"/>
            <w:noWrap/>
            <w:tcMar>
              <w:top w:w="0" w:type="dxa"/>
              <w:left w:w="0" w:type="dxa"/>
              <w:bottom w:w="0" w:type="dxa"/>
              <w:right w:w="0" w:type="dxa"/>
            </w:tcMar>
            <w:vAlign w:val="center"/>
            <w:hideMark/>
          </w:tcPr>
          <w:p w14:paraId="0EEA5214"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70%</w:t>
            </w:r>
          </w:p>
        </w:tc>
      </w:tr>
      <w:tr w:rsidR="00AF139E" w:rsidRPr="005B5EC1" w14:paraId="344C8D8B" w14:textId="77777777" w:rsidTr="005C09BC">
        <w:trPr>
          <w:divId w:val="1626814734"/>
          <w:trHeight w:val="340"/>
        </w:trPr>
        <w:tc>
          <w:tcPr>
            <w:tcW w:w="2786" w:type="pct"/>
            <w:noWrap/>
            <w:tcMar>
              <w:top w:w="0" w:type="dxa"/>
              <w:left w:w="0" w:type="dxa"/>
              <w:bottom w:w="0" w:type="dxa"/>
              <w:right w:w="0" w:type="dxa"/>
            </w:tcMar>
            <w:vAlign w:val="center"/>
            <w:hideMark/>
          </w:tcPr>
          <w:p w14:paraId="26ECF546"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应由本集团确认的商誉减值损失</w:t>
            </w:r>
            <w:r w:rsidRPr="005B5EC1">
              <w:rPr>
                <w:rFonts w:ascii="Cambria Math" w:hAnsi="Cambria Math" w:cs="Cambria Math"/>
                <w:sz w:val="18"/>
                <w:szCs w:val="18"/>
              </w:rPr>
              <w:t>⑪</w:t>
            </w:r>
            <w:r w:rsidRPr="005B5EC1">
              <w:rPr>
                <w:rFonts w:ascii="Times New Roman" w:hAnsi="Times New Roman" w:cs="Times New Roman"/>
                <w:sz w:val="18"/>
                <w:szCs w:val="18"/>
              </w:rPr>
              <w:t>=</w:t>
            </w:r>
            <w:r w:rsidRPr="005B5EC1">
              <w:rPr>
                <w:rFonts w:ascii="Cambria Math" w:hAnsi="Cambria Math" w:cs="Cambria Math"/>
                <w:sz w:val="18"/>
                <w:szCs w:val="18"/>
              </w:rPr>
              <w:t>⑨</w:t>
            </w:r>
            <w:r w:rsidRPr="005B5EC1">
              <w:rPr>
                <w:rFonts w:ascii="Times New Roman" w:hAnsi="Times New Roman" w:cs="Times New Roman"/>
                <w:sz w:val="18"/>
                <w:szCs w:val="18"/>
              </w:rPr>
              <w:t>×</w:t>
            </w:r>
            <w:r w:rsidRPr="005B5EC1">
              <w:rPr>
                <w:rFonts w:ascii="Cambria Math" w:hAnsi="Cambria Math" w:cs="Cambria Math"/>
                <w:sz w:val="18"/>
                <w:szCs w:val="18"/>
              </w:rPr>
              <w:t>⑩</w:t>
            </w:r>
          </w:p>
        </w:tc>
        <w:tc>
          <w:tcPr>
            <w:tcW w:w="2214" w:type="pct"/>
            <w:noWrap/>
            <w:tcMar>
              <w:top w:w="0" w:type="dxa"/>
              <w:left w:w="0" w:type="dxa"/>
              <w:bottom w:w="0" w:type="dxa"/>
              <w:right w:w="0" w:type="dxa"/>
            </w:tcMar>
            <w:vAlign w:val="center"/>
            <w:hideMark/>
          </w:tcPr>
          <w:p w14:paraId="6B8A50D9" w14:textId="77777777" w:rsidR="00AF139E" w:rsidRPr="005B5EC1" w:rsidRDefault="00000000" w:rsidP="005C09BC">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 xml:space="preserve">　</w:t>
            </w:r>
          </w:p>
        </w:tc>
      </w:tr>
    </w:tbl>
    <w:p w14:paraId="77DED8F2"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上述资产组预计未来现金流量的现值（可收回金额）利用了深圳中科华资产评估有限公司于</w:t>
      </w: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16</w:t>
      </w:r>
      <w:r w:rsidRPr="005B5EC1">
        <w:rPr>
          <w:rFonts w:ascii="Times New Roman" w:eastAsia="宋体" w:hAnsi="Times New Roman" w:cs="Times New Roman"/>
          <w:sz w:val="18"/>
          <w:szCs w:val="18"/>
        </w:rPr>
        <w:t>日出具的深中科华评报字</w:t>
      </w: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第</w:t>
      </w:r>
      <w:r w:rsidRPr="005B5EC1">
        <w:rPr>
          <w:rFonts w:ascii="Times New Roman" w:eastAsia="宋体" w:hAnsi="Times New Roman" w:cs="Times New Roman"/>
          <w:sz w:val="18"/>
          <w:szCs w:val="18"/>
        </w:rPr>
        <w:t>033</w:t>
      </w:r>
      <w:r w:rsidRPr="005B5EC1">
        <w:rPr>
          <w:rFonts w:ascii="Times New Roman" w:eastAsia="宋体" w:hAnsi="Times New Roman" w:cs="Times New Roman"/>
          <w:sz w:val="18"/>
          <w:szCs w:val="18"/>
        </w:rPr>
        <w:t>号《山东龙大美食股份有限公司因商誉减值测试所涉及的潍坊振祥食品有限公司包含商誉的资产组可收回金额评估项目资产评估报告》的评估结果。</w:t>
      </w:r>
    </w:p>
    <w:p w14:paraId="16FD428B"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重要假设及依据：</w:t>
      </w:r>
    </w:p>
    <w:p w14:paraId="0CEE8918"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交易假设：假定所有待评估资产已经处在交易过程中，评估师根据待评估资产的交易条件等模拟市场进行估价。</w:t>
      </w:r>
    </w:p>
    <w:p w14:paraId="360E12D8"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公开市场假设：公开市场假设是对资产拟进入的市场的条件以及资产在这样的市场条件下接受何种影响的一种假定。公开市场是指充分发达与完善的市场条件，是指一个有自愿的买方和卖方的竞争性市场，在这个市场上，买方和卖方的地位平等，都有获取足够市场信息的机会和时间，买卖双方的交易都是在自愿的、理智的、非强制性或不受限制的条件下进行。</w:t>
      </w:r>
    </w:p>
    <w:p w14:paraId="54F5B9FD"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持续使用假设：持续使用假设是对资产拟进入市场的条件以及资产在这样的市场条件下的资产状态的一种假定。首先被评估资产正处于使用状态，其次假定处于使用状态的资产还将继续使用下去。在持续使用假设条件下，没有考虑资产用途转换或者最佳利用条件，其评估结果的使用范围受到限制。</w:t>
      </w:r>
    </w:p>
    <w:p w14:paraId="71ED10B9"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本次评估假设评估基准日后国家宏观经济政策和外部经济环境无重大变化。</w:t>
      </w:r>
    </w:p>
    <w:p w14:paraId="2EA7860A"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假设产权持有人管理层称职地对有关资产实行了有效的管理，本次经济行为的相关当事方没有任何违反国家法律、法规的行为。</w:t>
      </w:r>
    </w:p>
    <w:p w14:paraId="6BCDF8C9" w14:textId="77777777" w:rsidR="00AF139E" w:rsidRPr="005B5EC1" w:rsidRDefault="00AF139E" w:rsidP="005C09BC">
      <w:pPr>
        <w:widowControl/>
        <w:spacing w:after="0" w:line="276" w:lineRule="auto"/>
        <w:ind w:firstLineChars="200" w:firstLine="360"/>
        <w:divId w:val="1626814734"/>
        <w:rPr>
          <w:rFonts w:ascii="Times New Roman" w:eastAsia="宋体" w:hAnsi="Times New Roman" w:cs="Times New Roman"/>
          <w:sz w:val="18"/>
          <w:szCs w:val="18"/>
        </w:rPr>
      </w:pPr>
    </w:p>
    <w:p w14:paraId="57CE17FA" w14:textId="77777777" w:rsidR="00AF139E" w:rsidRPr="005B5EC1" w:rsidRDefault="00000000" w:rsidP="005C09BC">
      <w:pPr>
        <w:widowControl/>
        <w:spacing w:after="0" w:line="276" w:lineRule="auto"/>
        <w:ind w:firstLineChars="200" w:firstLine="360"/>
        <w:divId w:val="1626814734"/>
        <w:rPr>
          <w:rFonts w:ascii="Times New Roman" w:eastAsia="宋体" w:hAnsi="Times New Roman" w:cs="Times New Roman"/>
          <w:sz w:val="18"/>
          <w:szCs w:val="18"/>
        </w:rPr>
      </w:pPr>
      <w:r w:rsidRPr="005B5EC1">
        <w:rPr>
          <w:rFonts w:ascii="Times New Roman" w:eastAsia="宋体" w:hAnsi="Times New Roman" w:cs="Times New Roman"/>
          <w:sz w:val="18"/>
          <w:szCs w:val="18"/>
        </w:rPr>
        <w:t>关键参数：</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2"/>
        <w:gridCol w:w="1642"/>
        <w:gridCol w:w="1254"/>
        <w:gridCol w:w="1176"/>
        <w:gridCol w:w="2017"/>
        <w:gridCol w:w="2124"/>
      </w:tblGrid>
      <w:tr w:rsidR="00AF139E" w:rsidRPr="005B5EC1" w14:paraId="20061F75" w14:textId="77777777" w:rsidTr="005C09BC">
        <w:trPr>
          <w:divId w:val="1626814734"/>
          <w:trHeight w:val="386"/>
          <w:jc w:val="center"/>
        </w:trPr>
        <w:tc>
          <w:tcPr>
            <w:tcW w:w="1642" w:type="dxa"/>
            <w:tcMar>
              <w:top w:w="0" w:type="dxa"/>
              <w:left w:w="0" w:type="dxa"/>
              <w:bottom w:w="0" w:type="dxa"/>
              <w:right w:w="0" w:type="dxa"/>
            </w:tcMar>
            <w:vAlign w:val="center"/>
            <w:hideMark/>
          </w:tcPr>
          <w:p w14:paraId="187AAD76"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1642" w:type="dxa"/>
            <w:tcMar>
              <w:top w:w="0" w:type="dxa"/>
              <w:left w:w="0" w:type="dxa"/>
              <w:bottom w:w="0" w:type="dxa"/>
              <w:right w:w="0" w:type="dxa"/>
            </w:tcMar>
            <w:vAlign w:val="center"/>
            <w:hideMark/>
          </w:tcPr>
          <w:p w14:paraId="355D40F7"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预测期</w:t>
            </w:r>
          </w:p>
        </w:tc>
        <w:tc>
          <w:tcPr>
            <w:tcW w:w="1254" w:type="dxa"/>
            <w:tcMar>
              <w:top w:w="0" w:type="dxa"/>
              <w:left w:w="0" w:type="dxa"/>
              <w:bottom w:w="0" w:type="dxa"/>
              <w:right w:w="0" w:type="dxa"/>
            </w:tcMar>
            <w:vAlign w:val="center"/>
            <w:hideMark/>
          </w:tcPr>
          <w:p w14:paraId="559206F1"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预测期增长率</w:t>
            </w:r>
          </w:p>
        </w:tc>
        <w:tc>
          <w:tcPr>
            <w:tcW w:w="1176" w:type="dxa"/>
            <w:tcMar>
              <w:top w:w="0" w:type="dxa"/>
              <w:left w:w="0" w:type="dxa"/>
              <w:bottom w:w="0" w:type="dxa"/>
              <w:right w:w="0" w:type="dxa"/>
            </w:tcMar>
            <w:vAlign w:val="center"/>
            <w:hideMark/>
          </w:tcPr>
          <w:p w14:paraId="5E2122C4"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稳定期增长率</w:t>
            </w:r>
          </w:p>
        </w:tc>
        <w:tc>
          <w:tcPr>
            <w:tcW w:w="2017" w:type="dxa"/>
            <w:noWrap/>
            <w:tcMar>
              <w:top w:w="0" w:type="dxa"/>
              <w:left w:w="0" w:type="dxa"/>
              <w:bottom w:w="0" w:type="dxa"/>
              <w:right w:w="0" w:type="dxa"/>
            </w:tcMar>
            <w:vAlign w:val="center"/>
            <w:hideMark/>
          </w:tcPr>
          <w:p w14:paraId="383FA387"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利润率</w:t>
            </w:r>
          </w:p>
        </w:tc>
        <w:tc>
          <w:tcPr>
            <w:tcW w:w="2124" w:type="dxa"/>
            <w:noWrap/>
            <w:tcMar>
              <w:top w:w="0" w:type="dxa"/>
              <w:left w:w="0" w:type="dxa"/>
              <w:bottom w:w="0" w:type="dxa"/>
              <w:right w:w="0" w:type="dxa"/>
            </w:tcMar>
            <w:vAlign w:val="center"/>
            <w:hideMark/>
          </w:tcPr>
          <w:p w14:paraId="7C714236"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税前折现率（加权平均资本成本</w:t>
            </w:r>
            <w:r w:rsidRPr="005B5EC1">
              <w:rPr>
                <w:rFonts w:ascii="Times New Roman" w:hAnsi="Times New Roman" w:cs="Times New Roman"/>
                <w:sz w:val="18"/>
                <w:szCs w:val="18"/>
              </w:rPr>
              <w:t>WACC</w:t>
            </w:r>
            <w:r w:rsidRPr="005B5EC1">
              <w:rPr>
                <w:rFonts w:ascii="Times New Roman" w:hAnsi="Times New Roman" w:cs="Times New Roman"/>
                <w:sz w:val="18"/>
                <w:szCs w:val="18"/>
              </w:rPr>
              <w:t>）</w:t>
            </w:r>
          </w:p>
        </w:tc>
      </w:tr>
      <w:tr w:rsidR="00AF139E" w:rsidRPr="005B5EC1" w14:paraId="2C73320F" w14:textId="77777777" w:rsidTr="005C09BC">
        <w:trPr>
          <w:divId w:val="1626814734"/>
          <w:trHeight w:val="386"/>
          <w:jc w:val="center"/>
        </w:trPr>
        <w:tc>
          <w:tcPr>
            <w:tcW w:w="1642" w:type="dxa"/>
            <w:tcMar>
              <w:top w:w="0" w:type="dxa"/>
              <w:left w:w="0" w:type="dxa"/>
              <w:bottom w:w="0" w:type="dxa"/>
              <w:right w:w="0" w:type="dxa"/>
            </w:tcMar>
            <w:hideMark/>
          </w:tcPr>
          <w:p w14:paraId="25F19F80" w14:textId="77777777" w:rsidR="00AF139E" w:rsidRPr="005B5EC1" w:rsidRDefault="00000000" w:rsidP="005C09BC">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潍坊振祥食品有限公司</w:t>
            </w:r>
          </w:p>
        </w:tc>
        <w:tc>
          <w:tcPr>
            <w:tcW w:w="1642" w:type="dxa"/>
            <w:tcMar>
              <w:top w:w="0" w:type="dxa"/>
              <w:left w:w="0" w:type="dxa"/>
              <w:bottom w:w="0" w:type="dxa"/>
              <w:right w:w="0" w:type="dxa"/>
            </w:tcMar>
            <w:hideMark/>
          </w:tcPr>
          <w:p w14:paraId="4180BCBA"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2025-2029</w:t>
            </w:r>
            <w:r w:rsidRPr="005B5EC1">
              <w:rPr>
                <w:rFonts w:ascii="Times New Roman" w:hAnsi="Times New Roman" w:cs="Times New Roman"/>
                <w:sz w:val="18"/>
                <w:szCs w:val="18"/>
              </w:rPr>
              <w:t>年</w:t>
            </w:r>
          </w:p>
          <w:p w14:paraId="02D51380"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（后续为稳定期）</w:t>
            </w:r>
          </w:p>
        </w:tc>
        <w:tc>
          <w:tcPr>
            <w:tcW w:w="1254" w:type="dxa"/>
            <w:tcMar>
              <w:top w:w="0" w:type="dxa"/>
              <w:left w:w="0" w:type="dxa"/>
              <w:bottom w:w="0" w:type="dxa"/>
              <w:right w:w="0" w:type="dxa"/>
            </w:tcMar>
            <w:hideMark/>
          </w:tcPr>
          <w:p w14:paraId="4359C681"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注</w:t>
            </w:r>
            <w:r w:rsidRPr="005B5EC1">
              <w:rPr>
                <w:rFonts w:ascii="Times New Roman" w:hAnsi="Times New Roman" w:cs="Times New Roman"/>
                <w:sz w:val="18"/>
                <w:szCs w:val="18"/>
              </w:rPr>
              <w:t>1</w:t>
            </w:r>
          </w:p>
        </w:tc>
        <w:tc>
          <w:tcPr>
            <w:tcW w:w="1176" w:type="dxa"/>
            <w:tcMar>
              <w:top w:w="0" w:type="dxa"/>
              <w:left w:w="0" w:type="dxa"/>
              <w:bottom w:w="0" w:type="dxa"/>
              <w:right w:w="0" w:type="dxa"/>
            </w:tcMar>
            <w:hideMark/>
          </w:tcPr>
          <w:p w14:paraId="662114C3"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持平</w:t>
            </w:r>
          </w:p>
        </w:tc>
        <w:tc>
          <w:tcPr>
            <w:tcW w:w="2017" w:type="dxa"/>
            <w:noWrap/>
            <w:tcMar>
              <w:top w:w="0" w:type="dxa"/>
              <w:left w:w="0" w:type="dxa"/>
              <w:bottom w:w="0" w:type="dxa"/>
              <w:right w:w="0" w:type="dxa"/>
            </w:tcMar>
            <w:hideMark/>
          </w:tcPr>
          <w:p w14:paraId="1E265BC7"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根据预测的收入、成本、税费等计算</w:t>
            </w:r>
          </w:p>
        </w:tc>
        <w:tc>
          <w:tcPr>
            <w:tcW w:w="2124" w:type="dxa"/>
            <w:noWrap/>
            <w:tcMar>
              <w:top w:w="0" w:type="dxa"/>
              <w:left w:w="0" w:type="dxa"/>
              <w:bottom w:w="0" w:type="dxa"/>
              <w:right w:w="0" w:type="dxa"/>
            </w:tcMar>
            <w:hideMark/>
          </w:tcPr>
          <w:p w14:paraId="409B9A17" w14:textId="77777777" w:rsidR="00AF139E" w:rsidRPr="005B5EC1" w:rsidRDefault="00000000" w:rsidP="005C09BC">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12.55</w:t>
            </w:r>
          </w:p>
        </w:tc>
      </w:tr>
    </w:tbl>
    <w:p w14:paraId="5A542AC9" w14:textId="77777777" w:rsidR="00AF139E" w:rsidRPr="005B5EC1" w:rsidRDefault="00000000">
      <w:pPr>
        <w:pStyle w:val="a3"/>
        <w:spacing w:before="0" w:beforeAutospacing="0" w:after="0" w:afterAutospacing="0" w:line="460" w:lineRule="atLeast"/>
        <w:ind w:firstLine="360"/>
        <w:jc w:val="both"/>
        <w:divId w:val="1626814734"/>
        <w:rPr>
          <w:rFonts w:ascii="Times New Roman" w:hAnsi="Times New Roman" w:cs="Times New Roman"/>
          <w:kern w:val="2"/>
          <w:sz w:val="18"/>
          <w:szCs w:val="18"/>
          <w14:ligatures w14:val="standardContextual"/>
        </w:rPr>
      </w:pPr>
      <w:r w:rsidRPr="005B5EC1">
        <w:rPr>
          <w:rFonts w:ascii="Times New Roman" w:hAnsi="Times New Roman" w:cs="Times New Roman"/>
          <w:kern w:val="2"/>
          <w:sz w:val="18"/>
          <w:szCs w:val="18"/>
          <w14:ligatures w14:val="standardContextual"/>
        </w:rPr>
        <w:t>注</w:t>
      </w:r>
      <w:r w:rsidRPr="005B5EC1">
        <w:rPr>
          <w:rFonts w:ascii="Times New Roman" w:hAnsi="Times New Roman" w:cs="Times New Roman"/>
          <w:kern w:val="2"/>
          <w:sz w:val="18"/>
          <w:szCs w:val="18"/>
          <w14:ligatures w14:val="standardContextual"/>
        </w:rPr>
        <w:t>1</w:t>
      </w:r>
      <w:r w:rsidRPr="005B5EC1">
        <w:rPr>
          <w:rFonts w:ascii="Times New Roman" w:hAnsi="Times New Roman" w:cs="Times New Roman"/>
          <w:kern w:val="2"/>
          <w:sz w:val="18"/>
          <w:szCs w:val="18"/>
          <w14:ligatures w14:val="standardContextual"/>
        </w:rPr>
        <w:t>：收入预测基本遵循采纳了潍坊振祥</w:t>
      </w:r>
      <w:r w:rsidRPr="005B5EC1">
        <w:rPr>
          <w:rFonts w:ascii="Times New Roman" w:hAnsi="Times New Roman" w:cs="Times New Roman"/>
          <w:kern w:val="2"/>
          <w:sz w:val="18"/>
          <w:szCs w:val="18"/>
          <w14:ligatures w14:val="standardContextual"/>
        </w:rPr>
        <w:t>2025-2029</w:t>
      </w:r>
      <w:r w:rsidRPr="005B5EC1">
        <w:rPr>
          <w:rFonts w:ascii="Times New Roman" w:hAnsi="Times New Roman" w:cs="Times New Roman"/>
          <w:kern w:val="2"/>
          <w:sz w:val="18"/>
          <w:szCs w:val="18"/>
          <w14:ligatures w14:val="standardContextual"/>
        </w:rPr>
        <w:t>预算的各项数据，结合潍坊振祥的实际产能、市场情况和经营规划，确定预测年度销售数量的增长率，</w:t>
      </w:r>
      <w:r w:rsidRPr="005B5EC1">
        <w:rPr>
          <w:rFonts w:ascii="Times New Roman" w:hAnsi="Times New Roman" w:cs="Times New Roman"/>
          <w:kern w:val="2"/>
          <w:sz w:val="18"/>
          <w:szCs w:val="18"/>
          <w14:ligatures w14:val="standardContextual"/>
        </w:rPr>
        <w:t>2025</w:t>
      </w:r>
      <w:r w:rsidRPr="005B5EC1">
        <w:rPr>
          <w:rFonts w:ascii="Times New Roman" w:hAnsi="Times New Roman" w:cs="Times New Roman"/>
          <w:kern w:val="2"/>
          <w:sz w:val="18"/>
          <w:szCs w:val="18"/>
          <w14:ligatures w14:val="standardContextual"/>
        </w:rPr>
        <w:t>年</w:t>
      </w:r>
      <w:r w:rsidRPr="005B5EC1">
        <w:rPr>
          <w:rFonts w:ascii="Times New Roman" w:hAnsi="Times New Roman" w:cs="Times New Roman"/>
          <w:kern w:val="2"/>
          <w:sz w:val="18"/>
          <w:szCs w:val="18"/>
          <w14:ligatures w14:val="standardContextual"/>
        </w:rPr>
        <w:t>-2029</w:t>
      </w:r>
      <w:r w:rsidRPr="005B5EC1">
        <w:rPr>
          <w:rFonts w:ascii="Times New Roman" w:hAnsi="Times New Roman" w:cs="Times New Roman"/>
          <w:kern w:val="2"/>
          <w:sz w:val="18"/>
          <w:szCs w:val="18"/>
          <w14:ligatures w14:val="standardContextual"/>
        </w:rPr>
        <w:t>年增长率按下表确定：</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5"/>
        <w:gridCol w:w="1647"/>
        <w:gridCol w:w="1649"/>
        <w:gridCol w:w="1646"/>
        <w:gridCol w:w="1646"/>
        <w:gridCol w:w="1648"/>
      </w:tblGrid>
      <w:tr w:rsidR="00AF139E" w:rsidRPr="005B5EC1" w14:paraId="6197A69F" w14:textId="77777777" w:rsidTr="005C09BC">
        <w:trPr>
          <w:divId w:val="1626814734"/>
          <w:trHeight w:val="412"/>
          <w:jc w:val="center"/>
        </w:trPr>
        <w:tc>
          <w:tcPr>
            <w:tcW w:w="832" w:type="pct"/>
            <w:noWrap/>
            <w:tcMar>
              <w:top w:w="0" w:type="dxa"/>
              <w:left w:w="108" w:type="dxa"/>
              <w:bottom w:w="0" w:type="dxa"/>
              <w:right w:w="108" w:type="dxa"/>
            </w:tcMar>
            <w:vAlign w:val="center"/>
            <w:hideMark/>
          </w:tcPr>
          <w:p w14:paraId="69FA49D8"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年度</w:t>
            </w:r>
          </w:p>
        </w:tc>
        <w:tc>
          <w:tcPr>
            <w:tcW w:w="833" w:type="pct"/>
            <w:noWrap/>
            <w:tcMar>
              <w:top w:w="0" w:type="dxa"/>
              <w:left w:w="108" w:type="dxa"/>
              <w:bottom w:w="0" w:type="dxa"/>
              <w:right w:w="108" w:type="dxa"/>
            </w:tcMar>
            <w:vAlign w:val="center"/>
            <w:hideMark/>
          </w:tcPr>
          <w:p w14:paraId="41EFC1BB"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2025</w:t>
            </w:r>
            <w:r w:rsidRPr="005B5EC1">
              <w:rPr>
                <w:rFonts w:ascii="Times New Roman" w:hAnsi="Times New Roman" w:cs="Times New Roman"/>
                <w:sz w:val="18"/>
                <w:szCs w:val="18"/>
              </w:rPr>
              <w:t>年度</w:t>
            </w:r>
          </w:p>
        </w:tc>
        <w:tc>
          <w:tcPr>
            <w:tcW w:w="834" w:type="pct"/>
            <w:noWrap/>
            <w:tcMar>
              <w:top w:w="0" w:type="dxa"/>
              <w:left w:w="108" w:type="dxa"/>
              <w:bottom w:w="0" w:type="dxa"/>
              <w:right w:w="108" w:type="dxa"/>
            </w:tcMar>
            <w:vAlign w:val="center"/>
            <w:hideMark/>
          </w:tcPr>
          <w:p w14:paraId="25E7E9BE"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2026</w:t>
            </w:r>
            <w:r w:rsidRPr="005B5EC1">
              <w:rPr>
                <w:rFonts w:ascii="Times New Roman" w:hAnsi="Times New Roman" w:cs="Times New Roman"/>
                <w:sz w:val="18"/>
                <w:szCs w:val="18"/>
              </w:rPr>
              <w:t>年度</w:t>
            </w:r>
          </w:p>
        </w:tc>
        <w:tc>
          <w:tcPr>
            <w:tcW w:w="833" w:type="pct"/>
            <w:noWrap/>
            <w:tcMar>
              <w:top w:w="0" w:type="dxa"/>
              <w:left w:w="108" w:type="dxa"/>
              <w:bottom w:w="0" w:type="dxa"/>
              <w:right w:w="108" w:type="dxa"/>
            </w:tcMar>
            <w:vAlign w:val="center"/>
            <w:hideMark/>
          </w:tcPr>
          <w:p w14:paraId="4CFEEA73"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2027</w:t>
            </w:r>
            <w:r w:rsidRPr="005B5EC1">
              <w:rPr>
                <w:rFonts w:ascii="Times New Roman" w:hAnsi="Times New Roman" w:cs="Times New Roman"/>
                <w:sz w:val="18"/>
                <w:szCs w:val="18"/>
              </w:rPr>
              <w:t>年度</w:t>
            </w:r>
          </w:p>
        </w:tc>
        <w:tc>
          <w:tcPr>
            <w:tcW w:w="833" w:type="pct"/>
            <w:noWrap/>
            <w:tcMar>
              <w:top w:w="0" w:type="dxa"/>
              <w:left w:w="108" w:type="dxa"/>
              <w:bottom w:w="0" w:type="dxa"/>
              <w:right w:w="108" w:type="dxa"/>
            </w:tcMar>
            <w:vAlign w:val="center"/>
            <w:hideMark/>
          </w:tcPr>
          <w:p w14:paraId="6A75221B"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2028</w:t>
            </w:r>
            <w:r w:rsidRPr="005B5EC1">
              <w:rPr>
                <w:rFonts w:ascii="Times New Roman" w:hAnsi="Times New Roman" w:cs="Times New Roman"/>
                <w:sz w:val="18"/>
                <w:szCs w:val="18"/>
              </w:rPr>
              <w:t>年度</w:t>
            </w:r>
          </w:p>
        </w:tc>
        <w:tc>
          <w:tcPr>
            <w:tcW w:w="834" w:type="pct"/>
            <w:tcMar>
              <w:top w:w="0" w:type="dxa"/>
              <w:left w:w="108" w:type="dxa"/>
              <w:bottom w:w="0" w:type="dxa"/>
              <w:right w:w="108" w:type="dxa"/>
            </w:tcMar>
            <w:vAlign w:val="center"/>
            <w:hideMark/>
          </w:tcPr>
          <w:p w14:paraId="2AAA47F7"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2029</w:t>
            </w:r>
            <w:r w:rsidRPr="005B5EC1">
              <w:rPr>
                <w:rFonts w:ascii="Times New Roman" w:hAnsi="Times New Roman" w:cs="Times New Roman"/>
                <w:sz w:val="18"/>
                <w:szCs w:val="18"/>
              </w:rPr>
              <w:t>年度</w:t>
            </w:r>
          </w:p>
        </w:tc>
      </w:tr>
      <w:tr w:rsidR="00AF139E" w:rsidRPr="005B5EC1" w14:paraId="33CE7F62" w14:textId="77777777" w:rsidTr="005C09BC">
        <w:trPr>
          <w:divId w:val="1626814734"/>
          <w:trHeight w:val="412"/>
          <w:jc w:val="center"/>
        </w:trPr>
        <w:tc>
          <w:tcPr>
            <w:tcW w:w="832" w:type="pct"/>
            <w:noWrap/>
            <w:tcMar>
              <w:top w:w="0" w:type="dxa"/>
              <w:left w:w="108" w:type="dxa"/>
              <w:bottom w:w="0" w:type="dxa"/>
              <w:right w:w="108" w:type="dxa"/>
            </w:tcMar>
            <w:vAlign w:val="center"/>
            <w:hideMark/>
          </w:tcPr>
          <w:p w14:paraId="11DFFE14" w14:textId="77777777" w:rsidR="00AF139E" w:rsidRPr="005B5EC1" w:rsidRDefault="00000000">
            <w:pPr>
              <w:pStyle w:val="a3"/>
              <w:spacing w:before="0" w:beforeAutospacing="0" w:after="0" w:afterAutospacing="0" w:line="460" w:lineRule="atLeast"/>
              <w:jc w:val="both"/>
              <w:rPr>
                <w:rFonts w:ascii="Times New Roman" w:hAnsi="Times New Roman" w:cs="Times New Roman"/>
                <w:sz w:val="21"/>
                <w:szCs w:val="21"/>
              </w:rPr>
            </w:pPr>
            <w:r w:rsidRPr="005B5EC1">
              <w:rPr>
                <w:rFonts w:ascii="Times New Roman" w:hAnsi="Times New Roman" w:cs="Times New Roman"/>
                <w:sz w:val="18"/>
                <w:szCs w:val="18"/>
              </w:rPr>
              <w:t>猪肉产品销售</w:t>
            </w:r>
          </w:p>
        </w:tc>
        <w:tc>
          <w:tcPr>
            <w:tcW w:w="833" w:type="pct"/>
            <w:noWrap/>
            <w:tcMar>
              <w:top w:w="0" w:type="dxa"/>
              <w:left w:w="108" w:type="dxa"/>
              <w:bottom w:w="0" w:type="dxa"/>
              <w:right w:w="108" w:type="dxa"/>
            </w:tcMar>
            <w:vAlign w:val="center"/>
            <w:hideMark/>
          </w:tcPr>
          <w:p w14:paraId="5922F059"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30.43%</w:t>
            </w:r>
          </w:p>
        </w:tc>
        <w:tc>
          <w:tcPr>
            <w:tcW w:w="834" w:type="pct"/>
            <w:noWrap/>
            <w:tcMar>
              <w:top w:w="0" w:type="dxa"/>
              <w:left w:w="108" w:type="dxa"/>
              <w:bottom w:w="0" w:type="dxa"/>
              <w:right w:w="108" w:type="dxa"/>
            </w:tcMar>
            <w:vAlign w:val="center"/>
            <w:hideMark/>
          </w:tcPr>
          <w:p w14:paraId="2C6B712E"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5.00%</w:t>
            </w:r>
          </w:p>
        </w:tc>
        <w:tc>
          <w:tcPr>
            <w:tcW w:w="833" w:type="pct"/>
            <w:noWrap/>
            <w:tcMar>
              <w:top w:w="0" w:type="dxa"/>
              <w:left w:w="108" w:type="dxa"/>
              <w:bottom w:w="0" w:type="dxa"/>
              <w:right w:w="108" w:type="dxa"/>
            </w:tcMar>
            <w:vAlign w:val="center"/>
            <w:hideMark/>
          </w:tcPr>
          <w:p w14:paraId="30E1CC4D"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5.00%</w:t>
            </w:r>
          </w:p>
        </w:tc>
        <w:tc>
          <w:tcPr>
            <w:tcW w:w="833" w:type="pct"/>
            <w:noWrap/>
            <w:tcMar>
              <w:top w:w="0" w:type="dxa"/>
              <w:left w:w="108" w:type="dxa"/>
              <w:bottom w:w="0" w:type="dxa"/>
              <w:right w:w="108" w:type="dxa"/>
            </w:tcMar>
            <w:vAlign w:val="center"/>
            <w:hideMark/>
          </w:tcPr>
          <w:p w14:paraId="61677099"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5.00%</w:t>
            </w:r>
          </w:p>
        </w:tc>
        <w:tc>
          <w:tcPr>
            <w:tcW w:w="834" w:type="pct"/>
            <w:noWrap/>
            <w:tcMar>
              <w:top w:w="0" w:type="dxa"/>
              <w:left w:w="108" w:type="dxa"/>
              <w:bottom w:w="0" w:type="dxa"/>
              <w:right w:w="108" w:type="dxa"/>
            </w:tcMar>
            <w:vAlign w:val="center"/>
            <w:hideMark/>
          </w:tcPr>
          <w:p w14:paraId="58579A7D" w14:textId="77777777" w:rsidR="00AF139E" w:rsidRPr="005B5EC1" w:rsidRDefault="00000000">
            <w:pPr>
              <w:pStyle w:val="a3"/>
              <w:spacing w:before="0" w:beforeAutospacing="0" w:after="0" w:afterAutospacing="0" w:line="460" w:lineRule="atLeast"/>
              <w:jc w:val="center"/>
              <w:rPr>
                <w:rFonts w:ascii="Times New Roman" w:hAnsi="Times New Roman" w:cs="Times New Roman"/>
                <w:sz w:val="21"/>
                <w:szCs w:val="21"/>
              </w:rPr>
            </w:pPr>
            <w:r w:rsidRPr="005B5EC1">
              <w:rPr>
                <w:rFonts w:ascii="Times New Roman" w:hAnsi="Times New Roman" w:cs="Times New Roman"/>
                <w:sz w:val="18"/>
                <w:szCs w:val="18"/>
              </w:rPr>
              <w:t>5.00%</w:t>
            </w:r>
          </w:p>
        </w:tc>
      </w:tr>
    </w:tbl>
    <w:p w14:paraId="6AB58F9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20" w:name="_Toc98924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可收回金额的具体确定方法</w:t>
      </w:r>
      <w:bookmarkEnd w:id="320"/>
    </w:p>
    <w:p w14:paraId="5252FA8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可收回金额按公允价值减去处置费用后的净额确定</w:t>
      </w:r>
    </w:p>
    <w:p w14:paraId="5463243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A70BA1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可收回金额按预计未来现金流量的现值确定</w:t>
      </w:r>
    </w:p>
    <w:p w14:paraId="519F6D4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C3018B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前述信息与以前年度减值测试采用的信息或外部信息明显不一致的差异原因</w:t>
      </w:r>
    </w:p>
    <w:p w14:paraId="0C3192E8" w14:textId="77777777" w:rsidR="00AF139E" w:rsidRPr="005B5EC1" w:rsidRDefault="00000000">
      <w:pPr>
        <w:pStyle w:val="a3"/>
        <w:divId w:val="78213420"/>
        <w:rPr>
          <w:rFonts w:ascii="Times New Roman" w:hAnsi="Times New Roman" w:cs="Times New Roman"/>
          <w:sz w:val="18"/>
          <w:szCs w:val="18"/>
        </w:rPr>
      </w:pPr>
      <w:r w:rsidRPr="005B5EC1">
        <w:rPr>
          <w:rFonts w:ascii="Times New Roman" w:hAnsi="Times New Roman" w:cs="Times New Roman"/>
          <w:sz w:val="18"/>
          <w:szCs w:val="18"/>
        </w:rPr>
        <w:lastRenderedPageBreak/>
        <w:t>无</w:t>
      </w:r>
    </w:p>
    <w:p w14:paraId="64DD812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公司以前年度减值测试采用信息与当年实际情况明显不一致的差异原因</w:t>
      </w:r>
    </w:p>
    <w:p w14:paraId="20B0C22F" w14:textId="77777777" w:rsidR="00AF139E" w:rsidRPr="005B5EC1" w:rsidRDefault="00000000">
      <w:pPr>
        <w:pStyle w:val="a3"/>
        <w:divId w:val="1395813784"/>
        <w:rPr>
          <w:rFonts w:ascii="Times New Roman" w:hAnsi="Times New Roman" w:cs="Times New Roman"/>
          <w:sz w:val="18"/>
          <w:szCs w:val="18"/>
        </w:rPr>
      </w:pPr>
      <w:r w:rsidRPr="005B5EC1">
        <w:rPr>
          <w:rFonts w:ascii="Times New Roman" w:hAnsi="Times New Roman" w:cs="Times New Roman"/>
          <w:sz w:val="18"/>
          <w:szCs w:val="18"/>
        </w:rPr>
        <w:t>无</w:t>
      </w:r>
    </w:p>
    <w:p w14:paraId="38165912"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21" w:name="_Toc989247"/>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业绩承诺完成及对应商誉减值情况</w:t>
      </w:r>
      <w:bookmarkEnd w:id="321"/>
    </w:p>
    <w:p w14:paraId="4C63D2C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形成商誉时存在业绩承诺且报告期或报告期上一期间处于业绩承诺期内</w:t>
      </w:r>
    </w:p>
    <w:p w14:paraId="2C99912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A61765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80652F5" w14:textId="77777777" w:rsidR="00AF139E" w:rsidRPr="005B5EC1" w:rsidRDefault="00000000">
      <w:pPr>
        <w:pStyle w:val="a3"/>
        <w:divId w:val="201745933"/>
        <w:rPr>
          <w:rFonts w:ascii="Times New Roman" w:hAnsi="Times New Roman" w:cs="Times New Roman"/>
          <w:sz w:val="18"/>
          <w:szCs w:val="18"/>
        </w:rPr>
      </w:pPr>
      <w:r w:rsidRPr="005B5EC1">
        <w:rPr>
          <w:rFonts w:ascii="Times New Roman" w:hAnsi="Times New Roman" w:cs="Times New Roman"/>
          <w:sz w:val="18"/>
          <w:szCs w:val="18"/>
        </w:rPr>
        <w:t>无</w:t>
      </w:r>
    </w:p>
    <w:p w14:paraId="15A948F0" w14:textId="77777777" w:rsidR="00E32FE0" w:rsidRPr="005B5EC1" w:rsidRDefault="00000000">
      <w:pPr>
        <w:pStyle w:val="3"/>
        <w:spacing w:line="280" w:lineRule="exact"/>
        <w:jc w:val="left"/>
        <w:rPr>
          <w:rFonts w:ascii="Times New Roman" w:hAnsi="Times New Roman" w:cs="Times New Roman"/>
          <w:b/>
          <w:bCs/>
        </w:rPr>
      </w:pPr>
      <w:bookmarkStart w:id="322" w:name="_Toc989248"/>
      <w:r w:rsidRPr="005B5EC1">
        <w:rPr>
          <w:rFonts w:ascii="Times New Roman" w:hAnsi="Times New Roman" w:cs="Times New Roman"/>
          <w:b/>
          <w:bCs/>
        </w:rPr>
        <w:t>28</w:t>
      </w:r>
      <w:r w:rsidRPr="005B5EC1">
        <w:rPr>
          <w:rFonts w:ascii="Times New Roman" w:hAnsi="Times New Roman" w:cs="Times New Roman"/>
          <w:b/>
          <w:bCs/>
        </w:rPr>
        <w:t>、长期待摊费用</w:t>
      </w:r>
      <w:bookmarkEnd w:id="322"/>
    </w:p>
    <w:p w14:paraId="1A5FE10D"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3"/>
        <w:gridCol w:w="1369"/>
        <w:gridCol w:w="1606"/>
        <w:gridCol w:w="1607"/>
        <w:gridCol w:w="1607"/>
        <w:gridCol w:w="1607"/>
      </w:tblGrid>
      <w:tr w:rsidR="00E32FE0" w:rsidRPr="005B5EC1" w14:paraId="7A7DC428" w14:textId="77777777" w:rsidTr="005C09BC">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B497C9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7D3DE15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9FB4FE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本期增加金额</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4936184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本期摊销金额</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3B4E4C3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其他减少金额</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45CD929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5CE35F37" w14:textId="77777777" w:rsidTr="005C09BC">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45DB24C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实验室装修改造</w:t>
            </w:r>
          </w:p>
        </w:tc>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031F80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379,510.67</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A821EB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1,291,743.12</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1CE03D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267,889.92</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61A24AC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2A1AB01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1,403,363.87</w:t>
            </w:r>
          </w:p>
        </w:tc>
      </w:tr>
      <w:tr w:rsidR="00E32FE0" w:rsidRPr="005B5EC1" w14:paraId="35E61CD7" w14:textId="77777777" w:rsidTr="005C09BC">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19C8A58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研发中心装修设计</w:t>
            </w:r>
          </w:p>
        </w:tc>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418349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3,555,404.07</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4A64C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5AC31E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1,146,884.52</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0A7D7FE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0BA0E1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2,408,519.55</w:t>
            </w:r>
          </w:p>
        </w:tc>
      </w:tr>
      <w:tr w:rsidR="00E32FE0" w:rsidRPr="005B5EC1" w14:paraId="5073C6CB" w14:textId="77777777" w:rsidTr="005C09BC">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7ED46A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夏庄猪场</w:t>
            </w:r>
          </w:p>
        </w:tc>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44BBAF9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1,721,102.12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F4BD5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4B3ED8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1,721,102.12</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4511D6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584E573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6CFE2DB" w14:textId="77777777" w:rsidTr="005C09BC">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049E4B5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放养管理中心装修费</w:t>
            </w:r>
          </w:p>
        </w:tc>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47BD0A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1,957,692.79</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A3BEAF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27B2BDC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279,670.50</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0F2876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1E48B8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1,678,022.29</w:t>
            </w:r>
          </w:p>
        </w:tc>
      </w:tr>
      <w:tr w:rsidR="00E32FE0" w:rsidRPr="005B5EC1" w14:paraId="4568CBEF" w14:textId="77777777" w:rsidTr="005C09BC">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503ED3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海阳服务部改造工程</w:t>
            </w:r>
          </w:p>
        </w:tc>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153E53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31CC7A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68,800.00</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52230C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11,466.70</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259BFB9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6C1039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57,333.30</w:t>
            </w:r>
          </w:p>
        </w:tc>
      </w:tr>
      <w:tr w:rsidR="00E32FE0" w:rsidRPr="005B5EC1" w14:paraId="313D80A4" w14:textId="77777777" w:rsidTr="005C09BC">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60647C8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龙口服务部改造工程</w:t>
            </w:r>
          </w:p>
        </w:tc>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0A0ACFD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BD441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147,632.61</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78ED0F0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28,706.37</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3965F9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18207B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118,926.24</w:t>
            </w:r>
          </w:p>
        </w:tc>
      </w:tr>
      <w:tr w:rsidR="00E32FE0" w:rsidRPr="005B5EC1" w14:paraId="7A3EAECC" w14:textId="77777777" w:rsidTr="005C09BC">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auto"/>
            <w:vAlign w:val="center"/>
          </w:tcPr>
          <w:p w14:paraId="1F7CF0D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17312D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7,613,709.65</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4AEFB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1,508,175.73</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5800E00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3,455,720.13</w:t>
            </w: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349EE30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7" w:type="dxa"/>
            <w:tcBorders>
              <w:top w:val="single" w:sz="2" w:space="0" w:color="auto"/>
              <w:left w:val="single" w:sz="2" w:space="0" w:color="auto"/>
              <w:bottom w:val="single" w:sz="2" w:space="0" w:color="auto"/>
              <w:right w:val="single" w:sz="2" w:space="0" w:color="auto"/>
            </w:tcBorders>
            <w:shd w:val="clear" w:color="auto" w:fill="auto"/>
            <w:vAlign w:val="center"/>
          </w:tcPr>
          <w:p w14:paraId="4E785A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5,666,165.25</w:t>
            </w:r>
          </w:p>
        </w:tc>
      </w:tr>
    </w:tbl>
    <w:p w14:paraId="51C4BEA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03D2A792" w14:textId="77777777" w:rsidR="00AF139E" w:rsidRPr="005B5EC1" w:rsidRDefault="00000000">
      <w:pPr>
        <w:pStyle w:val="a3"/>
        <w:divId w:val="343827849"/>
        <w:rPr>
          <w:rFonts w:ascii="Times New Roman" w:hAnsi="Times New Roman" w:cs="Times New Roman"/>
          <w:sz w:val="18"/>
          <w:szCs w:val="18"/>
        </w:rPr>
      </w:pPr>
      <w:r w:rsidRPr="005B5EC1">
        <w:rPr>
          <w:rFonts w:ascii="Times New Roman" w:hAnsi="Times New Roman" w:cs="Times New Roman"/>
          <w:sz w:val="18"/>
          <w:szCs w:val="18"/>
        </w:rPr>
        <w:t>无</w:t>
      </w:r>
    </w:p>
    <w:p w14:paraId="43734788" w14:textId="77777777" w:rsidR="00E32FE0" w:rsidRPr="005B5EC1" w:rsidRDefault="00000000">
      <w:pPr>
        <w:pStyle w:val="3"/>
        <w:spacing w:line="280" w:lineRule="exact"/>
        <w:jc w:val="left"/>
        <w:rPr>
          <w:rFonts w:ascii="Times New Roman" w:hAnsi="Times New Roman" w:cs="Times New Roman"/>
          <w:b/>
          <w:bCs/>
        </w:rPr>
      </w:pPr>
      <w:bookmarkStart w:id="323" w:name="_Toc989249"/>
      <w:r w:rsidRPr="005B5EC1">
        <w:rPr>
          <w:rFonts w:ascii="Times New Roman" w:hAnsi="Times New Roman" w:cs="Times New Roman"/>
          <w:b/>
          <w:bCs/>
        </w:rPr>
        <w:t>29</w:t>
      </w:r>
      <w:r w:rsidRPr="005B5EC1">
        <w:rPr>
          <w:rFonts w:ascii="Times New Roman" w:hAnsi="Times New Roman" w:cs="Times New Roman"/>
          <w:b/>
          <w:bCs/>
        </w:rPr>
        <w:t>、递延所得税资产</w:t>
      </w:r>
      <w:r w:rsidRPr="005B5EC1">
        <w:rPr>
          <w:rFonts w:ascii="Times New Roman" w:hAnsi="Times New Roman" w:cs="Times New Roman"/>
          <w:b/>
          <w:bCs/>
        </w:rPr>
        <w:t>/</w:t>
      </w:r>
      <w:r w:rsidRPr="005B5EC1">
        <w:rPr>
          <w:rFonts w:ascii="Times New Roman" w:hAnsi="Times New Roman" w:cs="Times New Roman"/>
          <w:b/>
          <w:bCs/>
        </w:rPr>
        <w:t>递延所得税负债</w:t>
      </w:r>
      <w:bookmarkEnd w:id="323"/>
    </w:p>
    <w:p w14:paraId="388C0EC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24" w:name="_Toc989250"/>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未经抵销的递延所得税资产</w:t>
      </w:r>
      <w:bookmarkEnd w:id="324"/>
    </w:p>
    <w:p w14:paraId="702021D0"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7536368D" w14:textId="77777777" w:rsidTr="005C09BC">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BBE1EE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7B34A0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42B891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34A0136C" w14:textId="77777777" w:rsidTr="005C09BC">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BD7B636"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D75FA2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20B71E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C1D97C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654F74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递延所得税资产</w:t>
            </w:r>
          </w:p>
        </w:tc>
      </w:tr>
      <w:tr w:rsidR="00E32FE0" w:rsidRPr="005B5EC1" w14:paraId="53824048"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C15F6F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1B04E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265,556.41</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3C720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61,378.92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94556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674,581.49</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4120CC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163,246.98</w:t>
            </w:r>
          </w:p>
        </w:tc>
      </w:tr>
      <w:tr w:rsidR="00E32FE0" w:rsidRPr="005B5EC1" w14:paraId="4BEE4AD1"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6E8F74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2623E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118,372,781.12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DF420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29,593,195.28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9A26B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113,295,117.51</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71000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28,323,779.37</w:t>
            </w:r>
          </w:p>
        </w:tc>
      </w:tr>
      <w:tr w:rsidR="00E32FE0" w:rsidRPr="005B5EC1" w14:paraId="06467258"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FB9044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租赁负债影响数</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7E4DA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2,093,066.66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19787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143,297.68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D3BD6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6,765,301.51</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BA78F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1,254,938.25</w:t>
            </w:r>
          </w:p>
        </w:tc>
      </w:tr>
      <w:tr w:rsidR="00E32FE0" w:rsidRPr="005B5EC1" w14:paraId="08C00564"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79D4CC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89701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120,731,404.19</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417CC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29,797,871.88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007FD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120,735,000.51</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D81D47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29,741,964.60</w:t>
            </w:r>
          </w:p>
        </w:tc>
      </w:tr>
    </w:tbl>
    <w:p w14:paraId="499B84A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25" w:name="_Toc98925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未经抵销的递延所得税负债</w:t>
      </w:r>
      <w:bookmarkEnd w:id="325"/>
    </w:p>
    <w:p w14:paraId="6E3BC9E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7B4CCFF1" w14:textId="77777777" w:rsidTr="005C09BC">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6BDDD0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D5A9F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E640B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67E0C873" w14:textId="77777777" w:rsidTr="005C09BC">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4CD24451"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993A35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FEDA76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B3CFF9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E268C4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递延所得税负债</w:t>
            </w:r>
          </w:p>
        </w:tc>
      </w:tr>
      <w:tr w:rsidR="00E32FE0" w:rsidRPr="005B5EC1" w14:paraId="579B8D82"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576CE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固定资产一次性税前扣除税会差异</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9D34B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79,184,845.87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9FEE7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18,681,217.79</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309EC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89,709,645.05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ECA72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21,146,952.11</w:t>
            </w:r>
          </w:p>
        </w:tc>
      </w:tr>
      <w:tr w:rsidR="00E32FE0" w:rsidRPr="005B5EC1" w14:paraId="71DD19B1"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5908EF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使用权资产影响数</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5C972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1,849,741.97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C329BE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172,257.70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C940C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6,525,168.80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6AB3A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1,213,815.31</w:t>
            </w:r>
          </w:p>
        </w:tc>
      </w:tr>
      <w:tr w:rsidR="00E32FE0" w:rsidRPr="005B5EC1" w14:paraId="6F94DBE4"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A2F99A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F2598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81,034,587.84</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0684A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18,853,475.49</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C040B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96,234,813.85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246C23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22,360,767.42</w:t>
            </w:r>
          </w:p>
        </w:tc>
      </w:tr>
    </w:tbl>
    <w:p w14:paraId="3CC4B0F8"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26" w:name="_Toc989252"/>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以抵销后净额列示的递延所得税资产或负债</w:t>
      </w:r>
      <w:bookmarkEnd w:id="326"/>
    </w:p>
    <w:p w14:paraId="60C5DD4E"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720A5BF0"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1C7D08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9989B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递延所得税资产和负债期末互抵金额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E941A0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抵销后递延所得税资产或负债期末余额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2B78C6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递延所得税资产和负债期初互抵金额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6915F8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抵销后递延所得税资产或负债期初余额</w:t>
            </w:r>
          </w:p>
        </w:tc>
      </w:tr>
      <w:tr w:rsidR="00E32FE0" w:rsidRPr="005B5EC1" w14:paraId="5716B07D"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275F23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1DABE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17,073,736.02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FDBE0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12,724,135.86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14208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20,296,211.02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D5814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9,445,753.58</w:t>
            </w:r>
          </w:p>
        </w:tc>
      </w:tr>
      <w:tr w:rsidR="00E32FE0" w:rsidRPr="005B5EC1" w14:paraId="0FBCCB58"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7D844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6485B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17,073,736.02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0EF0B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1,779,739.47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D9AC3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20,296,211.02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53FE8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2,064,556.40</w:t>
            </w:r>
          </w:p>
        </w:tc>
      </w:tr>
    </w:tbl>
    <w:p w14:paraId="58D1B361"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27" w:name="_Toc989253"/>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未确认递延所得税资产明细</w:t>
      </w:r>
      <w:bookmarkEnd w:id="327"/>
    </w:p>
    <w:p w14:paraId="7FDB63DB"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EC48B71"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92BDA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8345B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16CD0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67B548AC"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526383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64802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219,631,986.83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395DF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403,964,176.42</w:t>
            </w:r>
          </w:p>
        </w:tc>
      </w:tr>
      <w:tr w:rsidR="00E32FE0" w:rsidRPr="005B5EC1" w14:paraId="1477422F"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0B1E7B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41353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1,768,298,529.18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47C6D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1,764,130,623.96</w:t>
            </w:r>
          </w:p>
        </w:tc>
      </w:tr>
      <w:tr w:rsidR="00E32FE0" w:rsidRPr="005B5EC1" w14:paraId="047F4000"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32BF1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BD8DF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1,987,930,516.01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A0889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2,168,094,800.38</w:t>
            </w:r>
          </w:p>
        </w:tc>
      </w:tr>
    </w:tbl>
    <w:p w14:paraId="20C6E5E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28" w:name="_Toc98925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未确认递延所得税资产的可抵扣亏损将于以下年度到期</w:t>
      </w:r>
      <w:bookmarkEnd w:id="328"/>
    </w:p>
    <w:p w14:paraId="096F1867"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35CFD2F2"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607EB7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年份</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8E0984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B3EE58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6F7A70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备注</w:t>
            </w:r>
          </w:p>
        </w:tc>
      </w:tr>
      <w:tr w:rsidR="00E32FE0" w:rsidRPr="005B5EC1" w14:paraId="47256FFA"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0DC5D1E" w14:textId="77777777" w:rsidR="00E32FE0" w:rsidRPr="005B5EC1" w:rsidRDefault="00000000" w:rsidP="005C09BC">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0ECFB2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E6BC3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2,193,063.92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7489914"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7EA7B8F5"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245B040" w14:textId="77777777" w:rsidR="00E32FE0" w:rsidRPr="005B5EC1" w:rsidRDefault="00000000" w:rsidP="005C09BC">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68746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31,494,127.97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EA24F3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34,787,996.46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3C52EF8"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30BB85B0"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36F792E" w14:textId="77777777" w:rsidR="00E32FE0" w:rsidRPr="005B5EC1" w:rsidRDefault="00000000" w:rsidP="005C09BC">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2026</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6889C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386,450,573.17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1D662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401,114,809.41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88DBDEA"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5E95CBBB"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50475F3" w14:textId="77777777" w:rsidR="00E32FE0" w:rsidRPr="005B5EC1" w:rsidRDefault="00000000" w:rsidP="005C09BC">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2027</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72DA9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402,086,062.99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DDC70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414,262,443.51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CD5511E"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6EA5B97D"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3B5AAFD" w14:textId="77777777" w:rsidR="00E32FE0" w:rsidRPr="005B5EC1" w:rsidRDefault="00000000" w:rsidP="005C09BC">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2028</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B6D6E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833,406,492.33</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035D0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911,772,310.66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B8D1684"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269B5B88"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6C9F435" w14:textId="77777777" w:rsidR="00E32FE0" w:rsidRPr="005B5EC1" w:rsidRDefault="00000000" w:rsidP="005C09BC">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2029</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CAA82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114,861,272.72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4601BC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6160A70"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4ED1C643" w14:textId="77777777" w:rsidTr="005C09BC">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1133903" w14:textId="77777777" w:rsidR="00E32FE0" w:rsidRPr="005B5EC1" w:rsidRDefault="00000000" w:rsidP="005C09BC">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97F02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1,768,298,529.18</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88838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1,764,130,623.96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CEBD833" w14:textId="77777777" w:rsidR="00E32FE0" w:rsidRPr="005B5EC1" w:rsidRDefault="00E32FE0">
            <w:pPr>
              <w:rPr>
                <w:rFonts w:ascii="Times New Roman" w:hAnsi="Times New Roman" w:cs="Times New Roman"/>
              </w:rPr>
            </w:pPr>
          </w:p>
        </w:tc>
      </w:tr>
    </w:tbl>
    <w:p w14:paraId="60AFD8D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551ED4DF" w14:textId="77777777" w:rsidR="00AF139E" w:rsidRPr="005B5EC1" w:rsidRDefault="00000000">
      <w:pPr>
        <w:pStyle w:val="a3"/>
        <w:divId w:val="969478976"/>
        <w:rPr>
          <w:rFonts w:ascii="Times New Roman" w:hAnsi="Times New Roman" w:cs="Times New Roman"/>
          <w:sz w:val="18"/>
          <w:szCs w:val="18"/>
        </w:rPr>
      </w:pPr>
      <w:r w:rsidRPr="005B5EC1">
        <w:rPr>
          <w:rFonts w:ascii="Times New Roman" w:hAnsi="Times New Roman" w:cs="Times New Roman"/>
          <w:sz w:val="18"/>
          <w:szCs w:val="18"/>
        </w:rPr>
        <w:t>无</w:t>
      </w:r>
    </w:p>
    <w:p w14:paraId="1AD95943" w14:textId="77777777" w:rsidR="00E32FE0" w:rsidRPr="005B5EC1" w:rsidRDefault="00000000">
      <w:pPr>
        <w:pStyle w:val="3"/>
        <w:spacing w:line="280" w:lineRule="exact"/>
        <w:jc w:val="left"/>
        <w:rPr>
          <w:rFonts w:ascii="Times New Roman" w:hAnsi="Times New Roman" w:cs="Times New Roman"/>
          <w:b/>
          <w:bCs/>
        </w:rPr>
      </w:pPr>
      <w:bookmarkStart w:id="329" w:name="_Toc989255"/>
      <w:r w:rsidRPr="005B5EC1">
        <w:rPr>
          <w:rFonts w:ascii="Times New Roman" w:hAnsi="Times New Roman" w:cs="Times New Roman"/>
          <w:b/>
          <w:bCs/>
        </w:rPr>
        <w:t>30</w:t>
      </w:r>
      <w:r w:rsidRPr="005B5EC1">
        <w:rPr>
          <w:rFonts w:ascii="Times New Roman" w:hAnsi="Times New Roman" w:cs="Times New Roman"/>
          <w:b/>
          <w:bCs/>
        </w:rPr>
        <w:t>、其他非流动资产</w:t>
      </w:r>
      <w:bookmarkEnd w:id="329"/>
    </w:p>
    <w:p w14:paraId="1F42288C"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1417"/>
        <w:gridCol w:w="1154"/>
        <w:gridCol w:w="1377"/>
        <w:gridCol w:w="1377"/>
        <w:gridCol w:w="1377"/>
        <w:gridCol w:w="1377"/>
      </w:tblGrid>
      <w:tr w:rsidR="00E32FE0" w:rsidRPr="005B5EC1" w14:paraId="17ABBB57" w14:textId="77777777" w:rsidTr="005C09BC">
        <w:trPr>
          <w:trHeight w:val="240"/>
        </w:trPr>
        <w:tc>
          <w:tcPr>
            <w:tcW w:w="156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81A481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9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34C944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BE0BC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3ED337F9" w14:textId="77777777" w:rsidTr="005C09BC">
        <w:trPr>
          <w:trHeight w:val="240"/>
        </w:trPr>
        <w:tc>
          <w:tcPr>
            <w:tcW w:w="156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23EA75D" w14:textId="77777777" w:rsidR="00E32FE0" w:rsidRPr="005B5EC1" w:rsidRDefault="00E32FE0">
            <w:pPr>
              <w:rPr>
                <w:rFonts w:ascii="Times New Roman"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8A75B7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154" w:type="dxa"/>
            <w:tcBorders>
              <w:top w:val="single" w:sz="2" w:space="0" w:color="auto"/>
              <w:left w:val="single" w:sz="2" w:space="0" w:color="auto"/>
              <w:bottom w:val="single" w:sz="2" w:space="0" w:color="auto"/>
              <w:right w:val="single" w:sz="2" w:space="0" w:color="auto"/>
            </w:tcBorders>
            <w:shd w:val="clear" w:color="auto" w:fill="auto"/>
            <w:vAlign w:val="center"/>
          </w:tcPr>
          <w:p w14:paraId="376C1B4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95E433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0463E9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1DC395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8909C9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r>
      <w:tr w:rsidR="00E32FE0" w:rsidRPr="005B5EC1" w14:paraId="4327B2B1" w14:textId="77777777" w:rsidTr="005C09BC">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4817285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预付设备工程款</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B7480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21,616,790.87</w:t>
            </w:r>
          </w:p>
        </w:tc>
        <w:tc>
          <w:tcPr>
            <w:tcW w:w="1154" w:type="dxa"/>
            <w:tcBorders>
              <w:top w:val="single" w:sz="2" w:space="0" w:color="auto"/>
              <w:left w:val="single" w:sz="2" w:space="0" w:color="auto"/>
              <w:bottom w:val="single" w:sz="2" w:space="0" w:color="auto"/>
              <w:right w:val="single" w:sz="2" w:space="0" w:color="auto"/>
            </w:tcBorders>
            <w:shd w:val="clear" w:color="auto" w:fill="auto"/>
            <w:vAlign w:val="center"/>
          </w:tcPr>
          <w:p w14:paraId="7F84E70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8A12E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21,616,790.87</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A7DD3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18,588,707.98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838E36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9789C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18,588,707.98</w:t>
            </w:r>
          </w:p>
        </w:tc>
      </w:tr>
      <w:tr w:rsidR="00E32FE0" w:rsidRPr="005B5EC1" w14:paraId="59506482" w14:textId="77777777" w:rsidTr="005C09BC">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64FEFE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增值税留抵税额</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56EAD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447,635,995.33</w:t>
            </w:r>
          </w:p>
        </w:tc>
        <w:tc>
          <w:tcPr>
            <w:tcW w:w="1154" w:type="dxa"/>
            <w:tcBorders>
              <w:top w:val="single" w:sz="2" w:space="0" w:color="auto"/>
              <w:left w:val="single" w:sz="2" w:space="0" w:color="auto"/>
              <w:bottom w:val="single" w:sz="2" w:space="0" w:color="auto"/>
              <w:right w:val="single" w:sz="2" w:space="0" w:color="auto"/>
            </w:tcBorders>
            <w:shd w:val="clear" w:color="auto" w:fill="auto"/>
            <w:vAlign w:val="center"/>
          </w:tcPr>
          <w:p w14:paraId="21F6BC6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1A70E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447,635,995.33</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0DB25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488,856,766.70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2457D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EDDAD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488,856,766.70</w:t>
            </w:r>
          </w:p>
        </w:tc>
      </w:tr>
      <w:tr w:rsidR="00E32FE0" w:rsidRPr="005B5EC1" w14:paraId="73F686F2" w14:textId="77777777" w:rsidTr="005C09BC">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C2CC80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D01ED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469,252,786.20</w:t>
            </w:r>
          </w:p>
        </w:tc>
        <w:tc>
          <w:tcPr>
            <w:tcW w:w="1154" w:type="dxa"/>
            <w:tcBorders>
              <w:top w:val="single" w:sz="2" w:space="0" w:color="auto"/>
              <w:left w:val="single" w:sz="2" w:space="0" w:color="auto"/>
              <w:bottom w:val="single" w:sz="2" w:space="0" w:color="auto"/>
              <w:right w:val="single" w:sz="2" w:space="0" w:color="auto"/>
            </w:tcBorders>
            <w:shd w:val="clear" w:color="auto" w:fill="auto"/>
            <w:vAlign w:val="center"/>
          </w:tcPr>
          <w:p w14:paraId="2DFEAD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E45148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469,252,786.20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B3209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507,445,474.68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B1364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E7D32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507,445,474.68</w:t>
            </w:r>
          </w:p>
        </w:tc>
      </w:tr>
    </w:tbl>
    <w:p w14:paraId="53A3EAC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52728751" w14:textId="77777777" w:rsidR="00AF139E" w:rsidRPr="005B5EC1" w:rsidRDefault="00000000">
      <w:pPr>
        <w:pStyle w:val="a3"/>
        <w:divId w:val="1501461810"/>
        <w:rPr>
          <w:rFonts w:ascii="Times New Roman" w:hAnsi="Times New Roman" w:cs="Times New Roman"/>
          <w:sz w:val="18"/>
          <w:szCs w:val="18"/>
        </w:rPr>
      </w:pPr>
      <w:r w:rsidRPr="005B5EC1">
        <w:rPr>
          <w:rFonts w:ascii="Times New Roman" w:hAnsi="Times New Roman" w:cs="Times New Roman"/>
          <w:sz w:val="18"/>
          <w:szCs w:val="18"/>
        </w:rPr>
        <w:t>无</w:t>
      </w:r>
    </w:p>
    <w:p w14:paraId="0EBE2304" w14:textId="77777777" w:rsidR="00E32FE0" w:rsidRPr="005B5EC1" w:rsidRDefault="00000000">
      <w:pPr>
        <w:pStyle w:val="3"/>
        <w:spacing w:line="280" w:lineRule="exact"/>
        <w:jc w:val="left"/>
        <w:rPr>
          <w:rFonts w:ascii="Times New Roman" w:hAnsi="Times New Roman" w:cs="Times New Roman"/>
          <w:b/>
          <w:bCs/>
        </w:rPr>
      </w:pPr>
      <w:bookmarkStart w:id="330" w:name="_Toc989256"/>
      <w:r w:rsidRPr="005B5EC1">
        <w:rPr>
          <w:rFonts w:ascii="Times New Roman" w:hAnsi="Times New Roman" w:cs="Times New Roman"/>
          <w:b/>
          <w:bCs/>
        </w:rPr>
        <w:lastRenderedPageBreak/>
        <w:t>31</w:t>
      </w:r>
      <w:r w:rsidRPr="005B5EC1">
        <w:rPr>
          <w:rFonts w:ascii="Times New Roman" w:hAnsi="Times New Roman" w:cs="Times New Roman"/>
          <w:b/>
          <w:bCs/>
        </w:rPr>
        <w:t>、所有权或使用权受到限制的资产</w:t>
      </w:r>
      <w:bookmarkEnd w:id="330"/>
    </w:p>
    <w:p w14:paraId="2F521C35"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262"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851"/>
        <w:gridCol w:w="1560"/>
        <w:gridCol w:w="1417"/>
        <w:gridCol w:w="709"/>
        <w:gridCol w:w="992"/>
        <w:gridCol w:w="1418"/>
        <w:gridCol w:w="1559"/>
        <w:gridCol w:w="760"/>
        <w:gridCol w:w="996"/>
      </w:tblGrid>
      <w:tr w:rsidR="00E32FE0" w:rsidRPr="005B5EC1" w14:paraId="6A31B96D" w14:textId="77777777" w:rsidTr="005C09BC">
        <w:trPr>
          <w:trHeight w:val="242"/>
          <w:jc w:val="center"/>
        </w:trPr>
        <w:tc>
          <w:tcPr>
            <w:tcW w:w="851"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7C10E93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67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FD05D5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w:t>
            </w:r>
          </w:p>
        </w:tc>
        <w:tc>
          <w:tcPr>
            <w:tcW w:w="4733"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798C10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w:t>
            </w:r>
          </w:p>
        </w:tc>
      </w:tr>
      <w:tr w:rsidR="005C09BC" w:rsidRPr="005B5EC1" w14:paraId="46767523" w14:textId="77777777" w:rsidTr="005C09BC">
        <w:trPr>
          <w:trHeight w:val="242"/>
          <w:jc w:val="center"/>
        </w:trPr>
        <w:tc>
          <w:tcPr>
            <w:tcW w:w="85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0A377EC" w14:textId="77777777" w:rsidR="00E32FE0" w:rsidRPr="005B5EC1" w:rsidRDefault="00E32FE0">
            <w:pPr>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6A3C4CB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658A46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1A7268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受限类型</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747D1A1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受限情况</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7E5E245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CA5FF7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760" w:type="dxa"/>
            <w:tcBorders>
              <w:top w:val="single" w:sz="2" w:space="0" w:color="auto"/>
              <w:left w:val="single" w:sz="2" w:space="0" w:color="auto"/>
              <w:bottom w:val="single" w:sz="2" w:space="0" w:color="auto"/>
              <w:right w:val="single" w:sz="2" w:space="0" w:color="auto"/>
            </w:tcBorders>
            <w:shd w:val="clear" w:color="auto" w:fill="auto"/>
            <w:vAlign w:val="center"/>
          </w:tcPr>
          <w:p w14:paraId="07475A6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受限类型</w:t>
            </w:r>
          </w:p>
        </w:tc>
        <w:tc>
          <w:tcPr>
            <w:tcW w:w="996" w:type="dxa"/>
            <w:tcBorders>
              <w:top w:val="single" w:sz="2" w:space="0" w:color="auto"/>
              <w:left w:val="single" w:sz="2" w:space="0" w:color="auto"/>
              <w:bottom w:val="single" w:sz="2" w:space="0" w:color="auto"/>
              <w:right w:val="single" w:sz="2" w:space="0" w:color="auto"/>
            </w:tcBorders>
            <w:shd w:val="clear" w:color="auto" w:fill="auto"/>
            <w:vAlign w:val="center"/>
          </w:tcPr>
          <w:p w14:paraId="5764860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受限情况</w:t>
            </w:r>
          </w:p>
        </w:tc>
      </w:tr>
      <w:tr w:rsidR="005C09BC" w:rsidRPr="005B5EC1" w14:paraId="549FB05D" w14:textId="77777777" w:rsidTr="005C09BC">
        <w:trPr>
          <w:trHeight w:val="242"/>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9789B3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货币资金</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32E6EB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352,052,563.80</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FE20C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352,052,563.80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E180FD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保证金、未决诉讼</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7C244FB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汇票及信用证保证金、未决诉讼</w:t>
            </w:r>
          </w:p>
          <w:p w14:paraId="1814257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等</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57EECA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489,257,520.12</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ED9BE1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489,257,520.12</w:t>
            </w:r>
          </w:p>
        </w:tc>
        <w:tc>
          <w:tcPr>
            <w:tcW w:w="760" w:type="dxa"/>
            <w:tcBorders>
              <w:top w:val="single" w:sz="2" w:space="0" w:color="auto"/>
              <w:left w:val="single" w:sz="2" w:space="0" w:color="auto"/>
              <w:bottom w:val="single" w:sz="2" w:space="0" w:color="auto"/>
              <w:right w:val="single" w:sz="2" w:space="0" w:color="auto"/>
            </w:tcBorders>
            <w:shd w:val="clear" w:color="auto" w:fill="auto"/>
            <w:vAlign w:val="center"/>
          </w:tcPr>
          <w:p w14:paraId="025FA06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保证金</w:t>
            </w:r>
          </w:p>
        </w:tc>
        <w:tc>
          <w:tcPr>
            <w:tcW w:w="996" w:type="dxa"/>
            <w:tcBorders>
              <w:top w:val="single" w:sz="2" w:space="0" w:color="auto"/>
              <w:left w:val="single" w:sz="2" w:space="0" w:color="auto"/>
              <w:bottom w:val="single" w:sz="2" w:space="0" w:color="auto"/>
              <w:right w:val="single" w:sz="2" w:space="0" w:color="auto"/>
            </w:tcBorders>
            <w:shd w:val="clear" w:color="auto" w:fill="auto"/>
            <w:vAlign w:val="center"/>
          </w:tcPr>
          <w:p w14:paraId="299859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汇票及信用证保证金等</w:t>
            </w:r>
          </w:p>
        </w:tc>
      </w:tr>
      <w:tr w:rsidR="005C09BC" w:rsidRPr="005B5EC1" w14:paraId="0C45A3EE" w14:textId="77777777" w:rsidTr="005C09BC">
        <w:trPr>
          <w:trHeight w:val="242"/>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0D3DAFD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128E71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454,773,802.16</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DAE3B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454,773,802.16</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039D1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抵押</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51A050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借款抵押</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3240F1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397,921,345.71</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0743E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397,921,345.71</w:t>
            </w:r>
          </w:p>
        </w:tc>
        <w:tc>
          <w:tcPr>
            <w:tcW w:w="760" w:type="dxa"/>
            <w:tcBorders>
              <w:top w:val="single" w:sz="2" w:space="0" w:color="auto"/>
              <w:left w:val="single" w:sz="2" w:space="0" w:color="auto"/>
              <w:bottom w:val="single" w:sz="2" w:space="0" w:color="auto"/>
              <w:right w:val="single" w:sz="2" w:space="0" w:color="auto"/>
            </w:tcBorders>
            <w:shd w:val="clear" w:color="auto" w:fill="auto"/>
            <w:vAlign w:val="center"/>
          </w:tcPr>
          <w:p w14:paraId="068F9AD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抵押</w:t>
            </w:r>
          </w:p>
        </w:tc>
        <w:tc>
          <w:tcPr>
            <w:tcW w:w="996" w:type="dxa"/>
            <w:tcBorders>
              <w:top w:val="single" w:sz="2" w:space="0" w:color="auto"/>
              <w:left w:val="single" w:sz="2" w:space="0" w:color="auto"/>
              <w:bottom w:val="single" w:sz="2" w:space="0" w:color="auto"/>
              <w:right w:val="single" w:sz="2" w:space="0" w:color="auto"/>
            </w:tcBorders>
            <w:shd w:val="clear" w:color="auto" w:fill="auto"/>
            <w:vAlign w:val="center"/>
          </w:tcPr>
          <w:p w14:paraId="4E32C1E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借款抵押</w:t>
            </w:r>
          </w:p>
        </w:tc>
      </w:tr>
      <w:tr w:rsidR="005C09BC" w:rsidRPr="005B5EC1" w14:paraId="4576963A" w14:textId="77777777" w:rsidTr="005C09BC">
        <w:trPr>
          <w:trHeight w:val="242"/>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66AE8FF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无形资产</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51D6D5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43,853,129.28</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39C560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43,853,129.28</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414F6E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抵押</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1350F04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借款抵押</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231ED7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44,956,401.00</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13909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44,956,401.00</w:t>
            </w:r>
          </w:p>
        </w:tc>
        <w:tc>
          <w:tcPr>
            <w:tcW w:w="760" w:type="dxa"/>
            <w:tcBorders>
              <w:top w:val="single" w:sz="2" w:space="0" w:color="auto"/>
              <w:left w:val="single" w:sz="2" w:space="0" w:color="auto"/>
              <w:bottom w:val="single" w:sz="2" w:space="0" w:color="auto"/>
              <w:right w:val="single" w:sz="2" w:space="0" w:color="auto"/>
            </w:tcBorders>
            <w:shd w:val="clear" w:color="auto" w:fill="auto"/>
            <w:vAlign w:val="center"/>
          </w:tcPr>
          <w:p w14:paraId="342DE02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抵押</w:t>
            </w:r>
          </w:p>
        </w:tc>
        <w:tc>
          <w:tcPr>
            <w:tcW w:w="996" w:type="dxa"/>
            <w:tcBorders>
              <w:top w:val="single" w:sz="2" w:space="0" w:color="auto"/>
              <w:left w:val="single" w:sz="2" w:space="0" w:color="auto"/>
              <w:bottom w:val="single" w:sz="2" w:space="0" w:color="auto"/>
              <w:right w:val="single" w:sz="2" w:space="0" w:color="auto"/>
            </w:tcBorders>
            <w:shd w:val="clear" w:color="auto" w:fill="auto"/>
            <w:vAlign w:val="center"/>
          </w:tcPr>
          <w:p w14:paraId="5EFDB0D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借款抵押</w:t>
            </w:r>
          </w:p>
        </w:tc>
      </w:tr>
      <w:tr w:rsidR="005C09BC" w:rsidRPr="005B5EC1" w14:paraId="14279391" w14:textId="77777777" w:rsidTr="005C09BC">
        <w:trPr>
          <w:trHeight w:val="242"/>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716E12A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在建工程</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26CE538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153,544,405.44</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466569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153,544,405.44</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5152A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抵押</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480CB1E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借款抵押</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2A114AA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117,578,983.61</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468AA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117,578,983.61</w:t>
            </w:r>
          </w:p>
        </w:tc>
        <w:tc>
          <w:tcPr>
            <w:tcW w:w="760" w:type="dxa"/>
            <w:tcBorders>
              <w:top w:val="single" w:sz="2" w:space="0" w:color="auto"/>
              <w:left w:val="single" w:sz="2" w:space="0" w:color="auto"/>
              <w:bottom w:val="single" w:sz="2" w:space="0" w:color="auto"/>
              <w:right w:val="single" w:sz="2" w:space="0" w:color="auto"/>
            </w:tcBorders>
            <w:shd w:val="clear" w:color="auto" w:fill="auto"/>
            <w:vAlign w:val="center"/>
          </w:tcPr>
          <w:p w14:paraId="6E73096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抵押</w:t>
            </w:r>
          </w:p>
        </w:tc>
        <w:tc>
          <w:tcPr>
            <w:tcW w:w="996" w:type="dxa"/>
            <w:tcBorders>
              <w:top w:val="single" w:sz="2" w:space="0" w:color="auto"/>
              <w:left w:val="single" w:sz="2" w:space="0" w:color="auto"/>
              <w:bottom w:val="single" w:sz="2" w:space="0" w:color="auto"/>
              <w:right w:val="single" w:sz="2" w:space="0" w:color="auto"/>
            </w:tcBorders>
            <w:shd w:val="clear" w:color="auto" w:fill="auto"/>
            <w:vAlign w:val="center"/>
          </w:tcPr>
          <w:p w14:paraId="4E3CF8F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借款抵押</w:t>
            </w:r>
          </w:p>
        </w:tc>
      </w:tr>
      <w:tr w:rsidR="005C09BC" w:rsidRPr="005B5EC1" w14:paraId="0209945F" w14:textId="77777777" w:rsidTr="005C09BC">
        <w:trPr>
          <w:trHeight w:val="242"/>
          <w:jc w:val="cent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D54DCD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4BAA1D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1,004,223,900.68</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83B4E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1,004,223,900.68</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7635223E" w14:textId="77777777" w:rsidR="00E32FE0" w:rsidRPr="005B5EC1" w:rsidRDefault="00E32FE0">
            <w:pPr>
              <w:rPr>
                <w:rFonts w:ascii="Times New Roman" w:hAnsi="Times New Roman" w:cs="Times New Roman"/>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F6FAB8B" w14:textId="77777777" w:rsidR="00E32FE0" w:rsidRPr="005B5EC1" w:rsidRDefault="00E32FE0">
            <w:pPr>
              <w:rPr>
                <w:rFonts w:ascii="Times New Roman" w:hAnsi="Times New Roman" w:cs="Times New Roman"/>
              </w:rPr>
            </w:pP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2A14D9A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1,049,714,250.44</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CED98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1,049,714,250.44</w:t>
            </w:r>
          </w:p>
        </w:tc>
        <w:tc>
          <w:tcPr>
            <w:tcW w:w="760" w:type="dxa"/>
            <w:tcBorders>
              <w:top w:val="single" w:sz="2" w:space="0" w:color="auto"/>
              <w:left w:val="single" w:sz="2" w:space="0" w:color="auto"/>
              <w:bottom w:val="single" w:sz="2" w:space="0" w:color="auto"/>
              <w:right w:val="single" w:sz="2" w:space="0" w:color="auto"/>
            </w:tcBorders>
            <w:shd w:val="clear" w:color="auto" w:fill="auto"/>
            <w:vAlign w:val="center"/>
          </w:tcPr>
          <w:p w14:paraId="420AF956" w14:textId="77777777" w:rsidR="00E32FE0" w:rsidRPr="005B5EC1" w:rsidRDefault="00E32FE0">
            <w:pPr>
              <w:rPr>
                <w:rFonts w:ascii="Times New Roman" w:hAnsi="Times New Roman" w:cs="Times New Roman"/>
              </w:rPr>
            </w:pPr>
          </w:p>
        </w:tc>
        <w:tc>
          <w:tcPr>
            <w:tcW w:w="996" w:type="dxa"/>
            <w:tcBorders>
              <w:top w:val="single" w:sz="2" w:space="0" w:color="auto"/>
              <w:left w:val="single" w:sz="2" w:space="0" w:color="auto"/>
              <w:bottom w:val="single" w:sz="2" w:space="0" w:color="auto"/>
              <w:right w:val="single" w:sz="2" w:space="0" w:color="auto"/>
            </w:tcBorders>
            <w:shd w:val="clear" w:color="auto" w:fill="auto"/>
            <w:vAlign w:val="center"/>
          </w:tcPr>
          <w:p w14:paraId="3A0C3993" w14:textId="77777777" w:rsidR="00E32FE0" w:rsidRPr="005B5EC1" w:rsidRDefault="00E32FE0">
            <w:pPr>
              <w:rPr>
                <w:rFonts w:ascii="Times New Roman" w:hAnsi="Times New Roman" w:cs="Times New Roman"/>
              </w:rPr>
            </w:pPr>
          </w:p>
        </w:tc>
      </w:tr>
    </w:tbl>
    <w:p w14:paraId="448DBD6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0CA8F24B" w14:textId="77777777" w:rsidR="00AF139E" w:rsidRPr="005B5EC1" w:rsidRDefault="00000000">
      <w:pPr>
        <w:pStyle w:val="a3"/>
        <w:divId w:val="558129761"/>
        <w:rPr>
          <w:rFonts w:ascii="Times New Roman" w:hAnsi="Times New Roman" w:cs="Times New Roman"/>
          <w:sz w:val="18"/>
          <w:szCs w:val="18"/>
        </w:rPr>
      </w:pPr>
      <w:r w:rsidRPr="005B5EC1">
        <w:rPr>
          <w:rFonts w:ascii="Times New Roman" w:hAnsi="Times New Roman" w:cs="Times New Roman"/>
          <w:sz w:val="18"/>
          <w:szCs w:val="18"/>
        </w:rPr>
        <w:t>无</w:t>
      </w:r>
    </w:p>
    <w:p w14:paraId="4863DCBF" w14:textId="77777777" w:rsidR="00E32FE0" w:rsidRPr="005B5EC1" w:rsidRDefault="00000000">
      <w:pPr>
        <w:pStyle w:val="3"/>
        <w:spacing w:line="280" w:lineRule="exact"/>
        <w:jc w:val="left"/>
        <w:rPr>
          <w:rFonts w:ascii="Times New Roman" w:hAnsi="Times New Roman" w:cs="Times New Roman"/>
          <w:b/>
          <w:bCs/>
        </w:rPr>
      </w:pPr>
      <w:bookmarkStart w:id="331" w:name="_Toc989257"/>
      <w:r w:rsidRPr="005B5EC1">
        <w:rPr>
          <w:rFonts w:ascii="Times New Roman" w:hAnsi="Times New Roman" w:cs="Times New Roman"/>
          <w:b/>
          <w:bCs/>
        </w:rPr>
        <w:t>32</w:t>
      </w:r>
      <w:r w:rsidRPr="005B5EC1">
        <w:rPr>
          <w:rFonts w:ascii="Times New Roman" w:hAnsi="Times New Roman" w:cs="Times New Roman"/>
          <w:b/>
          <w:bCs/>
        </w:rPr>
        <w:t>、短期借款</w:t>
      </w:r>
      <w:bookmarkEnd w:id="331"/>
    </w:p>
    <w:p w14:paraId="3A185963"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32" w:name="_Toc989258"/>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短期借款分类</w:t>
      </w:r>
      <w:bookmarkEnd w:id="332"/>
    </w:p>
    <w:p w14:paraId="532A082D"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6896F87B"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887EB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57105B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BF45CB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157815E3"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C7728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质押借款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880A7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9,000,000.00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A9F89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76,250,000.00</w:t>
            </w:r>
          </w:p>
        </w:tc>
      </w:tr>
      <w:tr w:rsidR="00E32FE0" w:rsidRPr="005B5EC1" w14:paraId="25A8D63A"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AEC66F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抵押借款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366F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350,000,000.00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4EA8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350,000,000.00</w:t>
            </w:r>
          </w:p>
        </w:tc>
      </w:tr>
      <w:tr w:rsidR="00E32FE0" w:rsidRPr="005B5EC1" w14:paraId="04B928CD"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2F347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保证借款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FC27A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592,685,669.91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88E4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732,000,000.00</w:t>
            </w:r>
          </w:p>
        </w:tc>
      </w:tr>
      <w:tr w:rsidR="00E32FE0" w:rsidRPr="005B5EC1" w14:paraId="709DD5C2"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5EFF3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信用借款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70AF8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12,990,000.00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70B89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3,000,000.00</w:t>
            </w:r>
          </w:p>
        </w:tc>
      </w:tr>
      <w:tr w:rsidR="00E32FE0" w:rsidRPr="005B5EC1" w14:paraId="62FAC991"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21E6E6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应收票据贴现借款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47F75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664,042,286.13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B8C2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691,906,863.13</w:t>
            </w:r>
          </w:p>
        </w:tc>
      </w:tr>
      <w:tr w:rsidR="00E32FE0" w:rsidRPr="005B5EC1" w14:paraId="0E541734"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A1398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应付短期借款利息</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CBBB1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1,106,707.43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8A43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1,610,615.58</w:t>
            </w:r>
          </w:p>
        </w:tc>
      </w:tr>
      <w:tr w:rsidR="00E32FE0" w:rsidRPr="005B5EC1" w14:paraId="0C9F266C"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0ACC0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4213D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1,629,824,663.47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FFFD2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1,854,767,478.71</w:t>
            </w:r>
          </w:p>
        </w:tc>
      </w:tr>
    </w:tbl>
    <w:p w14:paraId="5091B6A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短期借款分类的说明：</w:t>
      </w:r>
    </w:p>
    <w:p w14:paraId="01181D94" w14:textId="77777777" w:rsidR="00AF139E" w:rsidRPr="005B5EC1" w:rsidRDefault="00000000">
      <w:pPr>
        <w:pStyle w:val="a3"/>
        <w:divId w:val="325010934"/>
        <w:rPr>
          <w:rFonts w:ascii="Times New Roman" w:hAnsi="Times New Roman" w:cs="Times New Roman"/>
          <w:sz w:val="18"/>
          <w:szCs w:val="18"/>
        </w:rPr>
      </w:pPr>
      <w:r w:rsidRPr="005B5EC1">
        <w:rPr>
          <w:rFonts w:ascii="Times New Roman" w:hAnsi="Times New Roman" w:cs="Times New Roman"/>
          <w:sz w:val="18"/>
          <w:szCs w:val="18"/>
        </w:rPr>
        <w:t>无</w:t>
      </w:r>
    </w:p>
    <w:p w14:paraId="15335723"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33" w:name="_Toc989259"/>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已逾期未偿还的短期借款情况</w:t>
      </w:r>
      <w:bookmarkEnd w:id="333"/>
    </w:p>
    <w:p w14:paraId="3878B021" w14:textId="77777777" w:rsidR="00AF139E" w:rsidRPr="005B5EC1" w:rsidRDefault="00000000">
      <w:pPr>
        <w:pStyle w:val="a3"/>
        <w:divId w:val="68692464"/>
        <w:rPr>
          <w:rFonts w:ascii="Times New Roman" w:hAnsi="Times New Roman" w:cs="Times New Roman"/>
          <w:sz w:val="18"/>
          <w:szCs w:val="18"/>
        </w:rPr>
      </w:pPr>
      <w:r w:rsidRPr="005B5EC1">
        <w:rPr>
          <w:rFonts w:ascii="Times New Roman" w:hAnsi="Times New Roman" w:cs="Times New Roman"/>
          <w:sz w:val="18"/>
          <w:szCs w:val="18"/>
        </w:rPr>
        <w:t>无</w:t>
      </w:r>
    </w:p>
    <w:p w14:paraId="0909B649" w14:textId="77777777" w:rsidR="00E32FE0" w:rsidRPr="005B5EC1" w:rsidRDefault="00000000">
      <w:pPr>
        <w:pStyle w:val="3"/>
        <w:spacing w:line="280" w:lineRule="exact"/>
        <w:jc w:val="left"/>
        <w:rPr>
          <w:rFonts w:ascii="Times New Roman" w:hAnsi="Times New Roman" w:cs="Times New Roman"/>
          <w:b/>
          <w:bCs/>
        </w:rPr>
      </w:pPr>
      <w:bookmarkStart w:id="334" w:name="_Toc989260"/>
      <w:r w:rsidRPr="005B5EC1">
        <w:rPr>
          <w:rFonts w:ascii="Times New Roman" w:hAnsi="Times New Roman" w:cs="Times New Roman"/>
          <w:b/>
          <w:bCs/>
        </w:rPr>
        <w:t>33</w:t>
      </w:r>
      <w:r w:rsidRPr="005B5EC1">
        <w:rPr>
          <w:rFonts w:ascii="Times New Roman" w:hAnsi="Times New Roman" w:cs="Times New Roman"/>
          <w:b/>
          <w:bCs/>
        </w:rPr>
        <w:t>、交易性金融负债</w:t>
      </w:r>
      <w:bookmarkEnd w:id="334"/>
    </w:p>
    <w:p w14:paraId="51582B5F" w14:textId="77777777" w:rsidR="00AF139E" w:rsidRPr="005B5EC1" w:rsidRDefault="00000000">
      <w:pPr>
        <w:pStyle w:val="a3"/>
        <w:divId w:val="217475490"/>
        <w:rPr>
          <w:rFonts w:ascii="Times New Roman" w:hAnsi="Times New Roman" w:cs="Times New Roman"/>
          <w:sz w:val="18"/>
          <w:szCs w:val="18"/>
        </w:rPr>
      </w:pPr>
      <w:r w:rsidRPr="005B5EC1">
        <w:rPr>
          <w:rFonts w:ascii="Times New Roman" w:hAnsi="Times New Roman" w:cs="Times New Roman"/>
          <w:sz w:val="18"/>
          <w:szCs w:val="18"/>
        </w:rPr>
        <w:t>无</w:t>
      </w:r>
    </w:p>
    <w:p w14:paraId="3E84BA5F" w14:textId="77777777" w:rsidR="00E32FE0" w:rsidRPr="005B5EC1" w:rsidRDefault="00000000">
      <w:pPr>
        <w:pStyle w:val="3"/>
        <w:spacing w:line="280" w:lineRule="exact"/>
        <w:jc w:val="left"/>
        <w:rPr>
          <w:rFonts w:ascii="Times New Roman" w:hAnsi="Times New Roman" w:cs="Times New Roman"/>
          <w:b/>
          <w:bCs/>
        </w:rPr>
      </w:pPr>
      <w:bookmarkStart w:id="335" w:name="_Toc989261"/>
      <w:r w:rsidRPr="005B5EC1">
        <w:rPr>
          <w:rFonts w:ascii="Times New Roman" w:hAnsi="Times New Roman" w:cs="Times New Roman"/>
          <w:b/>
          <w:bCs/>
        </w:rPr>
        <w:t>34</w:t>
      </w:r>
      <w:r w:rsidRPr="005B5EC1">
        <w:rPr>
          <w:rFonts w:ascii="Times New Roman" w:hAnsi="Times New Roman" w:cs="Times New Roman"/>
          <w:b/>
          <w:bCs/>
        </w:rPr>
        <w:t>、衍生金融负债</w:t>
      </w:r>
      <w:bookmarkEnd w:id="335"/>
    </w:p>
    <w:p w14:paraId="2AE415A3" w14:textId="77777777" w:rsidR="00AF139E" w:rsidRPr="005B5EC1" w:rsidRDefault="00000000">
      <w:pPr>
        <w:pStyle w:val="a3"/>
        <w:divId w:val="1101801452"/>
        <w:rPr>
          <w:rFonts w:ascii="Times New Roman" w:hAnsi="Times New Roman" w:cs="Times New Roman"/>
          <w:sz w:val="18"/>
          <w:szCs w:val="18"/>
        </w:rPr>
      </w:pPr>
      <w:r w:rsidRPr="005B5EC1">
        <w:rPr>
          <w:rFonts w:ascii="Times New Roman" w:hAnsi="Times New Roman" w:cs="Times New Roman"/>
          <w:sz w:val="18"/>
          <w:szCs w:val="18"/>
        </w:rPr>
        <w:t>无</w:t>
      </w:r>
    </w:p>
    <w:p w14:paraId="0B1EE67C" w14:textId="77777777" w:rsidR="00E32FE0" w:rsidRPr="005B5EC1" w:rsidRDefault="00000000">
      <w:pPr>
        <w:pStyle w:val="3"/>
        <w:spacing w:line="280" w:lineRule="exact"/>
        <w:jc w:val="left"/>
        <w:rPr>
          <w:rFonts w:ascii="Times New Roman" w:hAnsi="Times New Roman" w:cs="Times New Roman"/>
          <w:b/>
          <w:bCs/>
        </w:rPr>
      </w:pPr>
      <w:bookmarkStart w:id="336" w:name="_Toc989262"/>
      <w:r w:rsidRPr="005B5EC1">
        <w:rPr>
          <w:rFonts w:ascii="Times New Roman" w:hAnsi="Times New Roman" w:cs="Times New Roman"/>
          <w:b/>
          <w:bCs/>
        </w:rPr>
        <w:lastRenderedPageBreak/>
        <w:t>35</w:t>
      </w:r>
      <w:r w:rsidRPr="005B5EC1">
        <w:rPr>
          <w:rFonts w:ascii="Times New Roman" w:hAnsi="Times New Roman" w:cs="Times New Roman"/>
          <w:b/>
          <w:bCs/>
        </w:rPr>
        <w:t>、应付票据</w:t>
      </w:r>
      <w:bookmarkEnd w:id="336"/>
    </w:p>
    <w:p w14:paraId="3B7CD57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28394EE"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F16662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5A1F9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7BB96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295C7DBC"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F54E7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9CF39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25,056,257.25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CC155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1E4426A"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C504CD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F9FDE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269,419,792.77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32C34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420,625,801.99</w:t>
            </w:r>
          </w:p>
        </w:tc>
      </w:tr>
      <w:tr w:rsidR="00E32FE0" w:rsidRPr="005B5EC1" w14:paraId="5FBAB5ED"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D4D04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46F0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294,476,050.02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B7C04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420,625,801.99</w:t>
            </w:r>
          </w:p>
        </w:tc>
      </w:tr>
    </w:tbl>
    <w:p w14:paraId="3ACBB52E" w14:textId="77777777" w:rsidR="00E32FE0" w:rsidRPr="005B5EC1" w:rsidRDefault="00000000">
      <w:pPr>
        <w:pStyle w:val="3"/>
        <w:spacing w:line="280" w:lineRule="exact"/>
        <w:jc w:val="left"/>
        <w:rPr>
          <w:rFonts w:ascii="Times New Roman" w:hAnsi="Times New Roman" w:cs="Times New Roman"/>
          <w:b/>
          <w:bCs/>
        </w:rPr>
      </w:pPr>
      <w:bookmarkStart w:id="337" w:name="_Toc989263"/>
      <w:r w:rsidRPr="005B5EC1">
        <w:rPr>
          <w:rFonts w:ascii="Times New Roman" w:hAnsi="Times New Roman" w:cs="Times New Roman"/>
          <w:b/>
          <w:bCs/>
        </w:rPr>
        <w:t>36</w:t>
      </w:r>
      <w:r w:rsidRPr="005B5EC1">
        <w:rPr>
          <w:rFonts w:ascii="Times New Roman" w:hAnsi="Times New Roman" w:cs="Times New Roman"/>
          <w:b/>
          <w:bCs/>
        </w:rPr>
        <w:t>、应付账款</w:t>
      </w:r>
      <w:bookmarkEnd w:id="337"/>
    </w:p>
    <w:p w14:paraId="33F2828C"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38" w:name="_Toc989264"/>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应付账款列示</w:t>
      </w:r>
      <w:bookmarkEnd w:id="338"/>
    </w:p>
    <w:p w14:paraId="798710B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479E74B0"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9957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B3698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3E4B27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267E07B2"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4EF636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应付材料采购款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C503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357,418,958.10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71B1E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321,573,682.53</w:t>
            </w:r>
          </w:p>
        </w:tc>
      </w:tr>
      <w:tr w:rsidR="00E32FE0" w:rsidRPr="005B5EC1" w14:paraId="7F9AF0F6"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FA07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应付固定资产采购款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20B84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143,759,721.61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DC2C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100,265,719.46</w:t>
            </w:r>
          </w:p>
        </w:tc>
      </w:tr>
      <w:tr w:rsidR="00E32FE0" w:rsidRPr="005B5EC1" w14:paraId="3403FC90"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61AF96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3DF2E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501,178,679.71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40D79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421,839,401.99</w:t>
            </w:r>
          </w:p>
        </w:tc>
      </w:tr>
    </w:tbl>
    <w:p w14:paraId="17FCDCE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39" w:name="_Toc989265"/>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账龄超过</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年或逾期的重要应付账款</w:t>
      </w:r>
      <w:bookmarkEnd w:id="339"/>
    </w:p>
    <w:p w14:paraId="49C7B57C" w14:textId="77777777" w:rsidR="00AF139E" w:rsidRPr="005B5EC1" w:rsidRDefault="00000000">
      <w:pPr>
        <w:pStyle w:val="a3"/>
        <w:divId w:val="571043713"/>
        <w:rPr>
          <w:rFonts w:ascii="Times New Roman" w:hAnsi="Times New Roman" w:cs="Times New Roman"/>
          <w:sz w:val="18"/>
          <w:szCs w:val="18"/>
        </w:rPr>
      </w:pPr>
      <w:r w:rsidRPr="005B5EC1">
        <w:rPr>
          <w:rFonts w:ascii="Times New Roman" w:hAnsi="Times New Roman" w:cs="Times New Roman"/>
          <w:sz w:val="18"/>
          <w:szCs w:val="18"/>
        </w:rPr>
        <w:t>无</w:t>
      </w:r>
    </w:p>
    <w:p w14:paraId="0D8A3A01" w14:textId="77777777" w:rsidR="00E32FE0" w:rsidRPr="005B5EC1" w:rsidRDefault="00000000">
      <w:pPr>
        <w:pStyle w:val="3"/>
        <w:spacing w:line="280" w:lineRule="exact"/>
        <w:jc w:val="left"/>
        <w:rPr>
          <w:rFonts w:ascii="Times New Roman" w:hAnsi="Times New Roman" w:cs="Times New Roman"/>
          <w:b/>
          <w:bCs/>
        </w:rPr>
      </w:pPr>
      <w:bookmarkStart w:id="340" w:name="_Toc989266"/>
      <w:r w:rsidRPr="005B5EC1">
        <w:rPr>
          <w:rFonts w:ascii="Times New Roman" w:hAnsi="Times New Roman" w:cs="Times New Roman"/>
          <w:b/>
          <w:bCs/>
        </w:rPr>
        <w:t>37</w:t>
      </w:r>
      <w:r w:rsidRPr="005B5EC1">
        <w:rPr>
          <w:rFonts w:ascii="Times New Roman" w:hAnsi="Times New Roman" w:cs="Times New Roman"/>
          <w:b/>
          <w:bCs/>
        </w:rPr>
        <w:t>、其他应付款</w:t>
      </w:r>
      <w:bookmarkEnd w:id="340"/>
    </w:p>
    <w:p w14:paraId="0ADFF7AE"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EAC4687"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2D94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8A0CE6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1B4ED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473CA2F9"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21A7A5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D438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180,775,039.13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8902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264,150,919.18</w:t>
            </w:r>
          </w:p>
        </w:tc>
      </w:tr>
      <w:tr w:rsidR="00E32FE0" w:rsidRPr="005B5EC1" w14:paraId="24788E07"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450F1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6096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180,775,039.13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48098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264,150,919.18</w:t>
            </w:r>
          </w:p>
        </w:tc>
      </w:tr>
    </w:tbl>
    <w:p w14:paraId="3FED6C07"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41" w:name="_Toc989267"/>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应付利息</w:t>
      </w:r>
      <w:bookmarkEnd w:id="341"/>
    </w:p>
    <w:p w14:paraId="7BBD8D53" w14:textId="77777777" w:rsidR="00AF139E" w:rsidRPr="005B5EC1" w:rsidRDefault="00000000">
      <w:pPr>
        <w:pStyle w:val="a3"/>
        <w:divId w:val="1943294274"/>
        <w:rPr>
          <w:rFonts w:ascii="Times New Roman" w:hAnsi="Times New Roman" w:cs="Times New Roman"/>
          <w:sz w:val="18"/>
          <w:szCs w:val="18"/>
        </w:rPr>
      </w:pPr>
      <w:r w:rsidRPr="005B5EC1">
        <w:rPr>
          <w:rFonts w:ascii="Times New Roman" w:hAnsi="Times New Roman" w:cs="Times New Roman"/>
          <w:sz w:val="18"/>
          <w:szCs w:val="18"/>
        </w:rPr>
        <w:t>无</w:t>
      </w:r>
    </w:p>
    <w:p w14:paraId="31E3A54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42" w:name="_Toc989268"/>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应付股利</w:t>
      </w:r>
      <w:bookmarkEnd w:id="342"/>
    </w:p>
    <w:p w14:paraId="1C787D20" w14:textId="77777777" w:rsidR="00AF139E" w:rsidRPr="005B5EC1" w:rsidRDefault="00000000">
      <w:pPr>
        <w:pStyle w:val="a3"/>
        <w:divId w:val="1534463863"/>
        <w:rPr>
          <w:rFonts w:ascii="Times New Roman" w:hAnsi="Times New Roman" w:cs="Times New Roman"/>
          <w:sz w:val="18"/>
          <w:szCs w:val="18"/>
        </w:rPr>
      </w:pPr>
      <w:r w:rsidRPr="005B5EC1">
        <w:rPr>
          <w:rFonts w:ascii="Times New Roman" w:hAnsi="Times New Roman" w:cs="Times New Roman"/>
          <w:sz w:val="18"/>
          <w:szCs w:val="18"/>
        </w:rPr>
        <w:t>无</w:t>
      </w:r>
    </w:p>
    <w:p w14:paraId="5564EDA5"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43" w:name="_Toc989269"/>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其他应付款</w:t>
      </w:r>
      <w:bookmarkEnd w:id="343"/>
    </w:p>
    <w:p w14:paraId="1BFDB58D"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344" w:name="_Toc989270"/>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按款项性质列示其他应付款</w:t>
      </w:r>
      <w:bookmarkEnd w:id="344"/>
    </w:p>
    <w:p w14:paraId="6F2A9732"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D5131FF"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FF7431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BD6836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F7B03E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5BCB4622"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EF7DA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7CC8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105,154,228.35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F26BA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87,802,528.45</w:t>
            </w:r>
          </w:p>
        </w:tc>
      </w:tr>
      <w:tr w:rsidR="00E32FE0" w:rsidRPr="005B5EC1" w14:paraId="656235B3"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04E725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预提费用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84AA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68,663,375.22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88159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105,491,439.90</w:t>
            </w:r>
          </w:p>
        </w:tc>
      </w:tr>
      <w:tr w:rsidR="00E32FE0" w:rsidRPr="005B5EC1" w14:paraId="1CFF7F30"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3B304E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应付子公司原股东股权收购款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5CEA7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40132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61,740,000.00</w:t>
            </w:r>
          </w:p>
        </w:tc>
      </w:tr>
      <w:tr w:rsidR="00E32FE0" w:rsidRPr="005B5EC1" w14:paraId="5FD19202"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0BF193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376FC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6,957,435.56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C912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9,116,950.83</w:t>
            </w:r>
          </w:p>
        </w:tc>
      </w:tr>
      <w:tr w:rsidR="00E32FE0" w:rsidRPr="005B5EC1" w14:paraId="5A7E630A"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5DB410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5B5F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180,775,039.13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77ABB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264,150,919.18</w:t>
            </w:r>
          </w:p>
        </w:tc>
      </w:tr>
    </w:tbl>
    <w:p w14:paraId="3DAA6142"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345" w:name="_Toc989271"/>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账龄超过</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年或逾期的重要其他应付款</w:t>
      </w:r>
      <w:bookmarkEnd w:id="345"/>
    </w:p>
    <w:p w14:paraId="313EB6DF" w14:textId="77777777" w:rsidR="00AF139E" w:rsidRPr="005B5EC1" w:rsidRDefault="00000000">
      <w:pPr>
        <w:pStyle w:val="a3"/>
        <w:divId w:val="592014802"/>
        <w:rPr>
          <w:rFonts w:ascii="Times New Roman" w:hAnsi="Times New Roman" w:cs="Times New Roman"/>
          <w:sz w:val="18"/>
          <w:szCs w:val="18"/>
        </w:rPr>
      </w:pPr>
      <w:r w:rsidRPr="005B5EC1">
        <w:rPr>
          <w:rFonts w:ascii="Times New Roman" w:hAnsi="Times New Roman" w:cs="Times New Roman"/>
          <w:sz w:val="18"/>
          <w:szCs w:val="18"/>
        </w:rPr>
        <w:t>无</w:t>
      </w:r>
    </w:p>
    <w:p w14:paraId="4DFA457A" w14:textId="77777777" w:rsidR="00E32FE0" w:rsidRPr="005B5EC1" w:rsidRDefault="00000000">
      <w:pPr>
        <w:pStyle w:val="3"/>
        <w:spacing w:line="280" w:lineRule="exact"/>
        <w:jc w:val="left"/>
        <w:rPr>
          <w:rFonts w:ascii="Times New Roman" w:hAnsi="Times New Roman" w:cs="Times New Roman"/>
          <w:b/>
          <w:bCs/>
        </w:rPr>
      </w:pPr>
      <w:bookmarkStart w:id="346" w:name="_Toc989272"/>
      <w:r w:rsidRPr="005B5EC1">
        <w:rPr>
          <w:rFonts w:ascii="Times New Roman" w:hAnsi="Times New Roman" w:cs="Times New Roman"/>
          <w:b/>
          <w:bCs/>
        </w:rPr>
        <w:t>38</w:t>
      </w:r>
      <w:r w:rsidRPr="005B5EC1">
        <w:rPr>
          <w:rFonts w:ascii="Times New Roman" w:hAnsi="Times New Roman" w:cs="Times New Roman"/>
          <w:b/>
          <w:bCs/>
        </w:rPr>
        <w:t>、合同负债</w:t>
      </w:r>
      <w:bookmarkEnd w:id="346"/>
    </w:p>
    <w:p w14:paraId="1548499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1C571D81"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3AF6E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1EAA6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7AF00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705EEED5"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51392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预收货款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AFAC5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119,376,031.80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74FE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134,486,391.06</w:t>
            </w:r>
          </w:p>
        </w:tc>
      </w:tr>
      <w:tr w:rsidR="00E32FE0" w:rsidRPr="005B5EC1" w14:paraId="4F6B7A00"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4FD59B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667908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119,376,031.80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207D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134,486,391.06</w:t>
            </w:r>
          </w:p>
        </w:tc>
      </w:tr>
    </w:tbl>
    <w:p w14:paraId="693437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账龄超过</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年的重要合同负债</w:t>
      </w:r>
    </w:p>
    <w:p w14:paraId="780207DF" w14:textId="77777777" w:rsidR="00AF139E" w:rsidRPr="005B5EC1" w:rsidRDefault="00000000">
      <w:pPr>
        <w:pStyle w:val="a3"/>
        <w:divId w:val="2022731545"/>
        <w:rPr>
          <w:rFonts w:ascii="Times New Roman" w:hAnsi="Times New Roman" w:cs="Times New Roman"/>
          <w:sz w:val="18"/>
          <w:szCs w:val="18"/>
        </w:rPr>
      </w:pPr>
      <w:r w:rsidRPr="005B5EC1">
        <w:rPr>
          <w:rFonts w:ascii="Times New Roman" w:hAnsi="Times New Roman" w:cs="Times New Roman"/>
          <w:sz w:val="18"/>
          <w:szCs w:val="18"/>
        </w:rPr>
        <w:t>无</w:t>
      </w:r>
    </w:p>
    <w:p w14:paraId="00F4FA1D" w14:textId="77777777" w:rsidR="00E32FE0" w:rsidRPr="005B5EC1" w:rsidRDefault="00000000">
      <w:pPr>
        <w:pStyle w:val="3"/>
        <w:spacing w:line="280" w:lineRule="exact"/>
        <w:jc w:val="left"/>
        <w:rPr>
          <w:rFonts w:ascii="Times New Roman" w:hAnsi="Times New Roman" w:cs="Times New Roman"/>
          <w:b/>
          <w:bCs/>
        </w:rPr>
      </w:pPr>
      <w:bookmarkStart w:id="347" w:name="_Toc989273"/>
      <w:r w:rsidRPr="005B5EC1">
        <w:rPr>
          <w:rFonts w:ascii="Times New Roman" w:hAnsi="Times New Roman" w:cs="Times New Roman"/>
          <w:b/>
          <w:bCs/>
        </w:rPr>
        <w:t>39</w:t>
      </w:r>
      <w:r w:rsidRPr="005B5EC1">
        <w:rPr>
          <w:rFonts w:ascii="Times New Roman" w:hAnsi="Times New Roman" w:cs="Times New Roman"/>
          <w:b/>
          <w:bCs/>
        </w:rPr>
        <w:t>、应付职工薪酬</w:t>
      </w:r>
      <w:bookmarkEnd w:id="347"/>
    </w:p>
    <w:p w14:paraId="512BE70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48" w:name="_Toc98927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应付职工薪酬列示</w:t>
      </w:r>
      <w:bookmarkEnd w:id="348"/>
    </w:p>
    <w:p w14:paraId="1C49DB3F"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7D035C1B"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86CC29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F714E3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8D201B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B97FD9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0E7F08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75A71232"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4F17BB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F22B6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41,323,324.33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1BD42D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407,414,583.20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4BB45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415,516,161.66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F69B7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33,221,745.87</w:t>
            </w:r>
          </w:p>
        </w:tc>
      </w:tr>
      <w:tr w:rsidR="00E32FE0" w:rsidRPr="005B5EC1" w14:paraId="0289B413"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571F81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二、离职后福利</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设定提存计划</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0480C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15,815.00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70282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28,097,102.92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647AD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28,112,917.92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6CD06C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F8B9518"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7CDDDB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FBFCB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1,933,419.00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BDFFE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895,069.50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B2A2B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2,458,488.50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BCC16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370,000.00</w:t>
            </w:r>
          </w:p>
        </w:tc>
      </w:tr>
      <w:tr w:rsidR="00E32FE0" w:rsidRPr="005B5EC1" w14:paraId="5E1A1262"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8E3857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B843E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43,272,558.33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B6F37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436,406,755.62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4BEAF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446,087,568.08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24CF9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33,591,745.87</w:t>
            </w:r>
          </w:p>
        </w:tc>
      </w:tr>
    </w:tbl>
    <w:p w14:paraId="294032E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49" w:name="_Toc98927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短期薪酬列示</w:t>
      </w:r>
      <w:bookmarkEnd w:id="349"/>
    </w:p>
    <w:p w14:paraId="1EEE086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134BC7CD"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CC56FF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D65766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87C2A2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E6AFB9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9433B6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73DED671"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D3CB8F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、工资、奖金、津贴和补贴</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D90F6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41,313,003.13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D4BC3B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376,947,312.62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EA01BD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385,046,369.88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F5827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33,213,945.87</w:t>
            </w:r>
          </w:p>
        </w:tc>
      </w:tr>
      <w:tr w:rsidR="00E32FE0" w:rsidRPr="005B5EC1" w14:paraId="50C18B50"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6D59A3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、职工福利费</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B8A493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327618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11,564,066.67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8D63C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11,564,066.67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DD2883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DF6AB0A"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C0A5F4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、社会保险费</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4F5A0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7,621.20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E183E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14,750,994.93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3258A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14,758,616.13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23D8A7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67AD099"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B0C7002" w14:textId="77777777" w:rsidR="00E32FE0" w:rsidRPr="005B5EC1" w:rsidRDefault="00000000" w:rsidP="005C09BC">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731BA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7,494.70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9C2BB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13,557,468.30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E95B7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13,564,963.00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09C47C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26CC5F8"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0A14AAF" w14:textId="77777777" w:rsidR="00E32FE0" w:rsidRPr="005B5EC1" w:rsidRDefault="00000000" w:rsidP="005C09BC">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6BAF1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126.50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CDE9B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1,193,526.63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2F70E3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1,193,653.13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AEA1D2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BDCFA2E"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1F3976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、住房公积金</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90442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2,700.00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36D95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3,340,742.00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E1D32F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3,343,442.00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138D1F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32BE25D"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77688A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、工会经费和职工教育经费</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966707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9F5B6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511,466.98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25651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503,666.98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470B7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7,800.00</w:t>
            </w:r>
          </w:p>
        </w:tc>
      </w:tr>
      <w:tr w:rsidR="00E32FE0" w:rsidRPr="005B5EC1" w14:paraId="3078C46B"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597E5C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、其他短期薪酬</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F579F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F7D64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87EC3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222EA0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0730FAE"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414075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F6AD0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41,323,324.33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FC5F4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407,414,583.20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835A39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415,516,161.66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D19CA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33,221,745.87</w:t>
            </w:r>
          </w:p>
        </w:tc>
      </w:tr>
    </w:tbl>
    <w:p w14:paraId="492D405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50" w:name="_Toc98927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设定提存计划列示</w:t>
      </w:r>
      <w:bookmarkEnd w:id="350"/>
    </w:p>
    <w:p w14:paraId="680ABB1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7332A733"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EB8985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项目</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AB8BE1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C61174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3C7BF7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109E21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0E355994"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945477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、基本养老保险</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1D464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15,182.40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C1E41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26,937,477.06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FCD68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26,952,659.46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63FF20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56BE271"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FBA44A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、失业保险费</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7E7A1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632.60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C2654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1,159,625.86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586E1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1,160,258.46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28F102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550613B" w14:textId="77777777" w:rsidTr="005C09BC">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6DAD1F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3B573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15,815.00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3258A9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28,097,102.92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242FC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28,112,917.92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ED32573"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17AECD9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8127D7D" w14:textId="77777777" w:rsidR="00AF139E" w:rsidRPr="005B5EC1" w:rsidRDefault="00000000">
      <w:pPr>
        <w:pStyle w:val="a3"/>
        <w:divId w:val="742802953"/>
        <w:rPr>
          <w:rFonts w:ascii="Times New Roman" w:hAnsi="Times New Roman" w:cs="Times New Roman"/>
          <w:sz w:val="18"/>
          <w:szCs w:val="18"/>
        </w:rPr>
      </w:pPr>
      <w:r w:rsidRPr="005B5EC1">
        <w:rPr>
          <w:rFonts w:ascii="Times New Roman" w:hAnsi="Times New Roman" w:cs="Times New Roman"/>
          <w:sz w:val="18"/>
          <w:szCs w:val="18"/>
        </w:rPr>
        <w:t>无</w:t>
      </w:r>
    </w:p>
    <w:p w14:paraId="6864F781" w14:textId="77777777" w:rsidR="00E32FE0" w:rsidRPr="005B5EC1" w:rsidRDefault="00000000">
      <w:pPr>
        <w:pStyle w:val="3"/>
        <w:spacing w:line="280" w:lineRule="exact"/>
        <w:jc w:val="left"/>
        <w:rPr>
          <w:rFonts w:ascii="Times New Roman" w:hAnsi="Times New Roman" w:cs="Times New Roman"/>
          <w:b/>
          <w:bCs/>
        </w:rPr>
      </w:pPr>
      <w:bookmarkStart w:id="351" w:name="_Toc989277"/>
      <w:r w:rsidRPr="005B5EC1">
        <w:rPr>
          <w:rFonts w:ascii="Times New Roman" w:hAnsi="Times New Roman" w:cs="Times New Roman"/>
          <w:b/>
          <w:bCs/>
        </w:rPr>
        <w:t>40</w:t>
      </w:r>
      <w:r w:rsidRPr="005B5EC1">
        <w:rPr>
          <w:rFonts w:ascii="Times New Roman" w:hAnsi="Times New Roman" w:cs="Times New Roman"/>
          <w:b/>
          <w:bCs/>
        </w:rPr>
        <w:t>、应交税费</w:t>
      </w:r>
      <w:bookmarkEnd w:id="351"/>
    </w:p>
    <w:p w14:paraId="0477FA9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491ED0AD"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9D432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CB4009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087E9B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5FDE9723"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384E9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增值税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2BFD9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3,345,790.31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FABE0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5,263,271.57</w:t>
            </w:r>
          </w:p>
        </w:tc>
      </w:tr>
      <w:tr w:rsidR="00E32FE0" w:rsidRPr="005B5EC1" w14:paraId="34B865E4"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959088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7A93C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1,204,889.84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2716EE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1,292,913.17</w:t>
            </w:r>
          </w:p>
        </w:tc>
      </w:tr>
      <w:tr w:rsidR="00E32FE0" w:rsidRPr="005B5EC1" w14:paraId="7056A255"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129AAB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68785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344,006.58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200B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347,547.55</w:t>
            </w:r>
          </w:p>
        </w:tc>
      </w:tr>
      <w:tr w:rsidR="00E32FE0" w:rsidRPr="005B5EC1" w14:paraId="4941A48D"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69E986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4A90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35,535.71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084FF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265,102.78</w:t>
            </w:r>
          </w:p>
        </w:tc>
      </w:tr>
      <w:tr w:rsidR="00E32FE0" w:rsidRPr="005B5EC1" w14:paraId="3F43D5C5"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6528E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房产税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838CB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1,637,437.17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5D59F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1,551,668.96</w:t>
            </w:r>
          </w:p>
        </w:tc>
      </w:tr>
      <w:tr w:rsidR="00E32FE0" w:rsidRPr="005B5EC1" w14:paraId="71F3BC15"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6CBFC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F0728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981,394.27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A9176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1,198,463.79</w:t>
            </w:r>
          </w:p>
        </w:tc>
      </w:tr>
      <w:tr w:rsidR="00E32FE0" w:rsidRPr="005B5EC1" w14:paraId="1ABB3116"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E8360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印花税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11AD3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2,960,923.18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D2F4D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2,702,777.31</w:t>
            </w:r>
          </w:p>
        </w:tc>
      </w:tr>
      <w:tr w:rsidR="00E32FE0" w:rsidRPr="005B5EC1" w14:paraId="10E45CDC"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56E53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2A37E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25,381.18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53C2F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218,882.12</w:t>
            </w:r>
          </w:p>
        </w:tc>
      </w:tr>
      <w:tr w:rsidR="00E32FE0" w:rsidRPr="005B5EC1" w14:paraId="025CE3E1"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3CB247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水资源税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3419F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142,259.50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8632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100,495.40</w:t>
            </w:r>
          </w:p>
        </w:tc>
      </w:tr>
      <w:tr w:rsidR="00E32FE0" w:rsidRPr="005B5EC1" w14:paraId="06EB93B2"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09ED52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环保税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6500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11,211.79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C3E3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6,600.94</w:t>
            </w:r>
          </w:p>
        </w:tc>
      </w:tr>
      <w:tr w:rsidR="00E32FE0" w:rsidRPr="005B5EC1" w14:paraId="67426893"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8DB8D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5F87A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10,688,829.53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87E7B0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12,947,723.59</w:t>
            </w:r>
          </w:p>
        </w:tc>
      </w:tr>
    </w:tbl>
    <w:p w14:paraId="79B2AF9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5707D634" w14:textId="77777777" w:rsidR="00AF139E" w:rsidRPr="005B5EC1" w:rsidRDefault="00000000">
      <w:pPr>
        <w:pStyle w:val="a3"/>
        <w:divId w:val="510220941"/>
        <w:rPr>
          <w:rFonts w:ascii="Times New Roman" w:hAnsi="Times New Roman" w:cs="Times New Roman"/>
          <w:sz w:val="18"/>
          <w:szCs w:val="18"/>
        </w:rPr>
      </w:pPr>
      <w:r w:rsidRPr="005B5EC1">
        <w:rPr>
          <w:rFonts w:ascii="Times New Roman" w:hAnsi="Times New Roman" w:cs="Times New Roman"/>
          <w:sz w:val="18"/>
          <w:szCs w:val="18"/>
        </w:rPr>
        <w:t>无</w:t>
      </w:r>
    </w:p>
    <w:p w14:paraId="62B15D55" w14:textId="77777777" w:rsidR="00E32FE0" w:rsidRPr="005B5EC1" w:rsidRDefault="00000000">
      <w:pPr>
        <w:pStyle w:val="3"/>
        <w:spacing w:line="280" w:lineRule="exact"/>
        <w:jc w:val="left"/>
        <w:rPr>
          <w:rFonts w:ascii="Times New Roman" w:hAnsi="Times New Roman" w:cs="Times New Roman"/>
          <w:b/>
          <w:bCs/>
        </w:rPr>
      </w:pPr>
      <w:bookmarkStart w:id="352" w:name="_Toc989278"/>
      <w:r w:rsidRPr="005B5EC1">
        <w:rPr>
          <w:rFonts w:ascii="Times New Roman" w:hAnsi="Times New Roman" w:cs="Times New Roman"/>
          <w:b/>
          <w:bCs/>
        </w:rPr>
        <w:t>41</w:t>
      </w:r>
      <w:r w:rsidRPr="005B5EC1">
        <w:rPr>
          <w:rFonts w:ascii="Times New Roman" w:hAnsi="Times New Roman" w:cs="Times New Roman"/>
          <w:b/>
          <w:bCs/>
        </w:rPr>
        <w:t>、持有待售负债</w:t>
      </w:r>
      <w:bookmarkEnd w:id="352"/>
    </w:p>
    <w:p w14:paraId="64121906" w14:textId="77777777" w:rsidR="00AF139E" w:rsidRPr="005B5EC1" w:rsidRDefault="00000000">
      <w:pPr>
        <w:pStyle w:val="a3"/>
        <w:divId w:val="1935938442"/>
        <w:rPr>
          <w:rFonts w:ascii="Times New Roman" w:hAnsi="Times New Roman" w:cs="Times New Roman"/>
          <w:sz w:val="18"/>
          <w:szCs w:val="18"/>
        </w:rPr>
      </w:pPr>
      <w:r w:rsidRPr="005B5EC1">
        <w:rPr>
          <w:rFonts w:ascii="Times New Roman" w:hAnsi="Times New Roman" w:cs="Times New Roman"/>
          <w:sz w:val="18"/>
          <w:szCs w:val="18"/>
        </w:rPr>
        <w:t>无</w:t>
      </w:r>
    </w:p>
    <w:p w14:paraId="2556D65F" w14:textId="77777777" w:rsidR="00E32FE0" w:rsidRPr="005B5EC1" w:rsidRDefault="00000000">
      <w:pPr>
        <w:pStyle w:val="3"/>
        <w:spacing w:line="280" w:lineRule="exact"/>
        <w:jc w:val="left"/>
        <w:rPr>
          <w:rFonts w:ascii="Times New Roman" w:hAnsi="Times New Roman" w:cs="Times New Roman"/>
          <w:b/>
          <w:bCs/>
        </w:rPr>
      </w:pPr>
      <w:bookmarkStart w:id="353" w:name="_Toc989279"/>
      <w:r w:rsidRPr="005B5EC1">
        <w:rPr>
          <w:rFonts w:ascii="Times New Roman" w:hAnsi="Times New Roman" w:cs="Times New Roman"/>
          <w:b/>
          <w:bCs/>
        </w:rPr>
        <w:t>42</w:t>
      </w:r>
      <w:r w:rsidRPr="005B5EC1">
        <w:rPr>
          <w:rFonts w:ascii="Times New Roman" w:hAnsi="Times New Roman" w:cs="Times New Roman"/>
          <w:b/>
          <w:bCs/>
        </w:rPr>
        <w:t>、一年内到期的非流动负债</w:t>
      </w:r>
      <w:bookmarkEnd w:id="353"/>
    </w:p>
    <w:p w14:paraId="0F6AB02A"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58C58B06"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AF4F0D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C7F0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5C5F6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0C0B880C"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73486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AACC4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79,462,000.00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0F46D2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140,000,000.00</w:t>
            </w:r>
          </w:p>
        </w:tc>
      </w:tr>
      <w:tr w:rsidR="00E32FE0" w:rsidRPr="005B5EC1" w14:paraId="1AFE5335"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6EEDE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一年内到期的长期应付款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7A9A3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25,125,700.43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20313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32,660,766.11</w:t>
            </w:r>
          </w:p>
        </w:tc>
      </w:tr>
      <w:tr w:rsidR="00E32FE0" w:rsidRPr="005B5EC1" w14:paraId="1289F2BC"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9CAD34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518E9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2,053,770.99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7C458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6,273,586.22</w:t>
            </w:r>
          </w:p>
        </w:tc>
      </w:tr>
      <w:tr w:rsidR="00E32FE0" w:rsidRPr="005B5EC1" w14:paraId="4A20D1FB"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131D7A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一年内应付的长期借款利息</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2A4A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632,723.22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7FAD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495,294.22</w:t>
            </w:r>
          </w:p>
        </w:tc>
      </w:tr>
      <w:tr w:rsidR="00E32FE0" w:rsidRPr="005B5EC1" w14:paraId="3426428F"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824651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7464A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107,274,194.64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934E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179,429,646.55</w:t>
            </w:r>
          </w:p>
        </w:tc>
      </w:tr>
    </w:tbl>
    <w:p w14:paraId="3AD428C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782C9F3F" w14:textId="77777777" w:rsidR="00AF139E" w:rsidRPr="005B5EC1" w:rsidRDefault="00000000">
      <w:pPr>
        <w:pStyle w:val="a3"/>
        <w:divId w:val="425199637"/>
        <w:rPr>
          <w:rFonts w:ascii="Times New Roman" w:hAnsi="Times New Roman" w:cs="Times New Roman"/>
          <w:sz w:val="18"/>
          <w:szCs w:val="18"/>
        </w:rPr>
      </w:pPr>
      <w:r w:rsidRPr="005B5EC1">
        <w:rPr>
          <w:rFonts w:ascii="Times New Roman" w:hAnsi="Times New Roman" w:cs="Times New Roman"/>
          <w:sz w:val="18"/>
          <w:szCs w:val="18"/>
        </w:rPr>
        <w:t>自资产负债表日起一年内到期应予以清偿的租赁负债的期末账面价值，在</w:t>
      </w:r>
      <w:r w:rsidRPr="005B5EC1">
        <w:rPr>
          <w:rFonts w:ascii="Times New Roman" w:hAnsi="Times New Roman" w:cs="Times New Roman"/>
          <w:sz w:val="18"/>
          <w:szCs w:val="18"/>
        </w:rPr>
        <w:t>“</w:t>
      </w:r>
      <w:r w:rsidRPr="005B5EC1">
        <w:rPr>
          <w:rFonts w:ascii="Times New Roman" w:hAnsi="Times New Roman" w:cs="Times New Roman"/>
          <w:sz w:val="18"/>
          <w:szCs w:val="18"/>
        </w:rPr>
        <w:t>一年内到期的非流动负债</w:t>
      </w:r>
      <w:r w:rsidRPr="005B5EC1">
        <w:rPr>
          <w:rFonts w:ascii="Times New Roman" w:hAnsi="Times New Roman" w:cs="Times New Roman"/>
          <w:sz w:val="18"/>
          <w:szCs w:val="18"/>
        </w:rPr>
        <w:t>”</w:t>
      </w:r>
      <w:r w:rsidRPr="005B5EC1">
        <w:rPr>
          <w:rFonts w:ascii="Times New Roman" w:hAnsi="Times New Roman" w:cs="Times New Roman"/>
          <w:sz w:val="18"/>
          <w:szCs w:val="18"/>
        </w:rPr>
        <w:t>项目反映。</w:t>
      </w:r>
    </w:p>
    <w:p w14:paraId="62E62EFE" w14:textId="77777777" w:rsidR="00E32FE0" w:rsidRPr="005B5EC1" w:rsidRDefault="00000000">
      <w:pPr>
        <w:pStyle w:val="3"/>
        <w:spacing w:line="280" w:lineRule="exact"/>
        <w:jc w:val="left"/>
        <w:rPr>
          <w:rFonts w:ascii="Times New Roman" w:hAnsi="Times New Roman" w:cs="Times New Roman"/>
          <w:b/>
          <w:bCs/>
        </w:rPr>
      </w:pPr>
      <w:bookmarkStart w:id="354" w:name="_Toc989280"/>
      <w:r w:rsidRPr="005B5EC1">
        <w:rPr>
          <w:rFonts w:ascii="Times New Roman" w:hAnsi="Times New Roman" w:cs="Times New Roman"/>
          <w:b/>
          <w:bCs/>
        </w:rPr>
        <w:lastRenderedPageBreak/>
        <w:t>43</w:t>
      </w:r>
      <w:r w:rsidRPr="005B5EC1">
        <w:rPr>
          <w:rFonts w:ascii="Times New Roman" w:hAnsi="Times New Roman" w:cs="Times New Roman"/>
          <w:b/>
          <w:bCs/>
        </w:rPr>
        <w:t>、其他流动负债</w:t>
      </w:r>
      <w:bookmarkEnd w:id="354"/>
    </w:p>
    <w:p w14:paraId="33A5B0E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04D703E7"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6802D3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E54542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2D31A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6F114448"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BD70C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99CAD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10,498,216.67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C768E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11,571,937.30</w:t>
            </w:r>
          </w:p>
        </w:tc>
      </w:tr>
      <w:tr w:rsidR="00E32FE0" w:rsidRPr="005B5EC1" w14:paraId="5452F9F8"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475657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C30C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10,498,216.67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3B43B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11,571,937.30</w:t>
            </w:r>
          </w:p>
        </w:tc>
      </w:tr>
    </w:tbl>
    <w:p w14:paraId="62947E5A" w14:textId="77777777" w:rsidR="00E32FE0" w:rsidRPr="005B5EC1" w:rsidRDefault="00E32FE0">
      <w:pPr>
        <w:rPr>
          <w:rFonts w:ascii="Times New Roman" w:hAnsi="Times New Roman" w:cs="Times New Roman"/>
        </w:rPr>
      </w:pPr>
    </w:p>
    <w:p w14:paraId="75C040F2" w14:textId="77777777" w:rsidR="00E32FE0" w:rsidRPr="005B5EC1" w:rsidRDefault="00000000">
      <w:pPr>
        <w:pStyle w:val="3"/>
        <w:spacing w:line="280" w:lineRule="exact"/>
        <w:jc w:val="left"/>
        <w:rPr>
          <w:rFonts w:ascii="Times New Roman" w:hAnsi="Times New Roman" w:cs="Times New Roman"/>
          <w:b/>
          <w:bCs/>
        </w:rPr>
      </w:pPr>
      <w:bookmarkStart w:id="355" w:name="_Toc989281"/>
      <w:r w:rsidRPr="005B5EC1">
        <w:rPr>
          <w:rFonts w:ascii="Times New Roman" w:hAnsi="Times New Roman" w:cs="Times New Roman"/>
          <w:b/>
          <w:bCs/>
        </w:rPr>
        <w:t>44</w:t>
      </w:r>
      <w:r w:rsidRPr="005B5EC1">
        <w:rPr>
          <w:rFonts w:ascii="Times New Roman" w:hAnsi="Times New Roman" w:cs="Times New Roman"/>
          <w:b/>
          <w:bCs/>
        </w:rPr>
        <w:t>、长期借款</w:t>
      </w:r>
      <w:bookmarkEnd w:id="355"/>
    </w:p>
    <w:p w14:paraId="6B888696"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56" w:name="_Toc989282"/>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长期借款分类</w:t>
      </w:r>
      <w:bookmarkEnd w:id="356"/>
    </w:p>
    <w:p w14:paraId="6FA0204D"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5CEC86A7"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D0414E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0A276D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3B54A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5DE2B2FF"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F6A5B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抵押借款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940FAC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224,778,541.91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E2A5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262,202,925.48</w:t>
            </w:r>
          </w:p>
        </w:tc>
      </w:tr>
      <w:tr w:rsidR="00E32FE0" w:rsidRPr="005B5EC1" w14:paraId="541F624E"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CF9C13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保证借款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7660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127,000,000.00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5B42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204,000,000.00</w:t>
            </w:r>
          </w:p>
        </w:tc>
      </w:tr>
      <w:tr w:rsidR="00E32FE0" w:rsidRPr="005B5EC1" w14:paraId="3F681224"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30B397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减：一年内到期的长期借款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0A7FF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-79,462,000.00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F9A62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-140,000,000.00</w:t>
            </w:r>
          </w:p>
        </w:tc>
      </w:tr>
      <w:tr w:rsidR="00E32FE0" w:rsidRPr="005B5EC1" w14:paraId="34D505D5"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8CBF2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08F01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272,316,541.91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94706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326,202,925.48</w:t>
            </w:r>
          </w:p>
        </w:tc>
      </w:tr>
    </w:tbl>
    <w:p w14:paraId="6B4D85B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长期借款分类的说明：</w:t>
      </w:r>
    </w:p>
    <w:p w14:paraId="18105078" w14:textId="77777777" w:rsidR="00AF139E" w:rsidRPr="005B5EC1" w:rsidRDefault="00000000">
      <w:pPr>
        <w:pStyle w:val="a3"/>
        <w:spacing w:before="0" w:beforeAutospacing="0" w:after="0" w:afterAutospacing="0"/>
        <w:textAlignment w:val="baseline"/>
        <w:divId w:val="1805655813"/>
        <w:rPr>
          <w:rFonts w:ascii="Times New Roman" w:hAnsi="Times New Roman" w:cs="Times New Roman"/>
          <w:color w:val="000000"/>
          <w:sz w:val="21"/>
          <w:szCs w:val="21"/>
        </w:rPr>
      </w:pPr>
      <w:r w:rsidRPr="005B5EC1">
        <w:rPr>
          <w:rFonts w:ascii="Times New Roman" w:hAnsi="Times New Roman" w:cs="Times New Roman"/>
          <w:color w:val="000000"/>
          <w:spacing w:val="-2"/>
          <w:sz w:val="18"/>
          <w:szCs w:val="18"/>
        </w:rPr>
        <w:t>抵押借款的抵押资产类别以及金额，</w:t>
      </w:r>
      <w:r w:rsidRPr="005B5EC1">
        <w:rPr>
          <w:rFonts w:ascii="Times New Roman" w:hAnsi="Times New Roman" w:cs="Times New Roman"/>
          <w:color w:val="000000"/>
          <w:spacing w:val="-33"/>
          <w:sz w:val="18"/>
          <w:szCs w:val="18"/>
        </w:rPr>
        <w:t> </w:t>
      </w:r>
      <w:r w:rsidRPr="005B5EC1">
        <w:rPr>
          <w:rFonts w:ascii="Times New Roman" w:hAnsi="Times New Roman" w:cs="Times New Roman"/>
          <w:color w:val="000000"/>
          <w:spacing w:val="-2"/>
          <w:sz w:val="18"/>
          <w:szCs w:val="18"/>
        </w:rPr>
        <w:t>参见附注七、</w:t>
      </w:r>
      <w:r w:rsidRPr="005B5EC1">
        <w:rPr>
          <w:rFonts w:ascii="Times New Roman" w:hAnsi="Times New Roman" w:cs="Times New Roman"/>
          <w:color w:val="000000"/>
          <w:spacing w:val="-37"/>
          <w:sz w:val="18"/>
          <w:szCs w:val="18"/>
        </w:rPr>
        <w:t> </w:t>
      </w:r>
      <w:r w:rsidRPr="005B5EC1">
        <w:rPr>
          <w:rFonts w:ascii="Times New Roman" w:hAnsi="Times New Roman" w:cs="Times New Roman"/>
          <w:color w:val="000000"/>
          <w:spacing w:val="-2"/>
          <w:sz w:val="18"/>
          <w:szCs w:val="18"/>
        </w:rPr>
        <w:t>31</w:t>
      </w:r>
      <w:r w:rsidRPr="005B5EC1">
        <w:rPr>
          <w:rFonts w:ascii="Times New Roman" w:hAnsi="Times New Roman" w:cs="Times New Roman"/>
          <w:color w:val="000000"/>
          <w:spacing w:val="-2"/>
          <w:sz w:val="18"/>
          <w:szCs w:val="18"/>
        </w:rPr>
        <w:t>。</w:t>
      </w:r>
    </w:p>
    <w:p w14:paraId="26A5BDD4" w14:textId="3A16C1E1" w:rsidR="00AF139E" w:rsidRPr="005B5EC1" w:rsidRDefault="00000000" w:rsidP="005C09BC">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其他说明，包括利率区间：</w:t>
      </w:r>
      <w:r w:rsidRPr="00446468">
        <w:rPr>
          <w:rFonts w:ascii="宋体" w:eastAsia="宋体" w:hAnsi="宋体" w:cs="Times New Roman"/>
          <w:color w:val="000000"/>
          <w:spacing w:val="-1"/>
          <w:sz w:val="18"/>
          <w:szCs w:val="18"/>
        </w:rPr>
        <w:t>长期借款利率区间为年化利率</w:t>
      </w:r>
      <w:r w:rsidRPr="005B5EC1">
        <w:rPr>
          <w:rFonts w:ascii="Times New Roman" w:hAnsi="Times New Roman" w:cs="Times New Roman"/>
          <w:color w:val="000000"/>
          <w:spacing w:val="-26"/>
          <w:sz w:val="18"/>
          <w:szCs w:val="18"/>
        </w:rPr>
        <w:t> </w:t>
      </w:r>
      <w:r w:rsidRPr="005B5EC1">
        <w:rPr>
          <w:rFonts w:ascii="Times New Roman" w:hAnsi="Times New Roman" w:cs="Times New Roman"/>
          <w:color w:val="000000"/>
          <w:spacing w:val="-1"/>
          <w:sz w:val="18"/>
          <w:szCs w:val="18"/>
        </w:rPr>
        <w:t>3.60%-4.70%</w:t>
      </w:r>
      <w:r w:rsidRPr="005B5EC1">
        <w:rPr>
          <w:rFonts w:ascii="Times New Roman" w:hAnsi="Times New Roman" w:cs="Times New Roman"/>
          <w:color w:val="000000"/>
          <w:spacing w:val="-1"/>
          <w:sz w:val="18"/>
          <w:szCs w:val="18"/>
        </w:rPr>
        <w:t>。</w:t>
      </w:r>
    </w:p>
    <w:p w14:paraId="3F703905" w14:textId="77777777" w:rsidR="00E32FE0" w:rsidRPr="005B5EC1" w:rsidRDefault="00000000">
      <w:pPr>
        <w:pStyle w:val="3"/>
        <w:spacing w:line="280" w:lineRule="exact"/>
        <w:jc w:val="left"/>
        <w:rPr>
          <w:rFonts w:ascii="Times New Roman" w:hAnsi="Times New Roman" w:cs="Times New Roman"/>
          <w:b/>
          <w:bCs/>
        </w:rPr>
      </w:pPr>
      <w:bookmarkStart w:id="357" w:name="_Toc989283"/>
      <w:r w:rsidRPr="005B5EC1">
        <w:rPr>
          <w:rFonts w:ascii="Times New Roman" w:hAnsi="Times New Roman" w:cs="Times New Roman"/>
          <w:b/>
          <w:bCs/>
        </w:rPr>
        <w:t>45</w:t>
      </w:r>
      <w:r w:rsidRPr="005B5EC1">
        <w:rPr>
          <w:rFonts w:ascii="Times New Roman" w:hAnsi="Times New Roman" w:cs="Times New Roman"/>
          <w:b/>
          <w:bCs/>
        </w:rPr>
        <w:t>、应付债券</w:t>
      </w:r>
      <w:bookmarkEnd w:id="357"/>
    </w:p>
    <w:p w14:paraId="4F4847D6"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58" w:name="_Toc98928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应付债券</w:t>
      </w:r>
      <w:bookmarkEnd w:id="358"/>
    </w:p>
    <w:p w14:paraId="22F8C07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EE65E0D"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BFCB2B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861826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D58F4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5E831DA5"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B2E8A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可转换公司债券</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894E1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926,285,040.51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28AB6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892,370,341.46</w:t>
            </w:r>
          </w:p>
        </w:tc>
      </w:tr>
      <w:tr w:rsidR="00E32FE0" w:rsidRPr="005B5EC1" w14:paraId="6363595E"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715398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可转换公司债券应付利息</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44DC4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8,024,600.46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7EA3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6,668,924.28</w:t>
            </w:r>
          </w:p>
        </w:tc>
      </w:tr>
      <w:tr w:rsidR="00E32FE0" w:rsidRPr="005B5EC1" w14:paraId="56166406"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56853A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5ED6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934,309,640.97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74D933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899,039,265.74</w:t>
            </w:r>
          </w:p>
        </w:tc>
      </w:tr>
    </w:tbl>
    <w:p w14:paraId="3408245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59" w:name="_Toc98928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应付债券的增减变动（不包括划分为金融负债的优先股、永续债等其他金融工具）</w:t>
      </w:r>
      <w:bookmarkEnd w:id="359"/>
    </w:p>
    <w:p w14:paraId="3767794C"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689"/>
        <w:gridCol w:w="689"/>
        <w:gridCol w:w="689"/>
        <w:gridCol w:w="689"/>
        <w:gridCol w:w="689"/>
        <w:gridCol w:w="689"/>
        <w:gridCol w:w="688"/>
        <w:gridCol w:w="688"/>
        <w:gridCol w:w="688"/>
        <w:gridCol w:w="688"/>
        <w:gridCol w:w="688"/>
        <w:gridCol w:w="688"/>
        <w:gridCol w:w="688"/>
      </w:tblGrid>
      <w:tr w:rsidR="00E32FE0" w:rsidRPr="005B5EC1" w14:paraId="17EB1B2B" w14:textId="77777777" w:rsidTr="005C09BC">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17A521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债券名称</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3514D3E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面值</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7B12103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票面利率</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7F05233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发行日期</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0325AE6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债券期限</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57A09E2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发行金额</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47DF235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565CB3A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本期发行</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3D64D3B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按面值计提利息</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601B5A0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溢折价摊销</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145A18D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本期偿还</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5F769B9B" w14:textId="77777777" w:rsidR="00E32FE0" w:rsidRPr="005B5EC1" w:rsidRDefault="00000000">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本期转股</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643C846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00B0C10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是否违约</w:t>
            </w:r>
          </w:p>
        </w:tc>
      </w:tr>
      <w:tr w:rsidR="00E32FE0" w:rsidRPr="005B5EC1" w14:paraId="4C3D0A69" w14:textId="77777777" w:rsidTr="005C09BC">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317DF55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龙大转债</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483B1E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950,000,000.00</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1EFCEDC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683B59B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2020  </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 7   </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 13 </w:t>
            </w:r>
            <w:r w:rsidRPr="005B5EC1">
              <w:rPr>
                <w:rFonts w:ascii="Times New Roman" w:eastAsia="宋体" w:hAnsi="Times New Roman" w:cs="Times New Roman"/>
                <w:sz w:val="18"/>
                <w:szCs w:val="18"/>
              </w:rPr>
              <w:t>日</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47ED9A9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6 </w:t>
            </w:r>
            <w:r w:rsidRPr="005B5EC1">
              <w:rPr>
                <w:rFonts w:ascii="Times New Roman" w:eastAsia="宋体" w:hAnsi="Times New Roman" w:cs="Times New Roman"/>
                <w:sz w:val="18"/>
                <w:szCs w:val="18"/>
              </w:rPr>
              <w:t>年</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014FAB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950,000,000.00</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687CE7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899,039,265.74</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1AC4322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73C5BC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15,546,511.68</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03DA27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-33,918,699.05</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63199B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14,190,835.50</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685E46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4,000.00</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03CECA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934,309,640.97</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2F362BD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04DBCD86" w14:textId="77777777" w:rsidTr="005C09BC">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5CC52B2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754"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316065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4EFDD2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950,000,000.00</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7A7EA0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899,039,265.74</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66ED8B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420728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15,546,511.68</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27A1E57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-33,918,699.05</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08EC07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14,190,835.50</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61DE1A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4,000.00</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20AAB5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934,309,640.97</w:t>
            </w:r>
          </w:p>
        </w:tc>
        <w:tc>
          <w:tcPr>
            <w:tcW w:w="689" w:type="dxa"/>
            <w:tcBorders>
              <w:top w:val="single" w:sz="2" w:space="0" w:color="auto"/>
              <w:left w:val="single" w:sz="2" w:space="0" w:color="auto"/>
              <w:bottom w:val="single" w:sz="2" w:space="0" w:color="auto"/>
              <w:right w:val="single" w:sz="2" w:space="0" w:color="auto"/>
            </w:tcBorders>
            <w:shd w:val="clear" w:color="auto" w:fill="auto"/>
            <w:vAlign w:val="center"/>
          </w:tcPr>
          <w:p w14:paraId="4FFF012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bl>
    <w:p w14:paraId="7F68426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60" w:name="_Toc989286"/>
      <w:r w:rsidRPr="005B5EC1">
        <w:rPr>
          <w:rFonts w:ascii="Times New Roman" w:eastAsia="宋体" w:hAnsi="Times New Roman" w:cs="Times New Roman"/>
          <w:b/>
          <w:bCs/>
          <w:sz w:val="21"/>
          <w:szCs w:val="21"/>
        </w:rPr>
        <w:lastRenderedPageBreak/>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可转换公司债券的说明</w:t>
      </w:r>
      <w:bookmarkEnd w:id="360"/>
    </w:p>
    <w:p w14:paraId="5DC94B01" w14:textId="77777777" w:rsidR="00AF139E" w:rsidRPr="005B5EC1" w:rsidRDefault="00000000" w:rsidP="005C09BC">
      <w:pPr>
        <w:pStyle w:val="a3"/>
        <w:spacing w:before="0" w:beforeAutospacing="0" w:after="0" w:afterAutospacing="0" w:line="276" w:lineRule="auto"/>
        <w:ind w:firstLineChars="200" w:firstLine="360"/>
        <w:jc w:val="both"/>
        <w:divId w:val="928006951"/>
        <w:rPr>
          <w:rFonts w:ascii="Times New Roman" w:hAnsi="Times New Roman" w:cs="Times New Roman"/>
          <w:sz w:val="21"/>
          <w:szCs w:val="21"/>
        </w:rPr>
      </w:pPr>
      <w:r w:rsidRPr="005B5EC1">
        <w:rPr>
          <w:rFonts w:ascii="Times New Roman" w:hAnsi="Times New Roman" w:cs="Times New Roman"/>
          <w:sz w:val="18"/>
          <w:szCs w:val="18"/>
        </w:rPr>
        <w:t>经证监许可</w:t>
      </w:r>
      <w:r w:rsidRPr="005B5EC1">
        <w:rPr>
          <w:rFonts w:ascii="Times New Roman" w:hAnsi="Times New Roman" w:cs="Times New Roman"/>
          <w:sz w:val="18"/>
          <w:szCs w:val="18"/>
        </w:rPr>
        <w:t>[2020]1077</w:t>
      </w:r>
      <w:r w:rsidRPr="005B5EC1">
        <w:rPr>
          <w:rFonts w:ascii="Times New Roman" w:hAnsi="Times New Roman" w:cs="Times New Roman"/>
          <w:sz w:val="18"/>
          <w:szCs w:val="18"/>
        </w:rPr>
        <w:t>号文核准，本公司于</w:t>
      </w:r>
      <w:r w:rsidRPr="005B5EC1">
        <w:rPr>
          <w:rFonts w:ascii="Times New Roman" w:hAnsi="Times New Roman" w:cs="Times New Roman"/>
          <w:sz w:val="18"/>
          <w:szCs w:val="18"/>
        </w:rPr>
        <w:t>2020</w:t>
      </w:r>
      <w:r w:rsidRPr="005B5EC1">
        <w:rPr>
          <w:rFonts w:ascii="Times New Roman" w:hAnsi="Times New Roman" w:cs="Times New Roman"/>
          <w:sz w:val="18"/>
          <w:szCs w:val="18"/>
        </w:rPr>
        <w:t>年</w:t>
      </w:r>
      <w:r w:rsidRPr="005B5EC1">
        <w:rPr>
          <w:rFonts w:ascii="Times New Roman" w:hAnsi="Times New Roman" w:cs="Times New Roman"/>
          <w:sz w:val="18"/>
          <w:szCs w:val="18"/>
        </w:rPr>
        <w:t>7</w:t>
      </w:r>
      <w:r w:rsidRPr="005B5EC1">
        <w:rPr>
          <w:rFonts w:ascii="Times New Roman" w:hAnsi="Times New Roman" w:cs="Times New Roman"/>
          <w:sz w:val="18"/>
          <w:szCs w:val="18"/>
        </w:rPr>
        <w:t>月</w:t>
      </w:r>
      <w:r w:rsidRPr="005B5EC1">
        <w:rPr>
          <w:rFonts w:ascii="Times New Roman" w:hAnsi="Times New Roman" w:cs="Times New Roman"/>
          <w:sz w:val="18"/>
          <w:szCs w:val="18"/>
        </w:rPr>
        <w:t>13</w:t>
      </w:r>
      <w:r w:rsidRPr="005B5EC1">
        <w:rPr>
          <w:rFonts w:ascii="Times New Roman" w:hAnsi="Times New Roman" w:cs="Times New Roman"/>
          <w:sz w:val="18"/>
          <w:szCs w:val="18"/>
        </w:rPr>
        <w:t>日发行票面金额为</w:t>
      </w:r>
      <w:r w:rsidRPr="005B5EC1">
        <w:rPr>
          <w:rFonts w:ascii="Times New Roman" w:hAnsi="Times New Roman" w:cs="Times New Roman"/>
          <w:sz w:val="18"/>
          <w:szCs w:val="18"/>
        </w:rPr>
        <w:t>100</w:t>
      </w:r>
      <w:r w:rsidRPr="005B5EC1">
        <w:rPr>
          <w:rFonts w:ascii="Times New Roman" w:hAnsi="Times New Roman" w:cs="Times New Roman"/>
          <w:sz w:val="18"/>
          <w:szCs w:val="18"/>
        </w:rPr>
        <w:t>元的可转换债券</w:t>
      </w:r>
      <w:r w:rsidRPr="005B5EC1">
        <w:rPr>
          <w:rFonts w:ascii="Times New Roman" w:hAnsi="Times New Roman" w:cs="Times New Roman"/>
          <w:sz w:val="18"/>
          <w:szCs w:val="18"/>
        </w:rPr>
        <w:t>9,500,000</w:t>
      </w:r>
      <w:r w:rsidRPr="005B5EC1">
        <w:rPr>
          <w:rFonts w:ascii="Times New Roman" w:hAnsi="Times New Roman" w:cs="Times New Roman"/>
          <w:sz w:val="18"/>
          <w:szCs w:val="18"/>
        </w:rPr>
        <w:t>张。债券票面年利率第一年</w:t>
      </w:r>
      <w:r w:rsidRPr="005B5EC1">
        <w:rPr>
          <w:rFonts w:ascii="Times New Roman" w:hAnsi="Times New Roman" w:cs="Times New Roman"/>
          <w:sz w:val="18"/>
          <w:szCs w:val="18"/>
        </w:rPr>
        <w:t>0.30%</w:t>
      </w:r>
      <w:r w:rsidRPr="005B5EC1">
        <w:rPr>
          <w:rFonts w:ascii="Times New Roman" w:hAnsi="Times New Roman" w:cs="Times New Roman"/>
          <w:sz w:val="18"/>
          <w:szCs w:val="18"/>
        </w:rPr>
        <w:t>、第二年</w:t>
      </w:r>
      <w:r w:rsidRPr="005B5EC1">
        <w:rPr>
          <w:rFonts w:ascii="Times New Roman" w:hAnsi="Times New Roman" w:cs="Times New Roman"/>
          <w:sz w:val="18"/>
          <w:szCs w:val="18"/>
        </w:rPr>
        <w:t>0.60%</w:t>
      </w:r>
      <w:r w:rsidRPr="005B5EC1">
        <w:rPr>
          <w:rFonts w:ascii="Times New Roman" w:hAnsi="Times New Roman" w:cs="Times New Roman"/>
          <w:sz w:val="18"/>
          <w:szCs w:val="18"/>
        </w:rPr>
        <w:t>、第三年</w:t>
      </w:r>
      <w:r w:rsidRPr="005B5EC1">
        <w:rPr>
          <w:rFonts w:ascii="Times New Roman" w:hAnsi="Times New Roman" w:cs="Times New Roman"/>
          <w:sz w:val="18"/>
          <w:szCs w:val="18"/>
        </w:rPr>
        <w:t>1.00%</w:t>
      </w:r>
      <w:r w:rsidRPr="005B5EC1">
        <w:rPr>
          <w:rFonts w:ascii="Times New Roman" w:hAnsi="Times New Roman" w:cs="Times New Roman"/>
          <w:sz w:val="18"/>
          <w:szCs w:val="18"/>
        </w:rPr>
        <w:t>、第四年</w:t>
      </w:r>
      <w:r w:rsidRPr="005B5EC1">
        <w:rPr>
          <w:rFonts w:ascii="Times New Roman" w:hAnsi="Times New Roman" w:cs="Times New Roman"/>
          <w:sz w:val="18"/>
          <w:szCs w:val="18"/>
        </w:rPr>
        <w:t>1.50%</w:t>
      </w:r>
      <w:r w:rsidRPr="005B5EC1">
        <w:rPr>
          <w:rFonts w:ascii="Times New Roman" w:hAnsi="Times New Roman" w:cs="Times New Roman"/>
          <w:sz w:val="18"/>
          <w:szCs w:val="18"/>
        </w:rPr>
        <w:t>、第五年</w:t>
      </w:r>
      <w:r w:rsidRPr="005B5EC1">
        <w:rPr>
          <w:rFonts w:ascii="Times New Roman" w:hAnsi="Times New Roman" w:cs="Times New Roman"/>
          <w:sz w:val="18"/>
          <w:szCs w:val="18"/>
        </w:rPr>
        <w:t>1.80%</w:t>
      </w:r>
      <w:r w:rsidRPr="005B5EC1">
        <w:rPr>
          <w:rFonts w:ascii="Times New Roman" w:hAnsi="Times New Roman" w:cs="Times New Roman"/>
          <w:sz w:val="18"/>
          <w:szCs w:val="18"/>
        </w:rPr>
        <w:t>、第六年</w:t>
      </w:r>
      <w:r w:rsidRPr="005B5EC1">
        <w:rPr>
          <w:rFonts w:ascii="Times New Roman" w:hAnsi="Times New Roman" w:cs="Times New Roman"/>
          <w:sz w:val="18"/>
          <w:szCs w:val="18"/>
        </w:rPr>
        <w:t>15.00%</w:t>
      </w:r>
      <w:r w:rsidRPr="005B5EC1">
        <w:rPr>
          <w:rFonts w:ascii="Times New Roman" w:hAnsi="Times New Roman" w:cs="Times New Roman"/>
          <w:sz w:val="18"/>
          <w:szCs w:val="18"/>
        </w:rPr>
        <w:t>，每年的付息日为本次发行的可转债发行首日起每满一年的当日，如该日为法定节假日或休息日，则顺延至下一个交易日，顺延期间不另付息。每相邻的两个付息日之间为一个计息年度。每年的付息债权登记日为每年付息日的前一交易日，公司将在每年付息日之后的五个交易日内支付当年利息，到期一次归还本金。</w:t>
      </w:r>
    </w:p>
    <w:p w14:paraId="0E4F4580" w14:textId="77777777" w:rsidR="00AF139E" w:rsidRPr="005B5EC1" w:rsidRDefault="00000000" w:rsidP="005C09BC">
      <w:pPr>
        <w:pStyle w:val="a3"/>
        <w:spacing w:before="0" w:beforeAutospacing="0" w:after="0" w:afterAutospacing="0" w:line="276" w:lineRule="auto"/>
        <w:ind w:firstLineChars="200" w:firstLine="360"/>
        <w:jc w:val="both"/>
        <w:divId w:val="928006951"/>
        <w:rPr>
          <w:rFonts w:ascii="Times New Roman" w:hAnsi="Times New Roman" w:cs="Times New Roman"/>
          <w:sz w:val="21"/>
          <w:szCs w:val="21"/>
        </w:rPr>
      </w:pPr>
      <w:r w:rsidRPr="005B5EC1">
        <w:rPr>
          <w:rFonts w:ascii="Times New Roman" w:hAnsi="Times New Roman" w:cs="Times New Roman"/>
          <w:sz w:val="18"/>
          <w:szCs w:val="18"/>
        </w:rPr>
        <w:t>本次发行可转债的初始转股价格为</w:t>
      </w:r>
      <w:r w:rsidRPr="005B5EC1">
        <w:rPr>
          <w:rFonts w:ascii="Times New Roman" w:hAnsi="Times New Roman" w:cs="Times New Roman"/>
          <w:sz w:val="18"/>
          <w:szCs w:val="18"/>
        </w:rPr>
        <w:t>9.56</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股，在本次发行之后，当公司因派送股票股利、转增股本、增发新股或配股、派送现金股利等情况（不包括因本次发行的可转债转股而增加的股本）使公司股份发生变化时，将依次对转股价格进行相应调整。</w:t>
      </w:r>
    </w:p>
    <w:p w14:paraId="1229F4B4" w14:textId="77777777" w:rsidR="00AF139E" w:rsidRPr="005B5EC1" w:rsidRDefault="00000000" w:rsidP="005C09BC">
      <w:pPr>
        <w:pStyle w:val="a3"/>
        <w:spacing w:before="0" w:beforeAutospacing="0" w:after="0" w:afterAutospacing="0" w:line="276" w:lineRule="auto"/>
        <w:ind w:firstLineChars="200" w:firstLine="360"/>
        <w:jc w:val="both"/>
        <w:divId w:val="928006951"/>
        <w:rPr>
          <w:rFonts w:ascii="Times New Roman" w:hAnsi="Times New Roman" w:cs="Times New Roman"/>
          <w:sz w:val="21"/>
          <w:szCs w:val="21"/>
        </w:rPr>
      </w:pPr>
      <w:r w:rsidRPr="005B5EC1">
        <w:rPr>
          <w:rFonts w:ascii="Times New Roman" w:hAnsi="Times New Roman" w:cs="Times New Roman"/>
          <w:sz w:val="18"/>
          <w:szCs w:val="18"/>
        </w:rPr>
        <w:t>公司于</w:t>
      </w:r>
      <w:r w:rsidRPr="005B5EC1">
        <w:rPr>
          <w:rFonts w:ascii="Times New Roman" w:hAnsi="Times New Roman" w:cs="Times New Roman"/>
          <w:sz w:val="18"/>
          <w:szCs w:val="18"/>
        </w:rPr>
        <w:t>2020</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11</w:t>
      </w:r>
      <w:r w:rsidRPr="005B5EC1">
        <w:rPr>
          <w:rFonts w:ascii="Times New Roman" w:hAnsi="Times New Roman" w:cs="Times New Roman"/>
          <w:sz w:val="18"/>
          <w:szCs w:val="18"/>
        </w:rPr>
        <w:t>日在中国证券登记结算有限责任公司深圳分公司办理完成了</w:t>
      </w:r>
      <w:r w:rsidRPr="005B5EC1">
        <w:rPr>
          <w:rFonts w:ascii="Times New Roman" w:hAnsi="Times New Roman" w:cs="Times New Roman"/>
          <w:sz w:val="18"/>
          <w:szCs w:val="18"/>
        </w:rPr>
        <w:t>3</w:t>
      </w:r>
      <w:r w:rsidRPr="005B5EC1">
        <w:rPr>
          <w:rFonts w:ascii="Times New Roman" w:hAnsi="Times New Roman" w:cs="Times New Roman"/>
          <w:sz w:val="18"/>
          <w:szCs w:val="18"/>
        </w:rPr>
        <w:t>名股权激励对象限制性股票的回购注销事宜，公司总股本由</w:t>
      </w:r>
      <w:r w:rsidRPr="005B5EC1">
        <w:rPr>
          <w:rFonts w:ascii="Times New Roman" w:hAnsi="Times New Roman" w:cs="Times New Roman"/>
          <w:sz w:val="18"/>
          <w:szCs w:val="18"/>
        </w:rPr>
        <w:t>998,288,980</w:t>
      </w:r>
      <w:r w:rsidRPr="005B5EC1">
        <w:rPr>
          <w:rFonts w:ascii="Times New Roman" w:hAnsi="Times New Roman" w:cs="Times New Roman"/>
          <w:sz w:val="18"/>
          <w:szCs w:val="18"/>
        </w:rPr>
        <w:t>股变更为</w:t>
      </w:r>
      <w:r w:rsidRPr="005B5EC1">
        <w:rPr>
          <w:rFonts w:ascii="Times New Roman" w:hAnsi="Times New Roman" w:cs="Times New Roman"/>
          <w:sz w:val="18"/>
          <w:szCs w:val="18"/>
        </w:rPr>
        <w:t>995,938,580</w:t>
      </w:r>
      <w:r w:rsidRPr="005B5EC1">
        <w:rPr>
          <w:rFonts w:ascii="Times New Roman" w:hAnsi="Times New Roman" w:cs="Times New Roman"/>
          <w:sz w:val="18"/>
          <w:szCs w:val="18"/>
        </w:rPr>
        <w:t>股，共计</w:t>
      </w:r>
      <w:r w:rsidRPr="005B5EC1">
        <w:rPr>
          <w:rFonts w:ascii="Times New Roman" w:hAnsi="Times New Roman" w:cs="Times New Roman"/>
          <w:sz w:val="18"/>
          <w:szCs w:val="18"/>
        </w:rPr>
        <w:t>2,350,400</w:t>
      </w:r>
      <w:r w:rsidRPr="005B5EC1">
        <w:rPr>
          <w:rFonts w:ascii="Times New Roman" w:hAnsi="Times New Roman" w:cs="Times New Roman"/>
          <w:sz w:val="18"/>
          <w:szCs w:val="18"/>
        </w:rPr>
        <w:t>股限制性股票回购注销完成。根据公司可转换公司债券转股价格调整的相关条款，</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的转股价格作相应调整：调整前</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转股价格为</w:t>
      </w:r>
      <w:r w:rsidRPr="005B5EC1">
        <w:rPr>
          <w:rFonts w:ascii="Times New Roman" w:hAnsi="Times New Roman" w:cs="Times New Roman"/>
          <w:sz w:val="18"/>
          <w:szCs w:val="18"/>
        </w:rPr>
        <w:t>9.56</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股，调整后转股价格为</w:t>
      </w:r>
      <w:r w:rsidRPr="005B5EC1">
        <w:rPr>
          <w:rFonts w:ascii="Times New Roman" w:hAnsi="Times New Roman" w:cs="Times New Roman"/>
          <w:sz w:val="18"/>
          <w:szCs w:val="18"/>
        </w:rPr>
        <w:t>9.57</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股。调整后的转股价格自</w:t>
      </w:r>
      <w:r w:rsidRPr="005B5EC1">
        <w:rPr>
          <w:rFonts w:ascii="Times New Roman" w:hAnsi="Times New Roman" w:cs="Times New Roman"/>
          <w:sz w:val="18"/>
          <w:szCs w:val="18"/>
        </w:rPr>
        <w:t>2020</w:t>
      </w:r>
      <w:r w:rsidRPr="005B5EC1">
        <w:rPr>
          <w:rFonts w:ascii="Times New Roman" w:hAnsi="Times New Roman" w:cs="Times New Roman"/>
          <w:sz w:val="18"/>
          <w:szCs w:val="18"/>
        </w:rPr>
        <w:t>年</w:t>
      </w:r>
      <w:r w:rsidRPr="005B5EC1">
        <w:rPr>
          <w:rFonts w:ascii="Times New Roman" w:hAnsi="Times New Roman" w:cs="Times New Roman"/>
          <w:sz w:val="18"/>
          <w:szCs w:val="18"/>
        </w:rPr>
        <w:t>12</w:t>
      </w:r>
      <w:r w:rsidRPr="005B5EC1">
        <w:rPr>
          <w:rFonts w:ascii="Times New Roman" w:hAnsi="Times New Roman" w:cs="Times New Roman"/>
          <w:sz w:val="18"/>
          <w:szCs w:val="18"/>
        </w:rPr>
        <w:t>月</w:t>
      </w:r>
      <w:r w:rsidRPr="005B5EC1">
        <w:rPr>
          <w:rFonts w:ascii="Times New Roman" w:hAnsi="Times New Roman" w:cs="Times New Roman"/>
          <w:sz w:val="18"/>
          <w:szCs w:val="18"/>
        </w:rPr>
        <w:t>14</w:t>
      </w:r>
      <w:r w:rsidRPr="005B5EC1">
        <w:rPr>
          <w:rFonts w:ascii="Times New Roman" w:hAnsi="Times New Roman" w:cs="Times New Roman"/>
          <w:sz w:val="18"/>
          <w:szCs w:val="18"/>
        </w:rPr>
        <w:t>日起生效。</w:t>
      </w:r>
    </w:p>
    <w:p w14:paraId="6E9D4F84" w14:textId="77777777" w:rsidR="00AF139E" w:rsidRPr="005B5EC1" w:rsidRDefault="00000000" w:rsidP="005C09BC">
      <w:pPr>
        <w:pStyle w:val="a3"/>
        <w:spacing w:before="0" w:beforeAutospacing="0" w:after="0" w:afterAutospacing="0" w:line="276" w:lineRule="auto"/>
        <w:ind w:firstLineChars="200" w:firstLine="360"/>
        <w:jc w:val="both"/>
        <w:divId w:val="928006951"/>
        <w:rPr>
          <w:rFonts w:ascii="Times New Roman" w:hAnsi="Times New Roman" w:cs="Times New Roman"/>
          <w:sz w:val="21"/>
          <w:szCs w:val="21"/>
        </w:rPr>
      </w:pP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4</w:t>
      </w:r>
      <w:r w:rsidRPr="005B5EC1">
        <w:rPr>
          <w:rFonts w:ascii="Times New Roman" w:hAnsi="Times New Roman" w:cs="Times New Roman"/>
          <w:sz w:val="18"/>
          <w:szCs w:val="18"/>
        </w:rPr>
        <w:t>月</w:t>
      </w:r>
      <w:r w:rsidRPr="005B5EC1">
        <w:rPr>
          <w:rFonts w:ascii="Times New Roman" w:hAnsi="Times New Roman" w:cs="Times New Roman"/>
          <w:sz w:val="18"/>
          <w:szCs w:val="18"/>
        </w:rPr>
        <w:t>30</w:t>
      </w:r>
      <w:r w:rsidRPr="005B5EC1">
        <w:rPr>
          <w:rFonts w:ascii="Times New Roman" w:hAnsi="Times New Roman" w:cs="Times New Roman"/>
          <w:sz w:val="18"/>
          <w:szCs w:val="18"/>
        </w:rPr>
        <w:t>日，公司实施完成了</w:t>
      </w:r>
      <w:r w:rsidRPr="005B5EC1">
        <w:rPr>
          <w:rFonts w:ascii="Times New Roman" w:hAnsi="Times New Roman" w:cs="Times New Roman"/>
          <w:sz w:val="18"/>
          <w:szCs w:val="18"/>
        </w:rPr>
        <w:t>2020</w:t>
      </w:r>
      <w:r w:rsidRPr="005B5EC1">
        <w:rPr>
          <w:rFonts w:ascii="Times New Roman" w:hAnsi="Times New Roman" w:cs="Times New Roman"/>
          <w:sz w:val="18"/>
          <w:szCs w:val="18"/>
        </w:rPr>
        <w:t>年度权益分派方案。根据公司可转换公司债券转股价格调整的相关条款，</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的转股价格由</w:t>
      </w:r>
      <w:r w:rsidRPr="005B5EC1">
        <w:rPr>
          <w:rFonts w:ascii="Times New Roman" w:hAnsi="Times New Roman" w:cs="Times New Roman"/>
          <w:sz w:val="18"/>
          <w:szCs w:val="18"/>
        </w:rPr>
        <w:t>9.57</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股调整为</w:t>
      </w:r>
      <w:r w:rsidRPr="005B5EC1">
        <w:rPr>
          <w:rFonts w:ascii="Times New Roman" w:hAnsi="Times New Roman" w:cs="Times New Roman"/>
          <w:sz w:val="18"/>
          <w:szCs w:val="18"/>
        </w:rPr>
        <w:t>9.38</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股。调整后的转股价格自</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4</w:t>
      </w:r>
      <w:r w:rsidRPr="005B5EC1">
        <w:rPr>
          <w:rFonts w:ascii="Times New Roman" w:hAnsi="Times New Roman" w:cs="Times New Roman"/>
          <w:sz w:val="18"/>
          <w:szCs w:val="18"/>
        </w:rPr>
        <w:t>月</w:t>
      </w:r>
      <w:r w:rsidRPr="005B5EC1">
        <w:rPr>
          <w:rFonts w:ascii="Times New Roman" w:hAnsi="Times New Roman" w:cs="Times New Roman"/>
          <w:sz w:val="18"/>
          <w:szCs w:val="18"/>
        </w:rPr>
        <w:t>30</w:t>
      </w:r>
      <w:r w:rsidRPr="005B5EC1">
        <w:rPr>
          <w:rFonts w:ascii="Times New Roman" w:hAnsi="Times New Roman" w:cs="Times New Roman"/>
          <w:sz w:val="18"/>
          <w:szCs w:val="18"/>
        </w:rPr>
        <w:t>日起生效。</w:t>
      </w:r>
    </w:p>
    <w:p w14:paraId="240068A6" w14:textId="77777777" w:rsidR="00AF139E" w:rsidRPr="005B5EC1" w:rsidRDefault="00000000" w:rsidP="005C09BC">
      <w:pPr>
        <w:pStyle w:val="a3"/>
        <w:spacing w:before="0" w:beforeAutospacing="0" w:after="0" w:afterAutospacing="0" w:line="276" w:lineRule="auto"/>
        <w:ind w:firstLineChars="200" w:firstLine="360"/>
        <w:jc w:val="both"/>
        <w:divId w:val="928006951"/>
        <w:rPr>
          <w:rFonts w:ascii="Times New Roman" w:hAnsi="Times New Roman" w:cs="Times New Roman"/>
          <w:sz w:val="21"/>
          <w:szCs w:val="21"/>
        </w:rPr>
      </w:pPr>
      <w:r w:rsidRPr="005B5EC1">
        <w:rPr>
          <w:rFonts w:ascii="Times New Roman" w:hAnsi="Times New Roman" w:cs="Times New Roman"/>
          <w:sz w:val="18"/>
          <w:szCs w:val="18"/>
        </w:rPr>
        <w:t>自前次转股价格调整日</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4</w:t>
      </w:r>
      <w:r w:rsidRPr="005B5EC1">
        <w:rPr>
          <w:rFonts w:ascii="Times New Roman" w:hAnsi="Times New Roman" w:cs="Times New Roman"/>
          <w:sz w:val="18"/>
          <w:szCs w:val="18"/>
        </w:rPr>
        <w:t>月</w:t>
      </w:r>
      <w:r w:rsidRPr="005B5EC1">
        <w:rPr>
          <w:rFonts w:ascii="Times New Roman" w:hAnsi="Times New Roman" w:cs="Times New Roman"/>
          <w:sz w:val="18"/>
          <w:szCs w:val="18"/>
        </w:rPr>
        <w:t>30</w:t>
      </w:r>
      <w:r w:rsidRPr="005B5EC1">
        <w:rPr>
          <w:rFonts w:ascii="Times New Roman" w:hAnsi="Times New Roman" w:cs="Times New Roman"/>
          <w:sz w:val="18"/>
          <w:szCs w:val="18"/>
        </w:rPr>
        <w:t>日起至</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2</w:t>
      </w:r>
      <w:r w:rsidRPr="005B5EC1">
        <w:rPr>
          <w:rFonts w:ascii="Times New Roman" w:hAnsi="Times New Roman" w:cs="Times New Roman"/>
          <w:sz w:val="18"/>
          <w:szCs w:val="18"/>
        </w:rPr>
        <w:t>日，公司总股本因激励对象自主行权以及公司非公开发行股票上市成功发生变化，根据公司可转换公司债券转股价格调整的相关条款，</w:t>
      </w:r>
      <w:r w:rsidRPr="005B5EC1">
        <w:rPr>
          <w:rFonts w:ascii="Times New Roman" w:hAnsi="Times New Roman" w:cs="Times New Roman"/>
          <w:sz w:val="18"/>
          <w:szCs w:val="18"/>
        </w:rPr>
        <w:t>“</w:t>
      </w:r>
      <w:r w:rsidRPr="005B5EC1">
        <w:rPr>
          <w:rFonts w:ascii="Times New Roman" w:hAnsi="Times New Roman" w:cs="Times New Roman"/>
          <w:sz w:val="18"/>
          <w:szCs w:val="18"/>
        </w:rPr>
        <w:t>龙大转债</w:t>
      </w:r>
      <w:r w:rsidRPr="005B5EC1">
        <w:rPr>
          <w:rFonts w:ascii="Times New Roman" w:hAnsi="Times New Roman" w:cs="Times New Roman"/>
          <w:sz w:val="18"/>
          <w:szCs w:val="18"/>
        </w:rPr>
        <w:t>”</w:t>
      </w:r>
      <w:r w:rsidRPr="005B5EC1">
        <w:rPr>
          <w:rFonts w:ascii="Times New Roman" w:hAnsi="Times New Roman" w:cs="Times New Roman"/>
          <w:sz w:val="18"/>
          <w:szCs w:val="18"/>
        </w:rPr>
        <w:t>的转股价由</w:t>
      </w:r>
      <w:r w:rsidRPr="005B5EC1">
        <w:rPr>
          <w:rFonts w:ascii="Times New Roman" w:hAnsi="Times New Roman" w:cs="Times New Roman"/>
          <w:sz w:val="18"/>
          <w:szCs w:val="18"/>
        </w:rPr>
        <w:t>9.38</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股调整为</w:t>
      </w:r>
      <w:r w:rsidRPr="005B5EC1">
        <w:rPr>
          <w:rFonts w:ascii="Times New Roman" w:hAnsi="Times New Roman" w:cs="Times New Roman"/>
          <w:sz w:val="18"/>
          <w:szCs w:val="18"/>
        </w:rPr>
        <w:t>9.29</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股。调整后的转股价格自</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12</w:t>
      </w:r>
      <w:r w:rsidRPr="005B5EC1">
        <w:rPr>
          <w:rFonts w:ascii="Times New Roman" w:hAnsi="Times New Roman" w:cs="Times New Roman"/>
          <w:sz w:val="18"/>
          <w:szCs w:val="18"/>
        </w:rPr>
        <w:t>日起生效。</w:t>
      </w:r>
    </w:p>
    <w:p w14:paraId="3EBB7F26" w14:textId="77777777" w:rsidR="00AF139E" w:rsidRPr="005B5EC1" w:rsidRDefault="00000000" w:rsidP="005C09BC">
      <w:pPr>
        <w:pStyle w:val="a3"/>
        <w:spacing w:before="0" w:beforeAutospacing="0" w:after="0" w:afterAutospacing="0" w:line="276" w:lineRule="auto"/>
        <w:ind w:firstLineChars="200" w:firstLine="360"/>
        <w:jc w:val="both"/>
        <w:divId w:val="928006951"/>
        <w:rPr>
          <w:rFonts w:ascii="Times New Roman" w:hAnsi="Times New Roman" w:cs="Times New Roman"/>
          <w:sz w:val="21"/>
          <w:szCs w:val="21"/>
        </w:rPr>
      </w:pP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3</w:t>
      </w:r>
      <w:r w:rsidRPr="005B5EC1">
        <w:rPr>
          <w:rFonts w:ascii="Times New Roman" w:hAnsi="Times New Roman" w:cs="Times New Roman"/>
          <w:sz w:val="18"/>
          <w:szCs w:val="18"/>
        </w:rPr>
        <w:t>月</w:t>
      </w:r>
      <w:r w:rsidRPr="005B5EC1">
        <w:rPr>
          <w:rFonts w:ascii="Times New Roman" w:hAnsi="Times New Roman" w:cs="Times New Roman"/>
          <w:sz w:val="18"/>
          <w:szCs w:val="18"/>
        </w:rPr>
        <w:t>31</w:t>
      </w:r>
      <w:r w:rsidRPr="005B5EC1">
        <w:rPr>
          <w:rFonts w:ascii="Times New Roman" w:hAnsi="Times New Roman" w:cs="Times New Roman"/>
          <w:sz w:val="18"/>
          <w:szCs w:val="18"/>
        </w:rPr>
        <w:t>日，因公司</w:t>
      </w:r>
      <w:r w:rsidRPr="005B5EC1">
        <w:rPr>
          <w:rFonts w:ascii="Times New Roman" w:hAnsi="Times New Roman" w:cs="Times New Roman"/>
          <w:sz w:val="18"/>
          <w:szCs w:val="18"/>
        </w:rPr>
        <w:t>2019</w:t>
      </w:r>
      <w:r w:rsidRPr="005B5EC1">
        <w:rPr>
          <w:rFonts w:ascii="Times New Roman" w:hAnsi="Times New Roman" w:cs="Times New Roman"/>
          <w:sz w:val="18"/>
          <w:szCs w:val="18"/>
        </w:rPr>
        <w:t>年股票期权与限制性股票激励计划第一个、第二个行权期行权及公司限制性股票回购注销，公司对可转换债券当期转股价格进行调整，修正后的转股价格为</w:t>
      </w:r>
      <w:r w:rsidRPr="005B5EC1">
        <w:rPr>
          <w:rFonts w:ascii="Times New Roman" w:hAnsi="Times New Roman" w:cs="Times New Roman"/>
          <w:sz w:val="18"/>
          <w:szCs w:val="18"/>
        </w:rPr>
        <w:t>9.28</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w:t>
      </w:r>
    </w:p>
    <w:p w14:paraId="3A099C49" w14:textId="77777777" w:rsidR="00AF139E" w:rsidRPr="005B5EC1" w:rsidRDefault="00000000" w:rsidP="005C09BC">
      <w:pPr>
        <w:pStyle w:val="a3"/>
        <w:spacing w:before="0" w:beforeAutospacing="0" w:after="0" w:afterAutospacing="0" w:line="276" w:lineRule="auto"/>
        <w:ind w:firstLineChars="200" w:firstLine="360"/>
        <w:jc w:val="both"/>
        <w:divId w:val="928006951"/>
        <w:rPr>
          <w:rFonts w:ascii="Times New Roman" w:hAnsi="Times New Roman" w:cs="Times New Roman"/>
          <w:sz w:val="21"/>
          <w:szCs w:val="21"/>
        </w:rPr>
      </w:pPr>
      <w:r w:rsidRPr="005B5EC1">
        <w:rPr>
          <w:rFonts w:ascii="Times New Roman" w:hAnsi="Times New Roman" w:cs="Times New Roman"/>
          <w:sz w:val="18"/>
          <w:szCs w:val="18"/>
        </w:rPr>
        <w:t>2022</w:t>
      </w:r>
      <w:r w:rsidRPr="005B5EC1">
        <w:rPr>
          <w:rFonts w:ascii="Times New Roman" w:hAnsi="Times New Roman" w:cs="Times New Roman"/>
          <w:sz w:val="18"/>
          <w:szCs w:val="18"/>
        </w:rPr>
        <w:t>年</w:t>
      </w:r>
      <w:r w:rsidRPr="005B5EC1">
        <w:rPr>
          <w:rFonts w:ascii="Times New Roman" w:hAnsi="Times New Roman" w:cs="Times New Roman"/>
          <w:sz w:val="18"/>
          <w:szCs w:val="18"/>
        </w:rPr>
        <w:t>8</w:t>
      </w:r>
      <w:r w:rsidRPr="005B5EC1">
        <w:rPr>
          <w:rFonts w:ascii="Times New Roman" w:hAnsi="Times New Roman" w:cs="Times New Roman"/>
          <w:sz w:val="18"/>
          <w:szCs w:val="18"/>
        </w:rPr>
        <w:t>月</w:t>
      </w:r>
      <w:r w:rsidRPr="005B5EC1">
        <w:rPr>
          <w:rFonts w:ascii="Times New Roman" w:hAnsi="Times New Roman" w:cs="Times New Roman"/>
          <w:sz w:val="18"/>
          <w:szCs w:val="18"/>
        </w:rPr>
        <w:t>19</w:t>
      </w:r>
      <w:r w:rsidRPr="005B5EC1">
        <w:rPr>
          <w:rFonts w:ascii="Times New Roman" w:hAnsi="Times New Roman" w:cs="Times New Roman"/>
          <w:sz w:val="18"/>
          <w:szCs w:val="18"/>
        </w:rPr>
        <w:t>日，因公司</w:t>
      </w:r>
      <w:r w:rsidRPr="005B5EC1">
        <w:rPr>
          <w:rFonts w:ascii="Times New Roman" w:hAnsi="Times New Roman" w:cs="Times New Roman"/>
          <w:sz w:val="18"/>
          <w:szCs w:val="18"/>
        </w:rPr>
        <w:t>2019</w:t>
      </w:r>
      <w:r w:rsidRPr="005B5EC1">
        <w:rPr>
          <w:rFonts w:ascii="Times New Roman" w:hAnsi="Times New Roman" w:cs="Times New Roman"/>
          <w:sz w:val="18"/>
          <w:szCs w:val="18"/>
        </w:rPr>
        <w:t>年股票期权与限制性股票激励计划第二个行权期行权及公司限制性股票回购注销，公司对可转换债券当期转股价格进行调整，修正后的转股价格为</w:t>
      </w:r>
      <w:r w:rsidRPr="005B5EC1">
        <w:rPr>
          <w:rFonts w:ascii="Times New Roman" w:hAnsi="Times New Roman" w:cs="Times New Roman"/>
          <w:sz w:val="18"/>
          <w:szCs w:val="18"/>
        </w:rPr>
        <w:t>9.30</w:t>
      </w:r>
      <w:r w:rsidRPr="005B5EC1">
        <w:rPr>
          <w:rFonts w:ascii="Times New Roman" w:hAnsi="Times New Roman" w:cs="Times New Roman"/>
          <w:sz w:val="18"/>
          <w:szCs w:val="18"/>
        </w:rPr>
        <w:t>元</w:t>
      </w:r>
      <w:r w:rsidRPr="005B5EC1">
        <w:rPr>
          <w:rFonts w:ascii="Times New Roman" w:hAnsi="Times New Roman" w:cs="Times New Roman"/>
          <w:sz w:val="18"/>
          <w:szCs w:val="18"/>
        </w:rPr>
        <w:t>/</w:t>
      </w:r>
      <w:r w:rsidRPr="005B5EC1">
        <w:rPr>
          <w:rFonts w:ascii="Times New Roman" w:hAnsi="Times New Roman" w:cs="Times New Roman"/>
          <w:sz w:val="18"/>
          <w:szCs w:val="18"/>
        </w:rPr>
        <w:t>股。</w:t>
      </w:r>
    </w:p>
    <w:p w14:paraId="1DBD814D" w14:textId="77777777" w:rsidR="00AF139E" w:rsidRPr="005B5EC1" w:rsidRDefault="00000000" w:rsidP="005C09BC">
      <w:pPr>
        <w:pStyle w:val="a3"/>
        <w:spacing w:before="0" w:beforeAutospacing="0" w:after="0" w:afterAutospacing="0" w:line="276" w:lineRule="auto"/>
        <w:ind w:firstLineChars="200" w:firstLine="360"/>
        <w:jc w:val="both"/>
        <w:divId w:val="928006951"/>
        <w:rPr>
          <w:rFonts w:ascii="Times New Roman" w:hAnsi="Times New Roman" w:cs="Times New Roman"/>
          <w:sz w:val="21"/>
          <w:szCs w:val="21"/>
        </w:rPr>
      </w:pPr>
      <w:r w:rsidRPr="005B5EC1">
        <w:rPr>
          <w:rFonts w:ascii="Times New Roman" w:hAnsi="Times New Roman" w:cs="Times New Roman"/>
          <w:sz w:val="18"/>
          <w:szCs w:val="18"/>
        </w:rPr>
        <w:t>本次可转债转股期自可转债发行结束之日满六个月后的第一个交易日起至可转债到期日止，即</w:t>
      </w:r>
      <w:r w:rsidRPr="005B5EC1">
        <w:rPr>
          <w:rFonts w:ascii="Times New Roman" w:hAnsi="Times New Roman" w:cs="Times New Roman"/>
          <w:sz w:val="18"/>
          <w:szCs w:val="18"/>
        </w:rPr>
        <w:t>2021</w:t>
      </w:r>
      <w:r w:rsidRPr="005B5EC1">
        <w:rPr>
          <w:rFonts w:ascii="Times New Roman" w:hAnsi="Times New Roman" w:cs="Times New Roman"/>
          <w:sz w:val="18"/>
          <w:szCs w:val="18"/>
        </w:rPr>
        <w:t>年</w:t>
      </w:r>
      <w:r w:rsidRPr="005B5EC1">
        <w:rPr>
          <w:rFonts w:ascii="Times New Roman" w:hAnsi="Times New Roman" w:cs="Times New Roman"/>
          <w:sz w:val="18"/>
          <w:szCs w:val="18"/>
        </w:rPr>
        <w:t>1</w:t>
      </w:r>
      <w:r w:rsidRPr="005B5EC1">
        <w:rPr>
          <w:rFonts w:ascii="Times New Roman" w:hAnsi="Times New Roman" w:cs="Times New Roman"/>
          <w:sz w:val="18"/>
          <w:szCs w:val="18"/>
        </w:rPr>
        <w:t>月</w:t>
      </w:r>
      <w:r w:rsidRPr="005B5EC1">
        <w:rPr>
          <w:rFonts w:ascii="Times New Roman" w:hAnsi="Times New Roman" w:cs="Times New Roman"/>
          <w:sz w:val="18"/>
          <w:szCs w:val="18"/>
        </w:rPr>
        <w:t>13</w:t>
      </w:r>
      <w:r w:rsidRPr="005B5EC1">
        <w:rPr>
          <w:rFonts w:ascii="Times New Roman" w:hAnsi="Times New Roman" w:cs="Times New Roman"/>
          <w:sz w:val="18"/>
          <w:szCs w:val="18"/>
        </w:rPr>
        <w:t>日至</w:t>
      </w:r>
      <w:r w:rsidRPr="005B5EC1">
        <w:rPr>
          <w:rFonts w:ascii="Times New Roman" w:hAnsi="Times New Roman" w:cs="Times New Roman"/>
          <w:sz w:val="18"/>
          <w:szCs w:val="18"/>
        </w:rPr>
        <w:t>2026</w:t>
      </w:r>
      <w:r w:rsidRPr="005B5EC1">
        <w:rPr>
          <w:rFonts w:ascii="Times New Roman" w:hAnsi="Times New Roman" w:cs="Times New Roman"/>
          <w:sz w:val="18"/>
          <w:szCs w:val="18"/>
        </w:rPr>
        <w:t>年</w:t>
      </w:r>
      <w:r w:rsidRPr="005B5EC1">
        <w:rPr>
          <w:rFonts w:ascii="Times New Roman" w:hAnsi="Times New Roman" w:cs="Times New Roman"/>
          <w:sz w:val="18"/>
          <w:szCs w:val="18"/>
        </w:rPr>
        <w:t>7</w:t>
      </w:r>
      <w:r w:rsidRPr="005B5EC1">
        <w:rPr>
          <w:rFonts w:ascii="Times New Roman" w:hAnsi="Times New Roman" w:cs="Times New Roman"/>
          <w:sz w:val="18"/>
          <w:szCs w:val="18"/>
        </w:rPr>
        <w:t>月</w:t>
      </w:r>
      <w:r w:rsidRPr="005B5EC1">
        <w:rPr>
          <w:rFonts w:ascii="Times New Roman" w:hAnsi="Times New Roman" w:cs="Times New Roman"/>
          <w:sz w:val="18"/>
          <w:szCs w:val="18"/>
        </w:rPr>
        <w:t>12</w:t>
      </w:r>
      <w:r w:rsidRPr="005B5EC1">
        <w:rPr>
          <w:rFonts w:ascii="Times New Roman" w:hAnsi="Times New Roman" w:cs="Times New Roman"/>
          <w:sz w:val="18"/>
          <w:szCs w:val="18"/>
        </w:rPr>
        <w:t>日。</w:t>
      </w:r>
    </w:p>
    <w:p w14:paraId="0A162637"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61" w:name="_Toc989287"/>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划分为金融负债的其他金融工具说明</w:t>
      </w:r>
      <w:bookmarkEnd w:id="361"/>
    </w:p>
    <w:p w14:paraId="7472300C" w14:textId="77777777" w:rsidR="00AF139E" w:rsidRPr="005B5EC1" w:rsidRDefault="00000000">
      <w:pPr>
        <w:pStyle w:val="a3"/>
        <w:divId w:val="395930816"/>
        <w:rPr>
          <w:rFonts w:ascii="Times New Roman" w:hAnsi="Times New Roman" w:cs="Times New Roman"/>
          <w:sz w:val="18"/>
          <w:szCs w:val="18"/>
        </w:rPr>
      </w:pPr>
      <w:r w:rsidRPr="005B5EC1">
        <w:rPr>
          <w:rFonts w:ascii="Times New Roman" w:hAnsi="Times New Roman" w:cs="Times New Roman"/>
          <w:sz w:val="18"/>
          <w:szCs w:val="18"/>
        </w:rPr>
        <w:t>无</w:t>
      </w:r>
    </w:p>
    <w:p w14:paraId="5BAA288E" w14:textId="77777777" w:rsidR="00E32FE0" w:rsidRPr="005B5EC1" w:rsidRDefault="00000000">
      <w:pPr>
        <w:pStyle w:val="3"/>
        <w:spacing w:line="280" w:lineRule="exact"/>
        <w:jc w:val="left"/>
        <w:rPr>
          <w:rFonts w:ascii="Times New Roman" w:hAnsi="Times New Roman" w:cs="Times New Roman"/>
          <w:b/>
          <w:bCs/>
        </w:rPr>
      </w:pPr>
      <w:bookmarkStart w:id="362" w:name="_Toc989288"/>
      <w:r w:rsidRPr="005B5EC1">
        <w:rPr>
          <w:rFonts w:ascii="Times New Roman" w:hAnsi="Times New Roman" w:cs="Times New Roman"/>
          <w:b/>
          <w:bCs/>
        </w:rPr>
        <w:t>46</w:t>
      </w:r>
      <w:r w:rsidRPr="005B5EC1">
        <w:rPr>
          <w:rFonts w:ascii="Times New Roman" w:hAnsi="Times New Roman" w:cs="Times New Roman"/>
          <w:b/>
          <w:bCs/>
        </w:rPr>
        <w:t>、租赁负债</w:t>
      </w:r>
      <w:bookmarkEnd w:id="362"/>
    </w:p>
    <w:p w14:paraId="29E2B484"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75AADE2A"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933F920" w14:textId="77777777" w:rsidR="00E32FE0" w:rsidRPr="005B5EC1" w:rsidRDefault="00000000">
            <w:pPr>
              <w:spacing w:before="40" w:after="40" w:line="240" w:lineRule="exact"/>
              <w:jc w:val="center"/>
              <w:rPr>
                <w:rFonts w:ascii="Times New Roman" w:eastAsia="宋体" w:hAnsi="Times New Roman" w:cs="Times New Roman"/>
                <w:kern w:val="0"/>
                <w:sz w:val="18"/>
                <w:szCs w:val="18"/>
                <w14:ligatures w14:val="none"/>
              </w:rPr>
            </w:pPr>
            <w:r w:rsidRPr="005B5EC1">
              <w:rPr>
                <w:rFonts w:ascii="Times New Roman" w:eastAsia="宋体" w:hAnsi="Times New Roman" w:cs="Times New Roman"/>
                <w:kern w:val="0"/>
                <w:sz w:val="18"/>
                <w:szCs w:val="18"/>
                <w14:ligatures w14:val="none"/>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E94446" w14:textId="77777777" w:rsidR="00E32FE0" w:rsidRPr="005B5EC1" w:rsidRDefault="00000000">
            <w:pPr>
              <w:spacing w:before="40" w:after="40" w:line="240" w:lineRule="exact"/>
              <w:jc w:val="center"/>
              <w:rPr>
                <w:rFonts w:ascii="Times New Roman" w:eastAsia="宋体" w:hAnsi="Times New Roman" w:cs="Times New Roman"/>
                <w:kern w:val="0"/>
                <w:sz w:val="18"/>
                <w:szCs w:val="18"/>
                <w14:ligatures w14:val="none"/>
              </w:rPr>
            </w:pPr>
            <w:r w:rsidRPr="005B5EC1">
              <w:rPr>
                <w:rFonts w:ascii="Times New Roman" w:eastAsia="宋体" w:hAnsi="Times New Roman" w:cs="Times New Roman"/>
                <w:kern w:val="0"/>
                <w:sz w:val="18"/>
                <w:szCs w:val="18"/>
                <w14:ligatures w14:val="none"/>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4ED10D0" w14:textId="77777777" w:rsidR="00E32FE0" w:rsidRPr="005B5EC1" w:rsidRDefault="00000000">
            <w:pPr>
              <w:spacing w:before="40" w:after="40" w:line="240" w:lineRule="exact"/>
              <w:jc w:val="center"/>
              <w:rPr>
                <w:rFonts w:ascii="Times New Roman" w:eastAsia="宋体" w:hAnsi="Times New Roman" w:cs="Times New Roman"/>
                <w:kern w:val="0"/>
                <w:sz w:val="18"/>
                <w:szCs w:val="18"/>
                <w14:ligatures w14:val="none"/>
              </w:rPr>
            </w:pPr>
            <w:r w:rsidRPr="005B5EC1">
              <w:rPr>
                <w:rFonts w:ascii="Times New Roman" w:eastAsia="宋体" w:hAnsi="Times New Roman" w:cs="Times New Roman"/>
                <w:kern w:val="0"/>
                <w:sz w:val="18"/>
                <w:szCs w:val="18"/>
                <w14:ligatures w14:val="none"/>
              </w:rPr>
              <w:t>期初余额</w:t>
            </w:r>
          </w:p>
        </w:tc>
      </w:tr>
      <w:tr w:rsidR="00E32FE0" w:rsidRPr="005B5EC1" w14:paraId="6AD1D100"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719F2F6" w14:textId="77777777" w:rsidR="00E32FE0" w:rsidRPr="005B5EC1" w:rsidRDefault="00000000">
            <w:pPr>
              <w:spacing w:after="0" w:line="240" w:lineRule="exact"/>
              <w:rPr>
                <w:rFonts w:ascii="Times New Roman" w:eastAsia="宋体" w:hAnsi="Times New Roman" w:cs="Times New Roman"/>
                <w:kern w:val="0"/>
                <w:sz w:val="18"/>
                <w:szCs w:val="18"/>
                <w14:ligatures w14:val="none"/>
              </w:rPr>
            </w:pPr>
            <w:r w:rsidRPr="005B5EC1">
              <w:rPr>
                <w:rFonts w:ascii="Times New Roman" w:eastAsia="宋体" w:hAnsi="Times New Roman" w:cs="Times New Roman"/>
                <w:kern w:val="0"/>
                <w:sz w:val="18"/>
                <w:szCs w:val="18"/>
                <w14:ligatures w14:val="none"/>
              </w:rPr>
              <w:t>房屋及建筑物</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98A8B0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10,929,491.14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30466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17,095,489.75</w:t>
            </w:r>
          </w:p>
        </w:tc>
      </w:tr>
      <w:tr w:rsidR="00E32FE0" w:rsidRPr="005B5EC1" w14:paraId="43B12B39"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4BCD5C" w14:textId="77777777" w:rsidR="00E32FE0" w:rsidRPr="005B5EC1" w:rsidRDefault="00000000">
            <w:pPr>
              <w:spacing w:after="0" w:line="240" w:lineRule="exact"/>
              <w:rPr>
                <w:rFonts w:ascii="Times New Roman" w:eastAsia="宋体" w:hAnsi="Times New Roman" w:cs="Times New Roman"/>
                <w:kern w:val="0"/>
                <w:sz w:val="18"/>
                <w:szCs w:val="18"/>
                <w14:ligatures w14:val="none"/>
              </w:rPr>
            </w:pPr>
            <w:r w:rsidRPr="005B5EC1">
              <w:rPr>
                <w:rFonts w:ascii="Times New Roman" w:eastAsia="宋体" w:hAnsi="Times New Roman" w:cs="Times New Roman"/>
                <w:kern w:val="0"/>
                <w:sz w:val="18"/>
                <w:szCs w:val="18"/>
                <w14:ligatures w14:val="none"/>
              </w:rPr>
              <w:t>土地</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120C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39,238,660.58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87D22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34,374,172.92</w:t>
            </w:r>
          </w:p>
        </w:tc>
      </w:tr>
      <w:tr w:rsidR="00E32FE0" w:rsidRPr="005B5EC1" w14:paraId="3B83FA88"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D3F6BB" w14:textId="77777777" w:rsidR="00E32FE0" w:rsidRPr="005B5EC1" w:rsidRDefault="00000000">
            <w:pPr>
              <w:spacing w:after="0" w:line="240" w:lineRule="exact"/>
              <w:rPr>
                <w:rFonts w:ascii="Times New Roman" w:eastAsia="宋体" w:hAnsi="Times New Roman" w:cs="Times New Roman"/>
                <w:kern w:val="0"/>
                <w:sz w:val="18"/>
                <w:szCs w:val="18"/>
                <w14:ligatures w14:val="none"/>
              </w:rPr>
            </w:pPr>
            <w:r w:rsidRPr="005B5EC1">
              <w:rPr>
                <w:rFonts w:ascii="Times New Roman" w:eastAsia="宋体" w:hAnsi="Times New Roman" w:cs="Times New Roman"/>
                <w:kern w:val="0"/>
                <w:sz w:val="18"/>
                <w:szCs w:val="18"/>
                <w14:ligatures w14:val="none"/>
              </w:rPr>
              <w:t>减：一年内到期的租赁负债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4AD59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-2,053,770.99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954F6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-6,273,586.22</w:t>
            </w:r>
          </w:p>
        </w:tc>
      </w:tr>
      <w:tr w:rsidR="00E32FE0" w:rsidRPr="005B5EC1" w14:paraId="055A6CF3"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12F15C9" w14:textId="77777777" w:rsidR="00E32FE0" w:rsidRPr="005B5EC1" w:rsidRDefault="00000000">
            <w:pPr>
              <w:spacing w:before="40" w:after="40" w:line="240" w:lineRule="exact"/>
              <w:rPr>
                <w:rFonts w:ascii="Times New Roman" w:eastAsia="宋体" w:hAnsi="Times New Roman" w:cs="Times New Roman"/>
                <w:kern w:val="0"/>
                <w:sz w:val="18"/>
                <w:szCs w:val="18"/>
                <w14:ligatures w14:val="none"/>
              </w:rPr>
            </w:pPr>
            <w:r w:rsidRPr="005B5EC1">
              <w:rPr>
                <w:rFonts w:ascii="Times New Roman" w:eastAsia="宋体" w:hAnsi="Times New Roman" w:cs="Times New Roman"/>
                <w:kern w:val="0"/>
                <w:sz w:val="18"/>
                <w:szCs w:val="18"/>
                <w14:ligatures w14:val="none"/>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63ACD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48,114,380.73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8E99D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45,196,076.45</w:t>
            </w:r>
          </w:p>
        </w:tc>
      </w:tr>
    </w:tbl>
    <w:p w14:paraId="7912603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510147AA" w14:textId="77777777" w:rsidR="00AF139E" w:rsidRPr="00446468" w:rsidRDefault="00000000">
      <w:pPr>
        <w:pStyle w:val="a3"/>
        <w:spacing w:before="0" w:beforeAutospacing="0" w:after="0" w:afterAutospacing="0"/>
        <w:jc w:val="both"/>
        <w:divId w:val="791558341"/>
        <w:rPr>
          <w:rFonts w:ascii="Times New Roman" w:hAnsi="Times New Roman" w:cs="Times New Roman"/>
          <w:sz w:val="18"/>
          <w:szCs w:val="18"/>
        </w:rPr>
      </w:pPr>
      <w:r w:rsidRPr="00446468">
        <w:rPr>
          <w:rFonts w:ascii="Times New Roman" w:hAnsi="Times New Roman" w:cs="Times New Roman"/>
          <w:sz w:val="18"/>
          <w:szCs w:val="18"/>
        </w:rPr>
        <w:t>本集团对租赁负债的流动性风险管理措施，以及年末租赁负债的到期期限分析参见本附注十二、（一）、</w:t>
      </w:r>
      <w:r w:rsidRPr="00446468">
        <w:rPr>
          <w:rFonts w:ascii="Times New Roman" w:hAnsi="Times New Roman" w:cs="Times New Roman"/>
          <w:sz w:val="18"/>
          <w:szCs w:val="18"/>
        </w:rPr>
        <w:t>3“</w:t>
      </w:r>
      <w:r w:rsidRPr="00446468">
        <w:rPr>
          <w:rFonts w:ascii="Times New Roman" w:hAnsi="Times New Roman" w:cs="Times New Roman"/>
          <w:sz w:val="18"/>
          <w:szCs w:val="18"/>
        </w:rPr>
        <w:t>流动性风险</w:t>
      </w:r>
      <w:r w:rsidRPr="00446468">
        <w:rPr>
          <w:rFonts w:ascii="Times New Roman" w:hAnsi="Times New Roman" w:cs="Times New Roman"/>
          <w:sz w:val="18"/>
          <w:szCs w:val="18"/>
        </w:rPr>
        <w:t>”</w:t>
      </w:r>
      <w:r w:rsidRPr="00446468">
        <w:rPr>
          <w:rFonts w:ascii="Times New Roman" w:hAnsi="Times New Roman" w:cs="Times New Roman"/>
          <w:sz w:val="18"/>
          <w:szCs w:val="18"/>
        </w:rPr>
        <w:t>。</w:t>
      </w:r>
    </w:p>
    <w:p w14:paraId="39271502" w14:textId="77777777" w:rsidR="00E32FE0" w:rsidRPr="005B5EC1" w:rsidRDefault="00000000">
      <w:pPr>
        <w:pStyle w:val="3"/>
        <w:spacing w:line="280" w:lineRule="exact"/>
        <w:jc w:val="left"/>
        <w:rPr>
          <w:rFonts w:ascii="Times New Roman" w:hAnsi="Times New Roman" w:cs="Times New Roman"/>
          <w:b/>
          <w:bCs/>
        </w:rPr>
      </w:pPr>
      <w:bookmarkStart w:id="363" w:name="_Toc989289"/>
      <w:r w:rsidRPr="005B5EC1">
        <w:rPr>
          <w:rFonts w:ascii="Times New Roman" w:hAnsi="Times New Roman" w:cs="Times New Roman"/>
          <w:b/>
          <w:bCs/>
        </w:rPr>
        <w:lastRenderedPageBreak/>
        <w:t>47</w:t>
      </w:r>
      <w:r w:rsidRPr="005B5EC1">
        <w:rPr>
          <w:rFonts w:ascii="Times New Roman" w:hAnsi="Times New Roman" w:cs="Times New Roman"/>
          <w:b/>
          <w:bCs/>
        </w:rPr>
        <w:t>、长期应付款</w:t>
      </w:r>
      <w:bookmarkEnd w:id="363"/>
    </w:p>
    <w:p w14:paraId="2B5DB5CF"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72E8309F"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1495F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1CB42A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C8296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25164A6C"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09E416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24070D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26,518,125.50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D37146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5,370,867.01</w:t>
            </w:r>
          </w:p>
        </w:tc>
      </w:tr>
      <w:tr w:rsidR="00E32FE0" w:rsidRPr="005B5EC1" w14:paraId="5B64C26F"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331E20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BB839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26,518,125.50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78190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5,370,867.01</w:t>
            </w:r>
          </w:p>
        </w:tc>
      </w:tr>
    </w:tbl>
    <w:p w14:paraId="4384129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64" w:name="_Toc989290"/>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按款项性质列示长期应付款</w:t>
      </w:r>
      <w:bookmarkEnd w:id="364"/>
    </w:p>
    <w:p w14:paraId="3CC8E9EA"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713ED681"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C29A6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AA974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7A05D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0E82071D"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2B8052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应付融资款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8A99CF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51,643,825.93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DF802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38,031,633.12</w:t>
            </w:r>
          </w:p>
        </w:tc>
      </w:tr>
      <w:tr w:rsidR="00E32FE0" w:rsidRPr="005B5EC1" w14:paraId="641D1941"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578C2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减：一年内到期部分</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2A852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25,125,700.43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E725B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32,660,766.11</w:t>
            </w:r>
          </w:p>
        </w:tc>
      </w:tr>
      <w:tr w:rsidR="00E32FE0" w:rsidRPr="005B5EC1" w14:paraId="12588BCE" w14:textId="77777777" w:rsidTr="005C09B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5ED0A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F7711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26,518,125.50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5E1612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5,370,867.01</w:t>
            </w:r>
          </w:p>
        </w:tc>
      </w:tr>
    </w:tbl>
    <w:p w14:paraId="69F81CA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6E6F0834" w14:textId="77777777" w:rsidR="00AF139E" w:rsidRPr="005B5EC1" w:rsidRDefault="00000000">
      <w:pPr>
        <w:pStyle w:val="a3"/>
        <w:divId w:val="26834888"/>
        <w:rPr>
          <w:rFonts w:ascii="Times New Roman" w:hAnsi="Times New Roman" w:cs="Times New Roman"/>
          <w:sz w:val="18"/>
          <w:szCs w:val="18"/>
        </w:rPr>
      </w:pPr>
      <w:r w:rsidRPr="005B5EC1">
        <w:rPr>
          <w:rFonts w:ascii="Times New Roman" w:hAnsi="Times New Roman" w:cs="Times New Roman"/>
          <w:sz w:val="18"/>
          <w:szCs w:val="18"/>
        </w:rPr>
        <w:t>无</w:t>
      </w:r>
    </w:p>
    <w:p w14:paraId="349AAA2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65" w:name="_Toc989291"/>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专项应付款</w:t>
      </w:r>
      <w:bookmarkEnd w:id="365"/>
    </w:p>
    <w:p w14:paraId="70A5D319" w14:textId="77777777" w:rsidR="00AF139E" w:rsidRPr="005B5EC1" w:rsidRDefault="00000000">
      <w:pPr>
        <w:pStyle w:val="a3"/>
        <w:divId w:val="968897742"/>
        <w:rPr>
          <w:rFonts w:ascii="Times New Roman" w:hAnsi="Times New Roman" w:cs="Times New Roman"/>
          <w:sz w:val="18"/>
          <w:szCs w:val="18"/>
        </w:rPr>
      </w:pPr>
      <w:r w:rsidRPr="005B5EC1">
        <w:rPr>
          <w:rFonts w:ascii="Times New Roman" w:hAnsi="Times New Roman" w:cs="Times New Roman"/>
          <w:sz w:val="18"/>
          <w:szCs w:val="18"/>
        </w:rPr>
        <w:t>无</w:t>
      </w:r>
    </w:p>
    <w:p w14:paraId="24A05474" w14:textId="77777777" w:rsidR="00E32FE0" w:rsidRPr="005B5EC1" w:rsidRDefault="00000000">
      <w:pPr>
        <w:pStyle w:val="3"/>
        <w:spacing w:line="280" w:lineRule="exact"/>
        <w:jc w:val="left"/>
        <w:rPr>
          <w:rFonts w:ascii="Times New Roman" w:hAnsi="Times New Roman" w:cs="Times New Roman"/>
          <w:b/>
          <w:bCs/>
        </w:rPr>
      </w:pPr>
      <w:bookmarkStart w:id="366" w:name="_Toc989292"/>
      <w:r w:rsidRPr="005B5EC1">
        <w:rPr>
          <w:rFonts w:ascii="Times New Roman" w:hAnsi="Times New Roman" w:cs="Times New Roman"/>
          <w:b/>
          <w:bCs/>
        </w:rPr>
        <w:t>48</w:t>
      </w:r>
      <w:r w:rsidRPr="005B5EC1">
        <w:rPr>
          <w:rFonts w:ascii="Times New Roman" w:hAnsi="Times New Roman" w:cs="Times New Roman"/>
          <w:b/>
          <w:bCs/>
        </w:rPr>
        <w:t>、长期应付职工薪酬</w:t>
      </w:r>
      <w:bookmarkEnd w:id="366"/>
    </w:p>
    <w:p w14:paraId="141BAC66" w14:textId="77777777" w:rsidR="00AF139E" w:rsidRPr="005B5EC1" w:rsidRDefault="00000000">
      <w:pPr>
        <w:pStyle w:val="a3"/>
        <w:divId w:val="1943488916"/>
        <w:rPr>
          <w:rFonts w:ascii="Times New Roman" w:hAnsi="Times New Roman" w:cs="Times New Roman"/>
          <w:sz w:val="18"/>
          <w:szCs w:val="18"/>
        </w:rPr>
      </w:pPr>
      <w:r w:rsidRPr="005B5EC1">
        <w:rPr>
          <w:rFonts w:ascii="Times New Roman" w:hAnsi="Times New Roman" w:cs="Times New Roman"/>
          <w:sz w:val="18"/>
          <w:szCs w:val="18"/>
        </w:rPr>
        <w:t>无</w:t>
      </w:r>
    </w:p>
    <w:p w14:paraId="04B18AE4" w14:textId="77777777" w:rsidR="00E32FE0" w:rsidRPr="005B5EC1" w:rsidRDefault="00000000">
      <w:pPr>
        <w:pStyle w:val="3"/>
        <w:spacing w:line="280" w:lineRule="exact"/>
        <w:jc w:val="left"/>
        <w:rPr>
          <w:rFonts w:ascii="Times New Roman" w:hAnsi="Times New Roman" w:cs="Times New Roman"/>
          <w:b/>
          <w:bCs/>
        </w:rPr>
      </w:pPr>
      <w:bookmarkStart w:id="367" w:name="_Toc989295"/>
      <w:r w:rsidRPr="005B5EC1">
        <w:rPr>
          <w:rFonts w:ascii="Times New Roman" w:hAnsi="Times New Roman" w:cs="Times New Roman"/>
          <w:b/>
          <w:bCs/>
        </w:rPr>
        <w:t>49</w:t>
      </w:r>
      <w:r w:rsidRPr="005B5EC1">
        <w:rPr>
          <w:rFonts w:ascii="Times New Roman" w:hAnsi="Times New Roman" w:cs="Times New Roman"/>
          <w:b/>
          <w:bCs/>
        </w:rPr>
        <w:t>、预计负债</w:t>
      </w:r>
      <w:bookmarkEnd w:id="367"/>
    </w:p>
    <w:p w14:paraId="4F8A3E6C" w14:textId="77777777" w:rsidR="00AF139E" w:rsidRPr="005B5EC1" w:rsidRDefault="00000000">
      <w:pPr>
        <w:pStyle w:val="a3"/>
        <w:divId w:val="112948901"/>
        <w:rPr>
          <w:rFonts w:ascii="Times New Roman" w:hAnsi="Times New Roman" w:cs="Times New Roman"/>
          <w:sz w:val="18"/>
          <w:szCs w:val="18"/>
        </w:rPr>
      </w:pPr>
      <w:r w:rsidRPr="005B5EC1">
        <w:rPr>
          <w:rFonts w:ascii="Times New Roman" w:hAnsi="Times New Roman" w:cs="Times New Roman"/>
          <w:sz w:val="18"/>
          <w:szCs w:val="18"/>
        </w:rPr>
        <w:t>无</w:t>
      </w:r>
    </w:p>
    <w:p w14:paraId="05899F90" w14:textId="77777777" w:rsidR="00E32FE0" w:rsidRPr="005B5EC1" w:rsidRDefault="00000000">
      <w:pPr>
        <w:pStyle w:val="3"/>
        <w:spacing w:line="280" w:lineRule="exact"/>
        <w:jc w:val="left"/>
        <w:rPr>
          <w:rFonts w:ascii="Times New Roman" w:hAnsi="Times New Roman" w:cs="Times New Roman"/>
          <w:b/>
          <w:bCs/>
        </w:rPr>
      </w:pPr>
      <w:bookmarkStart w:id="368" w:name="_Toc989296"/>
      <w:r w:rsidRPr="005B5EC1">
        <w:rPr>
          <w:rFonts w:ascii="Times New Roman" w:hAnsi="Times New Roman" w:cs="Times New Roman"/>
          <w:b/>
          <w:bCs/>
        </w:rPr>
        <w:t>50</w:t>
      </w:r>
      <w:r w:rsidRPr="005B5EC1">
        <w:rPr>
          <w:rFonts w:ascii="Times New Roman" w:hAnsi="Times New Roman" w:cs="Times New Roman"/>
          <w:b/>
          <w:bCs/>
        </w:rPr>
        <w:t>、递延收益</w:t>
      </w:r>
      <w:bookmarkEnd w:id="368"/>
    </w:p>
    <w:p w14:paraId="0BBB0120"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74B642E5" w14:textId="77777777" w:rsidTr="005C09BC">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026E9B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FE1CB9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44BD76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C92DD0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935931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75862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形成原因</w:t>
            </w:r>
          </w:p>
        </w:tc>
      </w:tr>
      <w:tr w:rsidR="00E32FE0" w:rsidRPr="005B5EC1" w14:paraId="14D265C9" w14:textId="77777777" w:rsidTr="005C09BC">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F31318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政府补助</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D4680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39,612,043.24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4AE5B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11,799,729.03</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FFE5A8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3,957,511.61</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BE4A1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47,454,260.66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D01457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与资产相关</w:t>
            </w:r>
          </w:p>
        </w:tc>
      </w:tr>
      <w:tr w:rsidR="00E32FE0" w:rsidRPr="005B5EC1" w14:paraId="32B9686A" w14:textId="77777777" w:rsidTr="005C09BC">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697800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D1836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39,612,043.24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4F987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11,799,729.03</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3D49B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3,957,511.61</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E680F6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47,454,260.66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923EFF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bl>
    <w:p w14:paraId="0DE77F4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5E040B30" w14:textId="77777777" w:rsidR="00E32FE0" w:rsidRPr="005B5EC1" w:rsidRDefault="00000000">
      <w:pPr>
        <w:pStyle w:val="3"/>
        <w:spacing w:line="280" w:lineRule="exact"/>
        <w:jc w:val="left"/>
        <w:rPr>
          <w:rFonts w:ascii="Times New Roman" w:hAnsi="Times New Roman" w:cs="Times New Roman"/>
          <w:b/>
          <w:bCs/>
        </w:rPr>
      </w:pPr>
      <w:bookmarkStart w:id="369" w:name="_Toc989297"/>
      <w:r w:rsidRPr="005B5EC1">
        <w:rPr>
          <w:rFonts w:ascii="Times New Roman" w:hAnsi="Times New Roman" w:cs="Times New Roman"/>
          <w:b/>
          <w:bCs/>
        </w:rPr>
        <w:t>51</w:t>
      </w:r>
      <w:r w:rsidRPr="005B5EC1">
        <w:rPr>
          <w:rFonts w:ascii="Times New Roman" w:hAnsi="Times New Roman" w:cs="Times New Roman"/>
          <w:b/>
          <w:bCs/>
        </w:rPr>
        <w:t>、其他非流动负债</w:t>
      </w:r>
      <w:bookmarkEnd w:id="369"/>
    </w:p>
    <w:p w14:paraId="32881C49" w14:textId="77777777" w:rsidR="00AF139E" w:rsidRPr="005B5EC1" w:rsidRDefault="00000000">
      <w:pPr>
        <w:pStyle w:val="a3"/>
        <w:divId w:val="558368660"/>
        <w:rPr>
          <w:rFonts w:ascii="Times New Roman" w:hAnsi="Times New Roman" w:cs="Times New Roman"/>
          <w:sz w:val="18"/>
          <w:szCs w:val="18"/>
        </w:rPr>
      </w:pPr>
      <w:r w:rsidRPr="005B5EC1">
        <w:rPr>
          <w:rFonts w:ascii="Times New Roman" w:hAnsi="Times New Roman" w:cs="Times New Roman"/>
          <w:sz w:val="18"/>
          <w:szCs w:val="18"/>
        </w:rPr>
        <w:t>无</w:t>
      </w:r>
    </w:p>
    <w:p w14:paraId="2AB1F888" w14:textId="77777777" w:rsidR="00E32FE0" w:rsidRPr="005B5EC1" w:rsidRDefault="00000000">
      <w:pPr>
        <w:pStyle w:val="3"/>
        <w:spacing w:line="280" w:lineRule="exact"/>
        <w:jc w:val="left"/>
        <w:rPr>
          <w:rFonts w:ascii="Times New Roman" w:hAnsi="Times New Roman" w:cs="Times New Roman"/>
          <w:b/>
          <w:bCs/>
        </w:rPr>
      </w:pPr>
      <w:bookmarkStart w:id="370" w:name="_Toc989298"/>
      <w:r w:rsidRPr="005B5EC1">
        <w:rPr>
          <w:rFonts w:ascii="Times New Roman" w:hAnsi="Times New Roman" w:cs="Times New Roman"/>
          <w:b/>
          <w:bCs/>
        </w:rPr>
        <w:t>52</w:t>
      </w:r>
      <w:r w:rsidRPr="005B5EC1">
        <w:rPr>
          <w:rFonts w:ascii="Times New Roman" w:hAnsi="Times New Roman" w:cs="Times New Roman"/>
          <w:b/>
          <w:bCs/>
        </w:rPr>
        <w:t>、股本</w:t>
      </w:r>
      <w:bookmarkEnd w:id="370"/>
    </w:p>
    <w:p w14:paraId="0898555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E32FE0" w:rsidRPr="005B5EC1" w14:paraId="2E849BC9" w14:textId="7777777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0EE5F0" w14:textId="77777777" w:rsidR="00E32FE0" w:rsidRPr="005B5EC1" w:rsidRDefault="00E32FE0">
            <w:pPr>
              <w:rPr>
                <w:rFonts w:ascii="Times New Roman" w:hAnsi="Times New Roman" w:cs="Times New Roman"/>
              </w:rPr>
            </w:pP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198014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F75D98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本次变动增减（</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262C7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440A13C7" w14:textId="7777777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0593D98" w14:textId="77777777" w:rsidR="00E32FE0" w:rsidRPr="005B5EC1" w:rsidRDefault="00E32FE0">
            <w:pPr>
              <w:rPr>
                <w:rFonts w:ascii="Times New Roman" w:hAnsi="Times New Roman" w:cs="Times New Roman"/>
              </w:rPr>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9CC64F" w14:textId="77777777" w:rsidR="00E32FE0" w:rsidRPr="005B5EC1" w:rsidRDefault="00E32FE0">
            <w:pPr>
              <w:rPr>
                <w:rFonts w:ascii="Times New Roman" w:hAnsi="Times New Roman" w:cs="Times New Roman"/>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B70B99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E8C971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28E3BC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5973D7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361EF79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0C82FD" w14:textId="77777777" w:rsidR="00E32FE0" w:rsidRPr="005B5EC1" w:rsidRDefault="00E32FE0">
            <w:pPr>
              <w:rPr>
                <w:rFonts w:ascii="Times New Roman" w:hAnsi="Times New Roman" w:cs="Times New Roman"/>
              </w:rPr>
            </w:pPr>
          </w:p>
        </w:tc>
      </w:tr>
      <w:tr w:rsidR="00E32FE0" w:rsidRPr="005B5EC1" w14:paraId="7B560F31" w14:textId="7777777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51A59A6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14:paraId="592124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1,079,159,832.00</w:t>
            </w:r>
          </w:p>
        </w:tc>
        <w:tc>
          <w:tcPr>
            <w:tcW w:w="1205" w:type="dxa"/>
            <w:tcBorders>
              <w:top w:val="single" w:sz="2" w:space="0" w:color="auto"/>
              <w:left w:val="single" w:sz="2" w:space="0" w:color="auto"/>
              <w:bottom w:val="single" w:sz="2" w:space="0" w:color="auto"/>
              <w:right w:val="single" w:sz="2" w:space="0" w:color="auto"/>
            </w:tcBorders>
            <w:vAlign w:val="center"/>
          </w:tcPr>
          <w:p w14:paraId="67814B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429.00</w:t>
            </w:r>
          </w:p>
        </w:tc>
        <w:tc>
          <w:tcPr>
            <w:tcW w:w="1205" w:type="dxa"/>
            <w:tcBorders>
              <w:top w:val="single" w:sz="2" w:space="0" w:color="auto"/>
              <w:left w:val="single" w:sz="2" w:space="0" w:color="auto"/>
              <w:bottom w:val="single" w:sz="2" w:space="0" w:color="auto"/>
              <w:right w:val="single" w:sz="2" w:space="0" w:color="auto"/>
            </w:tcBorders>
            <w:vAlign w:val="center"/>
          </w:tcPr>
          <w:p w14:paraId="664C0EE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EE5B6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D8D7D6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810D58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429.00</w:t>
            </w:r>
          </w:p>
        </w:tc>
        <w:tc>
          <w:tcPr>
            <w:tcW w:w="1205" w:type="dxa"/>
            <w:tcBorders>
              <w:top w:val="single" w:sz="2" w:space="0" w:color="auto"/>
              <w:left w:val="single" w:sz="2" w:space="0" w:color="auto"/>
              <w:bottom w:val="single" w:sz="2" w:space="0" w:color="auto"/>
              <w:right w:val="single" w:sz="2" w:space="0" w:color="auto"/>
            </w:tcBorders>
            <w:vAlign w:val="center"/>
          </w:tcPr>
          <w:p w14:paraId="18DD42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1,079,160,261.00</w:t>
            </w:r>
          </w:p>
        </w:tc>
      </w:tr>
    </w:tbl>
    <w:p w14:paraId="2F91D66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08DAA375" w14:textId="77777777" w:rsidR="00AF139E" w:rsidRPr="005B5EC1" w:rsidRDefault="00000000" w:rsidP="005C09BC">
      <w:pPr>
        <w:pStyle w:val="a3"/>
        <w:spacing w:before="0" w:beforeAutospacing="0" w:after="0" w:afterAutospacing="0" w:line="276" w:lineRule="auto"/>
        <w:ind w:firstLineChars="200" w:firstLine="354"/>
        <w:textAlignment w:val="baseline"/>
        <w:divId w:val="394938720"/>
        <w:rPr>
          <w:rFonts w:ascii="Times New Roman" w:hAnsi="Times New Roman" w:cs="Times New Roman"/>
          <w:color w:val="000000"/>
          <w:sz w:val="21"/>
          <w:szCs w:val="21"/>
        </w:rPr>
      </w:pPr>
      <w:r w:rsidRPr="005B5EC1">
        <w:rPr>
          <w:rFonts w:ascii="Times New Roman" w:hAnsi="Times New Roman" w:cs="Times New Roman"/>
          <w:color w:val="000000"/>
          <w:spacing w:val="-3"/>
          <w:sz w:val="18"/>
          <w:szCs w:val="18"/>
        </w:rPr>
        <w:t>1</w:t>
      </w:r>
      <w:r w:rsidRPr="005B5EC1">
        <w:rPr>
          <w:rFonts w:ascii="Times New Roman" w:hAnsi="Times New Roman" w:cs="Times New Roman"/>
          <w:color w:val="000000"/>
          <w:spacing w:val="-3"/>
          <w:sz w:val="18"/>
          <w:szCs w:val="18"/>
        </w:rPr>
        <w:t>、</w:t>
      </w:r>
      <w:r w:rsidRPr="005B5EC1">
        <w:rPr>
          <w:rFonts w:ascii="Times New Roman" w:hAnsi="Times New Roman" w:cs="Times New Roman"/>
          <w:color w:val="000000"/>
          <w:spacing w:val="-1"/>
          <w:sz w:val="18"/>
          <w:szCs w:val="18"/>
        </w:rPr>
        <w:t>公司可转债发生债转股，增加股本</w:t>
      </w:r>
      <w:r w:rsidRPr="005B5EC1">
        <w:rPr>
          <w:rFonts w:ascii="Times New Roman" w:hAnsi="Times New Roman" w:cs="Times New Roman"/>
          <w:color w:val="000000"/>
          <w:spacing w:val="-1"/>
          <w:sz w:val="18"/>
          <w:szCs w:val="18"/>
        </w:rPr>
        <w:t>429.00</w:t>
      </w:r>
      <w:r w:rsidRPr="005B5EC1">
        <w:rPr>
          <w:rFonts w:ascii="Times New Roman" w:hAnsi="Times New Roman" w:cs="Times New Roman"/>
          <w:color w:val="000000"/>
          <w:spacing w:val="-2"/>
          <w:sz w:val="18"/>
          <w:szCs w:val="18"/>
        </w:rPr>
        <w:t> </w:t>
      </w:r>
      <w:r w:rsidRPr="005B5EC1">
        <w:rPr>
          <w:rFonts w:ascii="Times New Roman" w:hAnsi="Times New Roman" w:cs="Times New Roman"/>
          <w:color w:val="000000"/>
          <w:spacing w:val="-2"/>
          <w:sz w:val="18"/>
          <w:szCs w:val="18"/>
        </w:rPr>
        <w:t>元。</w:t>
      </w:r>
    </w:p>
    <w:p w14:paraId="46BD6CE9" w14:textId="77777777" w:rsidR="00E32FE0" w:rsidRPr="005B5EC1" w:rsidRDefault="00000000">
      <w:pPr>
        <w:pStyle w:val="3"/>
        <w:spacing w:line="280" w:lineRule="exact"/>
        <w:jc w:val="left"/>
        <w:rPr>
          <w:rFonts w:ascii="Times New Roman" w:hAnsi="Times New Roman" w:cs="Times New Roman"/>
          <w:b/>
          <w:bCs/>
        </w:rPr>
      </w:pPr>
      <w:bookmarkStart w:id="371" w:name="_Toc989299"/>
      <w:r w:rsidRPr="005B5EC1">
        <w:rPr>
          <w:rFonts w:ascii="Times New Roman" w:hAnsi="Times New Roman" w:cs="Times New Roman"/>
          <w:b/>
          <w:bCs/>
        </w:rPr>
        <w:t>53</w:t>
      </w:r>
      <w:r w:rsidRPr="005B5EC1">
        <w:rPr>
          <w:rFonts w:ascii="Times New Roman" w:hAnsi="Times New Roman" w:cs="Times New Roman"/>
          <w:b/>
          <w:bCs/>
        </w:rPr>
        <w:t>、其他权益工具</w:t>
      </w:r>
      <w:bookmarkEnd w:id="371"/>
    </w:p>
    <w:p w14:paraId="6C08035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72" w:name="_Toc989300"/>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期末发行在外的优先股、永续债等其他金融工具基本情况</w:t>
      </w:r>
      <w:bookmarkEnd w:id="372"/>
    </w:p>
    <w:p w14:paraId="0A74A1CF" w14:textId="77777777" w:rsidR="00AF139E" w:rsidRPr="005B5EC1" w:rsidRDefault="00000000" w:rsidP="005C09BC">
      <w:pPr>
        <w:pStyle w:val="a3"/>
        <w:spacing w:before="0" w:beforeAutospacing="0" w:after="0" w:afterAutospacing="0" w:line="276" w:lineRule="auto"/>
        <w:ind w:firstLineChars="200" w:firstLine="354"/>
        <w:textAlignment w:val="baseline"/>
        <w:divId w:val="1148211105"/>
        <w:rPr>
          <w:rFonts w:ascii="Times New Roman" w:hAnsi="Times New Roman" w:cs="Times New Roman"/>
          <w:color w:val="000000"/>
          <w:spacing w:val="-3"/>
          <w:sz w:val="18"/>
          <w:szCs w:val="18"/>
        </w:rPr>
      </w:pPr>
      <w:r w:rsidRPr="005B5EC1">
        <w:rPr>
          <w:rFonts w:ascii="Times New Roman" w:hAnsi="Times New Roman" w:cs="Times New Roman"/>
          <w:color w:val="000000"/>
          <w:spacing w:val="-3"/>
          <w:sz w:val="18"/>
          <w:szCs w:val="18"/>
        </w:rPr>
        <w:t>见附注五、</w:t>
      </w:r>
      <w:r w:rsidRPr="005B5EC1">
        <w:rPr>
          <w:rFonts w:ascii="Times New Roman" w:hAnsi="Times New Roman" w:cs="Times New Roman"/>
          <w:color w:val="000000"/>
          <w:spacing w:val="-3"/>
          <w:sz w:val="18"/>
          <w:szCs w:val="18"/>
        </w:rPr>
        <w:t> 36</w:t>
      </w:r>
      <w:r w:rsidRPr="005B5EC1">
        <w:rPr>
          <w:rFonts w:ascii="Times New Roman" w:hAnsi="Times New Roman" w:cs="Times New Roman"/>
          <w:color w:val="000000"/>
          <w:spacing w:val="-3"/>
          <w:sz w:val="18"/>
          <w:szCs w:val="18"/>
        </w:rPr>
        <w:t>。</w:t>
      </w:r>
    </w:p>
    <w:p w14:paraId="3770321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373" w:name="_Toc989301"/>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期末发行在外的优先股、永续债等金融工具变动情况表</w:t>
      </w:r>
      <w:bookmarkEnd w:id="373"/>
    </w:p>
    <w:p w14:paraId="663E05BA"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439"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294"/>
        <w:gridCol w:w="1277"/>
        <w:gridCol w:w="1666"/>
        <w:gridCol w:w="755"/>
        <w:gridCol w:w="1211"/>
        <w:gridCol w:w="807"/>
        <w:gridCol w:w="929"/>
        <w:gridCol w:w="1134"/>
        <w:gridCol w:w="1366"/>
      </w:tblGrid>
      <w:tr w:rsidR="00E32FE0" w:rsidRPr="005B5EC1" w14:paraId="7F448B5C" w14:textId="77777777" w:rsidTr="005B5EC1">
        <w:trPr>
          <w:trHeight w:val="251"/>
        </w:trPr>
        <w:tc>
          <w:tcPr>
            <w:tcW w:w="129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746E8FF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发行在外的金融工具</w:t>
            </w:r>
          </w:p>
        </w:tc>
        <w:tc>
          <w:tcPr>
            <w:tcW w:w="29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095663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w:t>
            </w:r>
          </w:p>
        </w:tc>
        <w:tc>
          <w:tcPr>
            <w:tcW w:w="196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E805A3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173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D1226A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25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C61CEB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w:t>
            </w:r>
          </w:p>
        </w:tc>
      </w:tr>
      <w:tr w:rsidR="005B5EC1" w:rsidRPr="005B5EC1" w14:paraId="53EB040C" w14:textId="77777777" w:rsidTr="005B5EC1">
        <w:trPr>
          <w:trHeight w:val="251"/>
        </w:trPr>
        <w:tc>
          <w:tcPr>
            <w:tcW w:w="1294"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3A347E1" w14:textId="77777777" w:rsidR="00E32FE0" w:rsidRPr="005B5EC1" w:rsidRDefault="00E32FE0">
            <w:pPr>
              <w:rPr>
                <w:rFonts w:ascii="Times New Roman" w:hAnsi="Times New Roman" w:cs="Times New Roman"/>
              </w:rPr>
            </w:pPr>
          </w:p>
        </w:tc>
        <w:tc>
          <w:tcPr>
            <w:tcW w:w="1277" w:type="dxa"/>
            <w:tcBorders>
              <w:top w:val="single" w:sz="2" w:space="0" w:color="auto"/>
              <w:left w:val="single" w:sz="2" w:space="0" w:color="auto"/>
              <w:bottom w:val="single" w:sz="2" w:space="0" w:color="auto"/>
              <w:right w:val="single" w:sz="2" w:space="0" w:color="auto"/>
            </w:tcBorders>
            <w:shd w:val="clear" w:color="auto" w:fill="auto"/>
            <w:vAlign w:val="center"/>
          </w:tcPr>
          <w:p w14:paraId="2A09352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数量</w:t>
            </w: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14:paraId="3E496F7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755" w:type="dxa"/>
            <w:tcBorders>
              <w:top w:val="single" w:sz="2" w:space="0" w:color="auto"/>
              <w:left w:val="single" w:sz="2" w:space="0" w:color="auto"/>
              <w:bottom w:val="single" w:sz="2" w:space="0" w:color="auto"/>
              <w:right w:val="single" w:sz="2" w:space="0" w:color="auto"/>
            </w:tcBorders>
            <w:shd w:val="clear" w:color="auto" w:fill="auto"/>
            <w:vAlign w:val="center"/>
          </w:tcPr>
          <w:p w14:paraId="2245EE9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数量</w:t>
            </w:r>
          </w:p>
        </w:tc>
        <w:tc>
          <w:tcPr>
            <w:tcW w:w="1211" w:type="dxa"/>
            <w:tcBorders>
              <w:top w:val="single" w:sz="2" w:space="0" w:color="auto"/>
              <w:left w:val="single" w:sz="2" w:space="0" w:color="auto"/>
              <w:bottom w:val="single" w:sz="2" w:space="0" w:color="auto"/>
              <w:right w:val="single" w:sz="2" w:space="0" w:color="auto"/>
            </w:tcBorders>
            <w:shd w:val="clear" w:color="auto" w:fill="auto"/>
            <w:vAlign w:val="center"/>
          </w:tcPr>
          <w:p w14:paraId="6FDEDFD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807" w:type="dxa"/>
            <w:tcBorders>
              <w:top w:val="single" w:sz="2" w:space="0" w:color="auto"/>
              <w:left w:val="single" w:sz="2" w:space="0" w:color="auto"/>
              <w:bottom w:val="single" w:sz="2" w:space="0" w:color="auto"/>
              <w:right w:val="single" w:sz="2" w:space="0" w:color="auto"/>
            </w:tcBorders>
            <w:shd w:val="clear" w:color="auto" w:fill="auto"/>
            <w:vAlign w:val="center"/>
          </w:tcPr>
          <w:p w14:paraId="543DEB6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数量</w:t>
            </w:r>
          </w:p>
        </w:tc>
        <w:tc>
          <w:tcPr>
            <w:tcW w:w="929" w:type="dxa"/>
            <w:tcBorders>
              <w:top w:val="single" w:sz="2" w:space="0" w:color="auto"/>
              <w:left w:val="single" w:sz="2" w:space="0" w:color="auto"/>
              <w:bottom w:val="single" w:sz="2" w:space="0" w:color="auto"/>
              <w:right w:val="single" w:sz="2" w:space="0" w:color="auto"/>
            </w:tcBorders>
            <w:shd w:val="clear" w:color="auto" w:fill="auto"/>
            <w:vAlign w:val="center"/>
          </w:tcPr>
          <w:p w14:paraId="667DE14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639615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数量</w:t>
            </w:r>
          </w:p>
        </w:tc>
        <w:tc>
          <w:tcPr>
            <w:tcW w:w="1366" w:type="dxa"/>
            <w:tcBorders>
              <w:top w:val="single" w:sz="2" w:space="0" w:color="auto"/>
              <w:left w:val="single" w:sz="2" w:space="0" w:color="auto"/>
              <w:bottom w:val="single" w:sz="2" w:space="0" w:color="auto"/>
              <w:right w:val="single" w:sz="2" w:space="0" w:color="auto"/>
            </w:tcBorders>
            <w:shd w:val="clear" w:color="auto" w:fill="auto"/>
            <w:vAlign w:val="center"/>
          </w:tcPr>
          <w:p w14:paraId="62578DE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r>
      <w:tr w:rsidR="00E32FE0" w:rsidRPr="005B5EC1" w14:paraId="38BB7071" w14:textId="77777777" w:rsidTr="005B5EC1">
        <w:trPr>
          <w:trHeight w:val="251"/>
        </w:trPr>
        <w:tc>
          <w:tcPr>
            <w:tcW w:w="1294" w:type="dxa"/>
            <w:tcBorders>
              <w:top w:val="single" w:sz="2" w:space="0" w:color="auto"/>
              <w:left w:val="single" w:sz="2" w:space="0" w:color="auto"/>
              <w:bottom w:val="single" w:sz="2" w:space="0" w:color="auto"/>
              <w:right w:val="single" w:sz="2" w:space="0" w:color="auto"/>
            </w:tcBorders>
            <w:shd w:val="clear" w:color="auto" w:fill="auto"/>
            <w:vAlign w:val="center"/>
          </w:tcPr>
          <w:p w14:paraId="7A071E3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可转换公司债券</w:t>
            </w:r>
          </w:p>
        </w:tc>
        <w:tc>
          <w:tcPr>
            <w:tcW w:w="1277" w:type="dxa"/>
            <w:tcBorders>
              <w:top w:val="single" w:sz="2" w:space="0" w:color="auto"/>
              <w:left w:val="single" w:sz="2" w:space="0" w:color="auto"/>
              <w:bottom w:val="single" w:sz="2" w:space="0" w:color="auto"/>
              <w:right w:val="single" w:sz="2" w:space="0" w:color="auto"/>
            </w:tcBorders>
            <w:shd w:val="clear" w:color="auto" w:fill="auto"/>
            <w:vAlign w:val="center"/>
          </w:tcPr>
          <w:p w14:paraId="7E2021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9,460,567.00</w:t>
            </w: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14:paraId="31A71C0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c>
          <w:tcPr>
            <w:tcW w:w="755" w:type="dxa"/>
            <w:tcBorders>
              <w:top w:val="single" w:sz="2" w:space="0" w:color="auto"/>
              <w:left w:val="single" w:sz="2" w:space="0" w:color="auto"/>
              <w:bottom w:val="single" w:sz="2" w:space="0" w:color="auto"/>
              <w:right w:val="single" w:sz="2" w:space="0" w:color="auto"/>
            </w:tcBorders>
            <w:shd w:val="clear" w:color="auto" w:fill="auto"/>
            <w:vAlign w:val="center"/>
          </w:tcPr>
          <w:p w14:paraId="72EA819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11" w:type="dxa"/>
            <w:tcBorders>
              <w:top w:val="single" w:sz="2" w:space="0" w:color="auto"/>
              <w:left w:val="single" w:sz="2" w:space="0" w:color="auto"/>
              <w:bottom w:val="single" w:sz="2" w:space="0" w:color="auto"/>
              <w:right w:val="single" w:sz="2" w:space="0" w:color="auto"/>
            </w:tcBorders>
            <w:shd w:val="clear" w:color="auto" w:fill="auto"/>
            <w:vAlign w:val="center"/>
          </w:tcPr>
          <w:p w14:paraId="297B852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07" w:type="dxa"/>
            <w:tcBorders>
              <w:top w:val="single" w:sz="2" w:space="0" w:color="auto"/>
              <w:left w:val="single" w:sz="2" w:space="0" w:color="auto"/>
              <w:bottom w:val="single" w:sz="2" w:space="0" w:color="auto"/>
              <w:right w:val="single" w:sz="2" w:space="0" w:color="auto"/>
            </w:tcBorders>
            <w:shd w:val="clear" w:color="auto" w:fill="auto"/>
            <w:vAlign w:val="center"/>
          </w:tcPr>
          <w:p w14:paraId="02AF31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40.00</w:t>
            </w:r>
          </w:p>
        </w:tc>
        <w:tc>
          <w:tcPr>
            <w:tcW w:w="929" w:type="dxa"/>
            <w:tcBorders>
              <w:top w:val="single" w:sz="2" w:space="0" w:color="auto"/>
              <w:left w:val="single" w:sz="2" w:space="0" w:color="auto"/>
              <w:bottom w:val="single" w:sz="2" w:space="0" w:color="auto"/>
              <w:right w:val="single" w:sz="2" w:space="0" w:color="auto"/>
            </w:tcBorders>
            <w:shd w:val="clear" w:color="auto" w:fill="auto"/>
            <w:vAlign w:val="center"/>
          </w:tcPr>
          <w:p w14:paraId="15FF9F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725.41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A9735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9,460,527.00</w:t>
            </w:r>
          </w:p>
        </w:tc>
        <w:tc>
          <w:tcPr>
            <w:tcW w:w="1366" w:type="dxa"/>
            <w:tcBorders>
              <w:top w:val="single" w:sz="2" w:space="0" w:color="auto"/>
              <w:left w:val="single" w:sz="2" w:space="0" w:color="auto"/>
              <w:bottom w:val="single" w:sz="2" w:space="0" w:color="auto"/>
              <w:right w:val="single" w:sz="2" w:space="0" w:color="auto"/>
            </w:tcBorders>
            <w:shd w:val="clear" w:color="auto" w:fill="auto"/>
            <w:vAlign w:val="center"/>
          </w:tcPr>
          <w:p w14:paraId="65EFB9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171,570,156.57</w:t>
            </w:r>
          </w:p>
        </w:tc>
      </w:tr>
      <w:tr w:rsidR="00E32FE0" w:rsidRPr="005B5EC1" w14:paraId="46C4E2C2" w14:textId="77777777" w:rsidTr="005B5EC1">
        <w:trPr>
          <w:trHeight w:val="251"/>
        </w:trPr>
        <w:tc>
          <w:tcPr>
            <w:tcW w:w="1294" w:type="dxa"/>
            <w:tcBorders>
              <w:top w:val="single" w:sz="2" w:space="0" w:color="auto"/>
              <w:left w:val="single" w:sz="2" w:space="0" w:color="auto"/>
              <w:bottom w:val="single" w:sz="2" w:space="0" w:color="auto"/>
              <w:right w:val="single" w:sz="2" w:space="0" w:color="auto"/>
            </w:tcBorders>
            <w:shd w:val="clear" w:color="auto" w:fill="auto"/>
            <w:vAlign w:val="center"/>
          </w:tcPr>
          <w:p w14:paraId="09D5684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277" w:type="dxa"/>
            <w:tcBorders>
              <w:top w:val="single" w:sz="2" w:space="0" w:color="auto"/>
              <w:left w:val="single" w:sz="2" w:space="0" w:color="auto"/>
              <w:bottom w:val="single" w:sz="2" w:space="0" w:color="auto"/>
              <w:right w:val="single" w:sz="2" w:space="0" w:color="auto"/>
            </w:tcBorders>
            <w:shd w:val="clear" w:color="auto" w:fill="auto"/>
            <w:vAlign w:val="center"/>
          </w:tcPr>
          <w:p w14:paraId="5B0D71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9,460,567.00</w:t>
            </w:r>
          </w:p>
        </w:tc>
        <w:tc>
          <w:tcPr>
            <w:tcW w:w="1666" w:type="dxa"/>
            <w:tcBorders>
              <w:top w:val="single" w:sz="2" w:space="0" w:color="auto"/>
              <w:left w:val="single" w:sz="2" w:space="0" w:color="auto"/>
              <w:bottom w:val="single" w:sz="2" w:space="0" w:color="auto"/>
              <w:right w:val="single" w:sz="2" w:space="0" w:color="auto"/>
            </w:tcBorders>
            <w:shd w:val="clear" w:color="auto" w:fill="auto"/>
            <w:vAlign w:val="center"/>
          </w:tcPr>
          <w:p w14:paraId="2DBCF8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171,570,881.98</w:t>
            </w:r>
          </w:p>
        </w:tc>
        <w:tc>
          <w:tcPr>
            <w:tcW w:w="755" w:type="dxa"/>
            <w:tcBorders>
              <w:top w:val="single" w:sz="2" w:space="0" w:color="auto"/>
              <w:left w:val="single" w:sz="2" w:space="0" w:color="auto"/>
              <w:bottom w:val="single" w:sz="2" w:space="0" w:color="auto"/>
              <w:right w:val="single" w:sz="2" w:space="0" w:color="auto"/>
            </w:tcBorders>
            <w:shd w:val="clear" w:color="auto" w:fill="auto"/>
            <w:vAlign w:val="center"/>
          </w:tcPr>
          <w:p w14:paraId="45892B0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11" w:type="dxa"/>
            <w:tcBorders>
              <w:top w:val="single" w:sz="2" w:space="0" w:color="auto"/>
              <w:left w:val="single" w:sz="2" w:space="0" w:color="auto"/>
              <w:bottom w:val="single" w:sz="2" w:space="0" w:color="auto"/>
              <w:right w:val="single" w:sz="2" w:space="0" w:color="auto"/>
            </w:tcBorders>
            <w:shd w:val="clear" w:color="auto" w:fill="auto"/>
            <w:vAlign w:val="center"/>
          </w:tcPr>
          <w:p w14:paraId="3A44F8E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07" w:type="dxa"/>
            <w:tcBorders>
              <w:top w:val="single" w:sz="2" w:space="0" w:color="auto"/>
              <w:left w:val="single" w:sz="2" w:space="0" w:color="auto"/>
              <w:bottom w:val="single" w:sz="2" w:space="0" w:color="auto"/>
              <w:right w:val="single" w:sz="2" w:space="0" w:color="auto"/>
            </w:tcBorders>
            <w:shd w:val="clear" w:color="auto" w:fill="auto"/>
            <w:vAlign w:val="center"/>
          </w:tcPr>
          <w:p w14:paraId="030E4A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40.00</w:t>
            </w:r>
          </w:p>
        </w:tc>
        <w:tc>
          <w:tcPr>
            <w:tcW w:w="929" w:type="dxa"/>
            <w:tcBorders>
              <w:top w:val="single" w:sz="2" w:space="0" w:color="auto"/>
              <w:left w:val="single" w:sz="2" w:space="0" w:color="auto"/>
              <w:bottom w:val="single" w:sz="2" w:space="0" w:color="auto"/>
              <w:right w:val="single" w:sz="2" w:space="0" w:color="auto"/>
            </w:tcBorders>
            <w:shd w:val="clear" w:color="auto" w:fill="auto"/>
            <w:vAlign w:val="center"/>
          </w:tcPr>
          <w:p w14:paraId="565A74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725.41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7297F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9,460,527.00</w:t>
            </w:r>
          </w:p>
        </w:tc>
        <w:tc>
          <w:tcPr>
            <w:tcW w:w="1366" w:type="dxa"/>
            <w:tcBorders>
              <w:top w:val="single" w:sz="2" w:space="0" w:color="auto"/>
              <w:left w:val="single" w:sz="2" w:space="0" w:color="auto"/>
              <w:bottom w:val="single" w:sz="2" w:space="0" w:color="auto"/>
              <w:right w:val="single" w:sz="2" w:space="0" w:color="auto"/>
            </w:tcBorders>
            <w:shd w:val="clear" w:color="auto" w:fill="auto"/>
            <w:vAlign w:val="center"/>
          </w:tcPr>
          <w:p w14:paraId="3E00FB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171,570,156.57</w:t>
            </w:r>
          </w:p>
        </w:tc>
      </w:tr>
    </w:tbl>
    <w:p w14:paraId="0A3C196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其他权益工具本期增减变动情况、变动原因说明，以及相关会计处理的依据：</w:t>
      </w:r>
    </w:p>
    <w:p w14:paraId="3EA8221F" w14:textId="285E9ADF" w:rsidR="00AF139E" w:rsidRPr="005B5EC1" w:rsidRDefault="00000000">
      <w:pPr>
        <w:pStyle w:val="a3"/>
        <w:spacing w:before="0" w:beforeAutospacing="0" w:after="0" w:afterAutospacing="0"/>
        <w:textAlignment w:val="baseline"/>
        <w:divId w:val="1805851874"/>
        <w:rPr>
          <w:rFonts w:ascii="Times New Roman" w:hAnsi="Times New Roman" w:cs="Times New Roman"/>
          <w:color w:val="000000"/>
          <w:sz w:val="21"/>
          <w:szCs w:val="21"/>
        </w:rPr>
      </w:pPr>
      <w:r w:rsidRPr="005B5EC1">
        <w:rPr>
          <w:rFonts w:ascii="Times New Roman" w:hAnsi="Times New Roman" w:cs="Times New Roman"/>
          <w:color w:val="000000"/>
          <w:spacing w:val="-1"/>
          <w:sz w:val="18"/>
          <w:szCs w:val="18"/>
        </w:rPr>
        <w:t>其他权益工具增减变动情况见附注七、</w:t>
      </w:r>
      <w:r w:rsidRPr="005B5EC1">
        <w:rPr>
          <w:rFonts w:ascii="Times New Roman" w:hAnsi="Times New Roman" w:cs="Times New Roman"/>
          <w:color w:val="000000"/>
          <w:spacing w:val="-32"/>
          <w:sz w:val="18"/>
          <w:szCs w:val="18"/>
        </w:rPr>
        <w:t> </w:t>
      </w:r>
      <w:r w:rsidRPr="005B5EC1">
        <w:rPr>
          <w:rFonts w:ascii="Times New Roman" w:hAnsi="Times New Roman" w:cs="Times New Roman"/>
          <w:color w:val="000000"/>
          <w:spacing w:val="-1"/>
          <w:sz w:val="18"/>
          <w:szCs w:val="18"/>
        </w:rPr>
        <w:t>4</w:t>
      </w:r>
      <w:r w:rsidR="00221397">
        <w:rPr>
          <w:rFonts w:ascii="Times New Roman" w:hAnsi="Times New Roman" w:cs="Times New Roman" w:hint="eastAsia"/>
          <w:color w:val="000000"/>
          <w:spacing w:val="-1"/>
          <w:sz w:val="18"/>
          <w:szCs w:val="18"/>
        </w:rPr>
        <w:t>5</w:t>
      </w:r>
      <w:r w:rsidRPr="005B5EC1">
        <w:rPr>
          <w:rFonts w:ascii="Times New Roman" w:hAnsi="Times New Roman" w:cs="Times New Roman"/>
          <w:color w:val="000000"/>
          <w:spacing w:val="-1"/>
          <w:sz w:val="18"/>
          <w:szCs w:val="18"/>
        </w:rPr>
        <w:t>。</w:t>
      </w:r>
    </w:p>
    <w:p w14:paraId="5331C99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380F86E3" w14:textId="77777777" w:rsidR="00AF139E" w:rsidRPr="005B5EC1" w:rsidRDefault="00000000">
      <w:pPr>
        <w:pStyle w:val="a3"/>
        <w:divId w:val="387845455"/>
        <w:rPr>
          <w:rFonts w:ascii="Times New Roman" w:hAnsi="Times New Roman" w:cs="Times New Roman"/>
          <w:sz w:val="18"/>
          <w:szCs w:val="18"/>
        </w:rPr>
      </w:pPr>
      <w:r w:rsidRPr="005B5EC1">
        <w:rPr>
          <w:rFonts w:ascii="Times New Roman" w:hAnsi="Times New Roman" w:cs="Times New Roman"/>
          <w:sz w:val="18"/>
          <w:szCs w:val="18"/>
        </w:rPr>
        <w:t>无</w:t>
      </w:r>
    </w:p>
    <w:p w14:paraId="46B694EC" w14:textId="77777777" w:rsidR="00E32FE0" w:rsidRPr="005B5EC1" w:rsidRDefault="00000000">
      <w:pPr>
        <w:pStyle w:val="3"/>
        <w:spacing w:line="280" w:lineRule="exact"/>
        <w:jc w:val="left"/>
        <w:rPr>
          <w:rFonts w:ascii="Times New Roman" w:hAnsi="Times New Roman" w:cs="Times New Roman"/>
          <w:b/>
          <w:bCs/>
        </w:rPr>
      </w:pPr>
      <w:bookmarkStart w:id="374" w:name="_Toc989302"/>
      <w:r w:rsidRPr="005B5EC1">
        <w:rPr>
          <w:rFonts w:ascii="Times New Roman" w:hAnsi="Times New Roman" w:cs="Times New Roman"/>
          <w:b/>
          <w:bCs/>
        </w:rPr>
        <w:t>54</w:t>
      </w:r>
      <w:r w:rsidRPr="005B5EC1">
        <w:rPr>
          <w:rFonts w:ascii="Times New Roman" w:hAnsi="Times New Roman" w:cs="Times New Roman"/>
          <w:b/>
          <w:bCs/>
        </w:rPr>
        <w:t>、资本公积</w:t>
      </w:r>
      <w:bookmarkEnd w:id="374"/>
    </w:p>
    <w:p w14:paraId="657BEF22"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59406FF6"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E91DD8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ECF07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8D0FBD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4592F7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C7E6DA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6737628B"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8140C3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42601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790,029,997.04</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111DC8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4,565.05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5464C1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319,254.41</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4E2ADE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789,715,307.68</w:t>
            </w:r>
          </w:p>
        </w:tc>
      </w:tr>
      <w:tr w:rsidR="00E32FE0" w:rsidRPr="005B5EC1" w14:paraId="38B73F95"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2CC5B9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4E29BA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34,927,424.60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47B24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32C59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76E2C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34,927,424.60</w:t>
            </w:r>
          </w:p>
        </w:tc>
      </w:tr>
      <w:tr w:rsidR="00E32FE0" w:rsidRPr="005B5EC1" w14:paraId="66FDD27C"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90EF75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E33B7F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824,957,421.64</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12680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4,565.05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D2F2B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319,254.41</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59818D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824,642,732.28</w:t>
            </w:r>
          </w:p>
        </w:tc>
      </w:tr>
    </w:tbl>
    <w:p w14:paraId="3280CBE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其他说明，包括本期增减变动情况、变动原因说明：</w:t>
      </w:r>
    </w:p>
    <w:p w14:paraId="121BCD4B" w14:textId="77777777" w:rsidR="00AF139E" w:rsidRPr="005B5EC1" w:rsidRDefault="00000000">
      <w:pPr>
        <w:pStyle w:val="a3"/>
        <w:spacing w:before="144" w:beforeAutospacing="0" w:after="0" w:afterAutospacing="0" w:line="240" w:lineRule="atLeast"/>
        <w:ind w:left="393"/>
        <w:textAlignment w:val="baseline"/>
        <w:divId w:val="736786947"/>
        <w:rPr>
          <w:rFonts w:ascii="Times New Roman" w:hAnsi="Times New Roman" w:cs="Times New Roman"/>
          <w:sz w:val="18"/>
          <w:szCs w:val="18"/>
        </w:rPr>
      </w:pPr>
      <w:r w:rsidRPr="005B5EC1">
        <w:rPr>
          <w:rFonts w:ascii="Times New Roman" w:hAnsi="Times New Roman" w:cs="Times New Roman"/>
          <w:color w:val="000000"/>
          <w:spacing w:val="-1"/>
          <w:sz w:val="18"/>
          <w:szCs w:val="18"/>
        </w:rPr>
        <w:t>1</w:t>
      </w:r>
      <w:r w:rsidRPr="005B5EC1">
        <w:rPr>
          <w:rFonts w:ascii="Times New Roman" w:hAnsi="Times New Roman" w:cs="Times New Roman"/>
          <w:color w:val="000000"/>
          <w:spacing w:val="-1"/>
          <w:sz w:val="18"/>
          <w:szCs w:val="18"/>
        </w:rPr>
        <w:t>、公司发生可转债转股，由于债转股增加的资本公积（股本溢价）为</w:t>
      </w:r>
      <w:r w:rsidRPr="005B5EC1">
        <w:rPr>
          <w:rFonts w:ascii="Times New Roman" w:hAnsi="Times New Roman" w:cs="Times New Roman"/>
          <w:color w:val="000000"/>
          <w:spacing w:val="-1"/>
          <w:sz w:val="18"/>
          <w:szCs w:val="18"/>
        </w:rPr>
        <w:t>4,565.05</w:t>
      </w:r>
      <w:r w:rsidRPr="005B5EC1">
        <w:rPr>
          <w:rFonts w:ascii="Times New Roman" w:hAnsi="Times New Roman" w:cs="Times New Roman"/>
          <w:color w:val="000000"/>
          <w:spacing w:val="-1"/>
          <w:sz w:val="18"/>
          <w:szCs w:val="18"/>
        </w:rPr>
        <w:t>元。</w:t>
      </w:r>
    </w:p>
    <w:p w14:paraId="4F9F5E55" w14:textId="77777777" w:rsidR="00AF139E" w:rsidRPr="005B5EC1" w:rsidRDefault="00000000">
      <w:pPr>
        <w:pStyle w:val="a3"/>
        <w:spacing w:before="144" w:beforeAutospacing="0" w:after="0" w:afterAutospacing="0" w:line="240" w:lineRule="atLeast"/>
        <w:ind w:left="393"/>
        <w:textAlignment w:val="baseline"/>
        <w:divId w:val="736786947"/>
        <w:rPr>
          <w:rFonts w:ascii="Times New Roman" w:hAnsi="Times New Roman" w:cs="Times New Roman"/>
          <w:sz w:val="18"/>
          <w:szCs w:val="18"/>
        </w:rPr>
      </w:pPr>
      <w:r w:rsidRPr="005B5EC1">
        <w:rPr>
          <w:rFonts w:ascii="Times New Roman" w:hAnsi="Times New Roman" w:cs="Times New Roman"/>
          <w:color w:val="000000"/>
          <w:spacing w:val="-1"/>
          <w:sz w:val="18"/>
          <w:szCs w:val="18"/>
        </w:rPr>
        <w:t>2</w:t>
      </w:r>
      <w:r w:rsidRPr="005B5EC1">
        <w:rPr>
          <w:rFonts w:ascii="Times New Roman" w:hAnsi="Times New Roman" w:cs="Times New Roman"/>
          <w:color w:val="000000"/>
          <w:spacing w:val="-19"/>
          <w:sz w:val="18"/>
          <w:szCs w:val="18"/>
        </w:rPr>
        <w:t> </w:t>
      </w:r>
      <w:r w:rsidRPr="005B5EC1">
        <w:rPr>
          <w:rFonts w:ascii="Times New Roman" w:hAnsi="Times New Roman" w:cs="Times New Roman"/>
          <w:color w:val="000000"/>
          <w:spacing w:val="-1"/>
          <w:sz w:val="18"/>
          <w:szCs w:val="18"/>
        </w:rPr>
        <w:t>、因公司</w:t>
      </w:r>
      <w:r w:rsidRPr="005B5EC1">
        <w:rPr>
          <w:rFonts w:ascii="Times New Roman" w:hAnsi="Times New Roman" w:cs="Times New Roman"/>
          <w:color w:val="000000"/>
          <w:spacing w:val="-1"/>
          <w:sz w:val="18"/>
          <w:szCs w:val="18"/>
        </w:rPr>
        <w:t>2024</w:t>
      </w:r>
      <w:r w:rsidRPr="005B5EC1">
        <w:rPr>
          <w:rFonts w:ascii="Times New Roman" w:hAnsi="Times New Roman" w:cs="Times New Roman"/>
          <w:color w:val="000000"/>
          <w:spacing w:val="-1"/>
          <w:sz w:val="18"/>
          <w:szCs w:val="18"/>
        </w:rPr>
        <w:t>年收购子公司四川龙炸餐饮管理有限公司少数股权减少资本公积</w:t>
      </w:r>
      <w:r w:rsidRPr="005B5EC1">
        <w:rPr>
          <w:rFonts w:ascii="Times New Roman" w:hAnsi="Times New Roman" w:cs="Times New Roman"/>
          <w:color w:val="000000"/>
          <w:spacing w:val="-1"/>
          <w:sz w:val="18"/>
          <w:szCs w:val="18"/>
        </w:rPr>
        <w:t>319,254.41</w:t>
      </w:r>
      <w:r w:rsidRPr="005B5EC1">
        <w:rPr>
          <w:rFonts w:ascii="Times New Roman" w:hAnsi="Times New Roman" w:cs="Times New Roman"/>
          <w:color w:val="000000"/>
          <w:spacing w:val="-1"/>
          <w:sz w:val="18"/>
          <w:szCs w:val="18"/>
        </w:rPr>
        <w:t>元。</w:t>
      </w:r>
    </w:p>
    <w:p w14:paraId="2FF2C38A" w14:textId="77777777" w:rsidR="00E32FE0" w:rsidRPr="005B5EC1" w:rsidRDefault="00000000">
      <w:pPr>
        <w:pStyle w:val="3"/>
        <w:spacing w:line="280" w:lineRule="exact"/>
        <w:jc w:val="left"/>
        <w:rPr>
          <w:rFonts w:ascii="Times New Roman" w:hAnsi="Times New Roman" w:cs="Times New Roman"/>
          <w:b/>
          <w:bCs/>
        </w:rPr>
      </w:pPr>
      <w:bookmarkStart w:id="375" w:name="_Toc989303"/>
      <w:r w:rsidRPr="005B5EC1">
        <w:rPr>
          <w:rFonts w:ascii="Times New Roman" w:hAnsi="Times New Roman" w:cs="Times New Roman"/>
          <w:b/>
          <w:bCs/>
        </w:rPr>
        <w:t>55</w:t>
      </w:r>
      <w:r w:rsidRPr="005B5EC1">
        <w:rPr>
          <w:rFonts w:ascii="Times New Roman" w:hAnsi="Times New Roman" w:cs="Times New Roman"/>
          <w:b/>
          <w:bCs/>
        </w:rPr>
        <w:t>、库存股</w:t>
      </w:r>
      <w:bookmarkEnd w:id="375"/>
    </w:p>
    <w:p w14:paraId="0F4444C0"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33ABC860"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90E356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1232DA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D9AF77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D1593D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FD5445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1CC9973E"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032CDA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为员工持股计划或者股权激励而收购的本公司股份</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807B9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B76D53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8DF2CB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4C38B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r>
      <w:tr w:rsidR="00E32FE0" w:rsidRPr="005B5EC1" w14:paraId="362F3115"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CBBDE8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E555D1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BE189C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66FA79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47DB9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330,025,083.29</w:t>
            </w:r>
          </w:p>
        </w:tc>
      </w:tr>
    </w:tbl>
    <w:p w14:paraId="4B7AC4A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其他说明，包括本期增减变动情况、变动原因说明：</w:t>
      </w:r>
    </w:p>
    <w:p w14:paraId="3FD7F6B7" w14:textId="77777777" w:rsidR="00E32FE0" w:rsidRPr="005B5EC1" w:rsidRDefault="00E32FE0">
      <w:pPr>
        <w:rPr>
          <w:rFonts w:ascii="Times New Roman" w:hAnsi="Times New Roman" w:cs="Times New Roman"/>
        </w:rPr>
      </w:pPr>
    </w:p>
    <w:p w14:paraId="5B20AA76" w14:textId="77777777" w:rsidR="00E32FE0" w:rsidRPr="005B5EC1" w:rsidRDefault="00000000">
      <w:pPr>
        <w:pStyle w:val="3"/>
        <w:spacing w:line="280" w:lineRule="exact"/>
        <w:jc w:val="left"/>
        <w:rPr>
          <w:rFonts w:ascii="Times New Roman" w:hAnsi="Times New Roman" w:cs="Times New Roman"/>
          <w:b/>
          <w:bCs/>
        </w:rPr>
      </w:pPr>
      <w:bookmarkStart w:id="376" w:name="_Toc989304"/>
      <w:r w:rsidRPr="005B5EC1">
        <w:rPr>
          <w:rFonts w:ascii="Times New Roman" w:hAnsi="Times New Roman" w:cs="Times New Roman"/>
          <w:b/>
          <w:bCs/>
        </w:rPr>
        <w:t>56</w:t>
      </w:r>
      <w:r w:rsidRPr="005B5EC1">
        <w:rPr>
          <w:rFonts w:ascii="Times New Roman" w:hAnsi="Times New Roman" w:cs="Times New Roman"/>
          <w:b/>
          <w:bCs/>
        </w:rPr>
        <w:t>、其他综合收益</w:t>
      </w:r>
      <w:bookmarkEnd w:id="376"/>
    </w:p>
    <w:p w14:paraId="0F3864DC"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08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120"/>
        <w:gridCol w:w="1401"/>
        <w:gridCol w:w="840"/>
        <w:gridCol w:w="1120"/>
        <w:gridCol w:w="1120"/>
        <w:gridCol w:w="1120"/>
        <w:gridCol w:w="1120"/>
        <w:gridCol w:w="897"/>
        <w:gridCol w:w="1348"/>
      </w:tblGrid>
      <w:tr w:rsidR="00E32FE0" w:rsidRPr="005B5EC1" w14:paraId="3C82CCE0" w14:textId="77777777" w:rsidTr="005B5EC1">
        <w:trPr>
          <w:trHeight w:val="240"/>
          <w:jc w:val="center"/>
        </w:trPr>
        <w:tc>
          <w:tcPr>
            <w:tcW w:w="112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182064C"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401"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743831D3"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6217"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2ADC6FE7"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134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65BDC6DC"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5B5EC1" w:rsidRPr="005B5EC1" w14:paraId="276D865D" w14:textId="77777777" w:rsidTr="005B5EC1">
        <w:trPr>
          <w:trHeight w:val="240"/>
          <w:jc w:val="center"/>
        </w:trPr>
        <w:tc>
          <w:tcPr>
            <w:tcW w:w="112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0FA76E2" w14:textId="77777777" w:rsidR="00E32FE0" w:rsidRPr="005B5EC1" w:rsidRDefault="00E32FE0" w:rsidP="005B5EC1">
            <w:pPr>
              <w:spacing w:after="0" w:line="276" w:lineRule="auto"/>
              <w:rPr>
                <w:rFonts w:ascii="Times New Roman" w:hAnsi="Times New Roman" w:cs="Times New Roman"/>
              </w:rPr>
            </w:pPr>
          </w:p>
        </w:tc>
        <w:tc>
          <w:tcPr>
            <w:tcW w:w="140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3AF76D9" w14:textId="77777777" w:rsidR="00E32FE0" w:rsidRPr="005B5EC1" w:rsidRDefault="00E32FE0" w:rsidP="005B5EC1">
            <w:pPr>
              <w:spacing w:after="0" w:line="276" w:lineRule="auto"/>
              <w:rPr>
                <w:rFonts w:ascii="Times New Roman" w:hAnsi="Times New Roman" w:cs="Times New Roman"/>
              </w:rPr>
            </w:pPr>
          </w:p>
        </w:tc>
        <w:tc>
          <w:tcPr>
            <w:tcW w:w="840" w:type="dxa"/>
            <w:tcBorders>
              <w:top w:val="single" w:sz="2" w:space="0" w:color="auto"/>
              <w:left w:val="single" w:sz="2" w:space="0" w:color="auto"/>
              <w:bottom w:val="single" w:sz="2" w:space="0" w:color="auto"/>
              <w:right w:val="single" w:sz="2" w:space="0" w:color="auto"/>
            </w:tcBorders>
            <w:shd w:val="clear" w:color="auto" w:fill="auto"/>
            <w:vAlign w:val="center"/>
          </w:tcPr>
          <w:p w14:paraId="1D6F25E5"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本期所得税前发生额</w:t>
            </w: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4C0D96F9"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减：前期计入其他综合收益当期转入损益</w:t>
            </w: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4065A94F"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减：前期计入其他综合收益当期转入留存收益</w:t>
            </w: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171D0B93"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减：所得税费用</w:t>
            </w: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5051D201"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税后归属于母公司</w:t>
            </w:r>
          </w:p>
        </w:tc>
        <w:tc>
          <w:tcPr>
            <w:tcW w:w="897" w:type="dxa"/>
            <w:tcBorders>
              <w:top w:val="single" w:sz="2" w:space="0" w:color="auto"/>
              <w:left w:val="single" w:sz="2" w:space="0" w:color="auto"/>
              <w:bottom w:val="single" w:sz="2" w:space="0" w:color="auto"/>
              <w:right w:val="single" w:sz="2" w:space="0" w:color="auto"/>
            </w:tcBorders>
            <w:shd w:val="clear" w:color="auto" w:fill="auto"/>
            <w:vAlign w:val="center"/>
          </w:tcPr>
          <w:p w14:paraId="6DF254C4"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税后归属于少数股东</w:t>
            </w:r>
          </w:p>
        </w:tc>
        <w:tc>
          <w:tcPr>
            <w:tcW w:w="134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4AACC55" w14:textId="77777777" w:rsidR="00E32FE0" w:rsidRPr="005B5EC1" w:rsidRDefault="00E32FE0" w:rsidP="005B5EC1">
            <w:pPr>
              <w:spacing w:after="0" w:line="276" w:lineRule="auto"/>
              <w:rPr>
                <w:rFonts w:ascii="Times New Roman" w:hAnsi="Times New Roman" w:cs="Times New Roman"/>
              </w:rPr>
            </w:pPr>
          </w:p>
        </w:tc>
      </w:tr>
      <w:tr w:rsidR="00E32FE0" w:rsidRPr="005B5EC1" w14:paraId="29F053D7" w14:textId="77777777" w:rsidTr="005B5EC1">
        <w:trPr>
          <w:trHeight w:val="240"/>
          <w:jc w:val="center"/>
        </w:trPr>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2FC85B14"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一、不能重分类进损益的其他综合收益</w:t>
            </w:r>
          </w:p>
        </w:tc>
        <w:tc>
          <w:tcPr>
            <w:tcW w:w="1401" w:type="dxa"/>
            <w:tcBorders>
              <w:top w:val="single" w:sz="2" w:space="0" w:color="auto"/>
              <w:left w:val="single" w:sz="2" w:space="0" w:color="auto"/>
              <w:bottom w:val="single" w:sz="2" w:space="0" w:color="auto"/>
              <w:right w:val="single" w:sz="2" w:space="0" w:color="auto"/>
            </w:tcBorders>
            <w:shd w:val="clear" w:color="auto" w:fill="auto"/>
            <w:vAlign w:val="center"/>
          </w:tcPr>
          <w:p w14:paraId="345AD812"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840" w:type="dxa"/>
            <w:tcBorders>
              <w:top w:val="single" w:sz="2" w:space="0" w:color="auto"/>
              <w:left w:val="single" w:sz="2" w:space="0" w:color="auto"/>
              <w:bottom w:val="single" w:sz="2" w:space="0" w:color="auto"/>
              <w:right w:val="single" w:sz="2" w:space="0" w:color="auto"/>
            </w:tcBorders>
            <w:shd w:val="clear" w:color="auto" w:fill="auto"/>
            <w:vAlign w:val="center"/>
          </w:tcPr>
          <w:p w14:paraId="1C200129"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12D93479"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31BED0BD"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005AA0C8"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2FD6BC06"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897" w:type="dxa"/>
            <w:tcBorders>
              <w:top w:val="single" w:sz="2" w:space="0" w:color="auto"/>
              <w:left w:val="single" w:sz="2" w:space="0" w:color="auto"/>
              <w:bottom w:val="single" w:sz="2" w:space="0" w:color="auto"/>
              <w:right w:val="single" w:sz="2" w:space="0" w:color="auto"/>
            </w:tcBorders>
            <w:shd w:val="clear" w:color="auto" w:fill="auto"/>
            <w:vAlign w:val="center"/>
          </w:tcPr>
          <w:p w14:paraId="5BF801D4"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348" w:type="dxa"/>
            <w:tcBorders>
              <w:top w:val="single" w:sz="2" w:space="0" w:color="auto"/>
              <w:left w:val="single" w:sz="2" w:space="0" w:color="auto"/>
              <w:bottom w:val="single" w:sz="2" w:space="0" w:color="auto"/>
              <w:right w:val="single" w:sz="2" w:space="0" w:color="auto"/>
            </w:tcBorders>
            <w:shd w:val="clear" w:color="auto" w:fill="auto"/>
            <w:vAlign w:val="center"/>
          </w:tcPr>
          <w:p w14:paraId="546B0D76"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r>
      <w:tr w:rsidR="00E32FE0" w:rsidRPr="005B5EC1" w14:paraId="09B8B0E0" w14:textId="77777777" w:rsidTr="005B5EC1">
        <w:trPr>
          <w:trHeight w:val="240"/>
          <w:jc w:val="center"/>
        </w:trPr>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03CD2F22"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其他权益工具投资公允价值变动</w:t>
            </w:r>
          </w:p>
        </w:tc>
        <w:tc>
          <w:tcPr>
            <w:tcW w:w="1401" w:type="dxa"/>
            <w:tcBorders>
              <w:top w:val="single" w:sz="2" w:space="0" w:color="auto"/>
              <w:left w:val="single" w:sz="2" w:space="0" w:color="auto"/>
              <w:bottom w:val="single" w:sz="2" w:space="0" w:color="auto"/>
              <w:right w:val="single" w:sz="2" w:space="0" w:color="auto"/>
            </w:tcBorders>
            <w:shd w:val="clear" w:color="auto" w:fill="auto"/>
            <w:vAlign w:val="center"/>
          </w:tcPr>
          <w:p w14:paraId="7195DE86"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840" w:type="dxa"/>
            <w:tcBorders>
              <w:top w:val="single" w:sz="2" w:space="0" w:color="auto"/>
              <w:left w:val="single" w:sz="2" w:space="0" w:color="auto"/>
              <w:bottom w:val="single" w:sz="2" w:space="0" w:color="auto"/>
              <w:right w:val="single" w:sz="2" w:space="0" w:color="auto"/>
            </w:tcBorders>
            <w:shd w:val="clear" w:color="auto" w:fill="auto"/>
            <w:vAlign w:val="center"/>
          </w:tcPr>
          <w:p w14:paraId="1D86BD35"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55155DEA"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2FC0B4AC"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0EDFFC16"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41D6840D"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897" w:type="dxa"/>
            <w:tcBorders>
              <w:top w:val="single" w:sz="2" w:space="0" w:color="auto"/>
              <w:left w:val="single" w:sz="2" w:space="0" w:color="auto"/>
              <w:bottom w:val="single" w:sz="2" w:space="0" w:color="auto"/>
              <w:right w:val="single" w:sz="2" w:space="0" w:color="auto"/>
            </w:tcBorders>
            <w:shd w:val="clear" w:color="auto" w:fill="auto"/>
            <w:vAlign w:val="center"/>
          </w:tcPr>
          <w:p w14:paraId="5D94B911"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348" w:type="dxa"/>
            <w:tcBorders>
              <w:top w:val="single" w:sz="2" w:space="0" w:color="auto"/>
              <w:left w:val="single" w:sz="2" w:space="0" w:color="auto"/>
              <w:bottom w:val="single" w:sz="2" w:space="0" w:color="auto"/>
              <w:right w:val="single" w:sz="2" w:space="0" w:color="auto"/>
            </w:tcBorders>
            <w:shd w:val="clear" w:color="auto" w:fill="auto"/>
            <w:vAlign w:val="center"/>
          </w:tcPr>
          <w:p w14:paraId="2D8CB2EB"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r>
      <w:tr w:rsidR="00E32FE0" w:rsidRPr="005B5EC1" w14:paraId="56D06B15" w14:textId="77777777" w:rsidTr="005B5EC1">
        <w:trPr>
          <w:trHeight w:val="240"/>
          <w:jc w:val="center"/>
        </w:trPr>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0D662A24"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其他综合收益合计</w:t>
            </w:r>
          </w:p>
        </w:tc>
        <w:tc>
          <w:tcPr>
            <w:tcW w:w="1401" w:type="dxa"/>
            <w:tcBorders>
              <w:top w:val="single" w:sz="2" w:space="0" w:color="auto"/>
              <w:left w:val="single" w:sz="2" w:space="0" w:color="auto"/>
              <w:bottom w:val="single" w:sz="2" w:space="0" w:color="auto"/>
              <w:right w:val="single" w:sz="2" w:space="0" w:color="auto"/>
            </w:tcBorders>
            <w:shd w:val="clear" w:color="auto" w:fill="auto"/>
            <w:vAlign w:val="center"/>
          </w:tcPr>
          <w:p w14:paraId="236B535D"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c>
          <w:tcPr>
            <w:tcW w:w="840" w:type="dxa"/>
            <w:tcBorders>
              <w:top w:val="single" w:sz="2" w:space="0" w:color="auto"/>
              <w:left w:val="single" w:sz="2" w:space="0" w:color="auto"/>
              <w:bottom w:val="single" w:sz="2" w:space="0" w:color="auto"/>
              <w:right w:val="single" w:sz="2" w:space="0" w:color="auto"/>
            </w:tcBorders>
            <w:shd w:val="clear" w:color="auto" w:fill="auto"/>
            <w:vAlign w:val="center"/>
          </w:tcPr>
          <w:p w14:paraId="6769D7AC"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6283C6DC"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7470DCE8"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28D79B35"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120" w:type="dxa"/>
            <w:tcBorders>
              <w:top w:val="single" w:sz="2" w:space="0" w:color="auto"/>
              <w:left w:val="single" w:sz="2" w:space="0" w:color="auto"/>
              <w:bottom w:val="single" w:sz="2" w:space="0" w:color="auto"/>
              <w:right w:val="single" w:sz="2" w:space="0" w:color="auto"/>
            </w:tcBorders>
            <w:shd w:val="clear" w:color="auto" w:fill="auto"/>
            <w:vAlign w:val="center"/>
          </w:tcPr>
          <w:p w14:paraId="7269FB85"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897" w:type="dxa"/>
            <w:tcBorders>
              <w:top w:val="single" w:sz="2" w:space="0" w:color="auto"/>
              <w:left w:val="single" w:sz="2" w:space="0" w:color="auto"/>
              <w:bottom w:val="single" w:sz="2" w:space="0" w:color="auto"/>
              <w:right w:val="single" w:sz="2" w:space="0" w:color="auto"/>
            </w:tcBorders>
            <w:shd w:val="clear" w:color="auto" w:fill="auto"/>
            <w:vAlign w:val="center"/>
          </w:tcPr>
          <w:p w14:paraId="66E31127" w14:textId="77777777" w:rsidR="00E32FE0" w:rsidRPr="005B5EC1" w:rsidRDefault="00E32FE0" w:rsidP="005B5EC1">
            <w:pPr>
              <w:spacing w:after="0" w:line="276" w:lineRule="auto"/>
              <w:jc w:val="right"/>
              <w:rPr>
                <w:rFonts w:ascii="Times New Roman" w:eastAsia="宋体" w:hAnsi="Times New Roman" w:cs="Times New Roman"/>
                <w:sz w:val="18"/>
                <w:szCs w:val="18"/>
              </w:rPr>
            </w:pPr>
          </w:p>
        </w:tc>
        <w:tc>
          <w:tcPr>
            <w:tcW w:w="1348" w:type="dxa"/>
            <w:tcBorders>
              <w:top w:val="single" w:sz="2" w:space="0" w:color="auto"/>
              <w:left w:val="single" w:sz="2" w:space="0" w:color="auto"/>
              <w:bottom w:val="single" w:sz="2" w:space="0" w:color="auto"/>
              <w:right w:val="single" w:sz="2" w:space="0" w:color="auto"/>
            </w:tcBorders>
            <w:shd w:val="clear" w:color="auto" w:fill="auto"/>
            <w:vAlign w:val="center"/>
          </w:tcPr>
          <w:p w14:paraId="3015FE7A"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-12,100,000.00</w:t>
            </w:r>
          </w:p>
        </w:tc>
      </w:tr>
    </w:tbl>
    <w:p w14:paraId="14A8D98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其他说明，包括对现金流量套期损益的有效部分转为被套期项目初始确认金额调整：</w:t>
      </w:r>
    </w:p>
    <w:p w14:paraId="2CADBBCD" w14:textId="77777777" w:rsidR="00AF139E" w:rsidRPr="005B5EC1" w:rsidRDefault="00000000">
      <w:pPr>
        <w:pStyle w:val="a3"/>
        <w:divId w:val="84813044"/>
        <w:rPr>
          <w:rFonts w:ascii="Times New Roman" w:hAnsi="Times New Roman" w:cs="Times New Roman"/>
          <w:sz w:val="18"/>
          <w:szCs w:val="18"/>
        </w:rPr>
      </w:pPr>
      <w:r w:rsidRPr="005B5EC1">
        <w:rPr>
          <w:rFonts w:ascii="Times New Roman" w:hAnsi="Times New Roman" w:cs="Times New Roman"/>
          <w:sz w:val="18"/>
          <w:szCs w:val="18"/>
        </w:rPr>
        <w:t>无</w:t>
      </w:r>
    </w:p>
    <w:p w14:paraId="200A8450" w14:textId="77777777" w:rsidR="00E32FE0" w:rsidRPr="005B5EC1" w:rsidRDefault="00000000">
      <w:pPr>
        <w:pStyle w:val="3"/>
        <w:spacing w:line="280" w:lineRule="exact"/>
        <w:jc w:val="left"/>
        <w:rPr>
          <w:rFonts w:ascii="Times New Roman" w:hAnsi="Times New Roman" w:cs="Times New Roman"/>
          <w:b/>
          <w:bCs/>
        </w:rPr>
      </w:pPr>
      <w:bookmarkStart w:id="377" w:name="_Toc989305"/>
      <w:r w:rsidRPr="005B5EC1">
        <w:rPr>
          <w:rFonts w:ascii="Times New Roman" w:hAnsi="Times New Roman" w:cs="Times New Roman"/>
          <w:b/>
          <w:bCs/>
        </w:rPr>
        <w:t>57</w:t>
      </w:r>
      <w:r w:rsidRPr="005B5EC1">
        <w:rPr>
          <w:rFonts w:ascii="Times New Roman" w:hAnsi="Times New Roman" w:cs="Times New Roman"/>
          <w:b/>
          <w:bCs/>
        </w:rPr>
        <w:t>、专项储备</w:t>
      </w:r>
      <w:bookmarkEnd w:id="377"/>
    </w:p>
    <w:p w14:paraId="04CEEBD5" w14:textId="77777777" w:rsidR="00AF139E" w:rsidRPr="005B5EC1" w:rsidRDefault="00000000">
      <w:pPr>
        <w:pStyle w:val="a3"/>
        <w:divId w:val="2083209179"/>
        <w:rPr>
          <w:rFonts w:ascii="Times New Roman" w:hAnsi="Times New Roman" w:cs="Times New Roman"/>
          <w:sz w:val="18"/>
          <w:szCs w:val="18"/>
        </w:rPr>
      </w:pPr>
      <w:r w:rsidRPr="005B5EC1">
        <w:rPr>
          <w:rFonts w:ascii="Times New Roman" w:hAnsi="Times New Roman" w:cs="Times New Roman"/>
          <w:sz w:val="18"/>
          <w:szCs w:val="18"/>
        </w:rPr>
        <w:t>无</w:t>
      </w:r>
    </w:p>
    <w:p w14:paraId="113A0CC5" w14:textId="77777777" w:rsidR="00E32FE0" w:rsidRPr="005B5EC1" w:rsidRDefault="00000000">
      <w:pPr>
        <w:pStyle w:val="3"/>
        <w:spacing w:line="280" w:lineRule="exact"/>
        <w:jc w:val="left"/>
        <w:rPr>
          <w:rFonts w:ascii="Times New Roman" w:hAnsi="Times New Roman" w:cs="Times New Roman"/>
          <w:b/>
          <w:bCs/>
        </w:rPr>
      </w:pPr>
      <w:bookmarkStart w:id="378" w:name="_Toc989306"/>
      <w:r w:rsidRPr="005B5EC1">
        <w:rPr>
          <w:rFonts w:ascii="Times New Roman" w:hAnsi="Times New Roman" w:cs="Times New Roman"/>
          <w:b/>
          <w:bCs/>
        </w:rPr>
        <w:t>58</w:t>
      </w:r>
      <w:r w:rsidRPr="005B5EC1">
        <w:rPr>
          <w:rFonts w:ascii="Times New Roman" w:hAnsi="Times New Roman" w:cs="Times New Roman"/>
          <w:b/>
          <w:bCs/>
        </w:rPr>
        <w:t>、盈余公积</w:t>
      </w:r>
      <w:bookmarkEnd w:id="378"/>
    </w:p>
    <w:p w14:paraId="7B08927E"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02B80113"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2E8DD1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A75A13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DB715E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3D0CF2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CA7215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584B7E7C"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80DD4E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5AE43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131,858,964.58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95591E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2CA838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E240E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131,858,964.58</w:t>
            </w:r>
          </w:p>
        </w:tc>
      </w:tr>
      <w:tr w:rsidR="00E32FE0" w:rsidRPr="005B5EC1" w14:paraId="2F56D582"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3404F0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524ED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131,858,964.58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4A505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9E1F2C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C2C6C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131,858,964.58</w:t>
            </w:r>
          </w:p>
        </w:tc>
      </w:tr>
      <w:tr w:rsidR="00E32FE0" w:rsidRPr="005B5EC1" w14:paraId="6A463CE2"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149985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F654F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9BD6A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185B1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0F4CC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263,717,929.16</w:t>
            </w:r>
          </w:p>
        </w:tc>
      </w:tr>
    </w:tbl>
    <w:p w14:paraId="239AA29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盈余公积说明，包括本期增减变动情况、变动原因说明：</w:t>
      </w:r>
    </w:p>
    <w:p w14:paraId="7E5C3153" w14:textId="77777777" w:rsidR="00AF139E" w:rsidRPr="005B5EC1" w:rsidRDefault="00000000" w:rsidP="005B5EC1">
      <w:pPr>
        <w:pStyle w:val="a3"/>
        <w:spacing w:before="0" w:beforeAutospacing="0" w:after="0" w:afterAutospacing="0" w:line="276" w:lineRule="auto"/>
        <w:ind w:rightChars="50" w:right="110" w:firstLineChars="200" w:firstLine="362"/>
        <w:textAlignment w:val="baseline"/>
        <w:divId w:val="845746673"/>
        <w:rPr>
          <w:rFonts w:ascii="Times New Roman" w:hAnsi="Times New Roman" w:cs="Times New Roman"/>
          <w:color w:val="000000"/>
          <w:sz w:val="21"/>
          <w:szCs w:val="21"/>
        </w:rPr>
      </w:pPr>
      <w:r w:rsidRPr="005B5EC1">
        <w:rPr>
          <w:rFonts w:ascii="Times New Roman" w:hAnsi="Times New Roman" w:cs="Times New Roman"/>
          <w:color w:val="000000"/>
          <w:spacing w:val="1"/>
          <w:sz w:val="18"/>
          <w:szCs w:val="18"/>
        </w:rPr>
        <w:t>根据《公司法》、公司章程的规定，本公司按净利润的</w:t>
      </w:r>
      <w:r w:rsidRPr="005B5EC1">
        <w:rPr>
          <w:rFonts w:ascii="Times New Roman" w:hAnsi="Times New Roman" w:cs="Times New Roman"/>
          <w:color w:val="000000"/>
          <w:spacing w:val="1"/>
          <w:sz w:val="18"/>
          <w:szCs w:val="18"/>
        </w:rPr>
        <w:t>10%</w:t>
      </w:r>
      <w:r w:rsidRPr="005B5EC1">
        <w:rPr>
          <w:rFonts w:ascii="Times New Roman" w:hAnsi="Times New Roman" w:cs="Times New Roman"/>
          <w:color w:val="000000"/>
          <w:spacing w:val="1"/>
          <w:sz w:val="18"/>
          <w:szCs w:val="18"/>
        </w:rPr>
        <w:t>提取</w:t>
      </w:r>
      <w:r w:rsidRPr="005B5EC1">
        <w:rPr>
          <w:rFonts w:ascii="Times New Roman" w:hAnsi="Times New Roman" w:cs="Times New Roman"/>
          <w:color w:val="000000"/>
          <w:sz w:val="18"/>
          <w:szCs w:val="18"/>
        </w:rPr>
        <w:t>法定盈余公积。法定盈余公积累计额达到本公司注册</w:t>
      </w:r>
      <w:r w:rsidRPr="005B5EC1">
        <w:rPr>
          <w:rFonts w:ascii="Times New Roman" w:hAnsi="Times New Roman" w:cs="Times New Roman"/>
          <w:color w:val="000000"/>
          <w:spacing w:val="-4"/>
          <w:sz w:val="18"/>
          <w:szCs w:val="18"/>
        </w:rPr>
        <w:t>资本</w:t>
      </w:r>
      <w:r w:rsidRPr="005B5EC1">
        <w:rPr>
          <w:rFonts w:ascii="Times New Roman" w:hAnsi="Times New Roman" w:cs="Times New Roman"/>
          <w:color w:val="000000"/>
          <w:spacing w:val="-4"/>
          <w:sz w:val="18"/>
          <w:szCs w:val="18"/>
        </w:rPr>
        <w:t>50%</w:t>
      </w:r>
      <w:r w:rsidRPr="005B5EC1">
        <w:rPr>
          <w:rFonts w:ascii="Times New Roman" w:hAnsi="Times New Roman" w:cs="Times New Roman"/>
          <w:color w:val="000000"/>
          <w:spacing w:val="-4"/>
          <w:sz w:val="18"/>
          <w:szCs w:val="18"/>
        </w:rPr>
        <w:t>以上的，不再提取。</w:t>
      </w:r>
    </w:p>
    <w:p w14:paraId="31DD3F61" w14:textId="77777777" w:rsidR="00AF139E" w:rsidRPr="005B5EC1" w:rsidRDefault="00000000" w:rsidP="005B5EC1">
      <w:pPr>
        <w:pStyle w:val="a3"/>
        <w:spacing w:before="0" w:beforeAutospacing="0" w:after="0" w:afterAutospacing="0" w:line="276" w:lineRule="auto"/>
        <w:ind w:rightChars="50" w:right="110" w:firstLineChars="200" w:firstLine="364"/>
        <w:textAlignment w:val="baseline"/>
        <w:divId w:val="845746673"/>
        <w:rPr>
          <w:rFonts w:ascii="Times New Roman" w:hAnsi="Times New Roman" w:cs="Times New Roman"/>
          <w:color w:val="000000"/>
          <w:sz w:val="21"/>
          <w:szCs w:val="21"/>
        </w:rPr>
      </w:pPr>
      <w:r w:rsidRPr="005B5EC1">
        <w:rPr>
          <w:rFonts w:ascii="Times New Roman" w:hAnsi="Times New Roman" w:cs="Times New Roman"/>
          <w:color w:val="000000"/>
          <w:spacing w:val="2"/>
          <w:sz w:val="18"/>
          <w:szCs w:val="18"/>
        </w:rPr>
        <w:t>本公司在提取法定盈余公积金后，可提取任意盈余公积金。经批准，任意盈余公积金可用于弥</w:t>
      </w:r>
      <w:r w:rsidRPr="005B5EC1">
        <w:rPr>
          <w:rFonts w:ascii="Times New Roman" w:hAnsi="Times New Roman" w:cs="Times New Roman"/>
          <w:color w:val="000000"/>
          <w:spacing w:val="1"/>
          <w:sz w:val="18"/>
          <w:szCs w:val="18"/>
        </w:rPr>
        <w:t>补以前年度亏损或增加</w:t>
      </w:r>
      <w:r w:rsidRPr="005B5EC1">
        <w:rPr>
          <w:rFonts w:ascii="Times New Roman" w:hAnsi="Times New Roman" w:cs="Times New Roman"/>
          <w:color w:val="000000"/>
          <w:spacing w:val="-8"/>
          <w:sz w:val="18"/>
          <w:szCs w:val="18"/>
        </w:rPr>
        <w:t>股本。</w:t>
      </w:r>
    </w:p>
    <w:p w14:paraId="0FD53A64" w14:textId="77777777" w:rsidR="00E32FE0" w:rsidRPr="005B5EC1" w:rsidRDefault="00000000">
      <w:pPr>
        <w:pStyle w:val="3"/>
        <w:spacing w:line="280" w:lineRule="exact"/>
        <w:jc w:val="left"/>
        <w:rPr>
          <w:rFonts w:ascii="Times New Roman" w:hAnsi="Times New Roman" w:cs="Times New Roman"/>
          <w:b/>
          <w:bCs/>
        </w:rPr>
      </w:pPr>
      <w:bookmarkStart w:id="379" w:name="_Toc989307"/>
      <w:r w:rsidRPr="005B5EC1">
        <w:rPr>
          <w:rFonts w:ascii="Times New Roman" w:hAnsi="Times New Roman" w:cs="Times New Roman"/>
          <w:b/>
          <w:bCs/>
        </w:rPr>
        <w:t>59</w:t>
      </w:r>
      <w:r w:rsidRPr="005B5EC1">
        <w:rPr>
          <w:rFonts w:ascii="Times New Roman" w:hAnsi="Times New Roman" w:cs="Times New Roman"/>
          <w:b/>
          <w:bCs/>
        </w:rPr>
        <w:t>、未分配利润</w:t>
      </w:r>
      <w:bookmarkEnd w:id="379"/>
    </w:p>
    <w:p w14:paraId="022DD31E"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FFE3890"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308CFA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125A5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216A7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w:t>
            </w:r>
          </w:p>
        </w:tc>
      </w:tr>
      <w:tr w:rsidR="00E32FE0" w:rsidRPr="005B5EC1" w14:paraId="19F90D80"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CCC45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8959A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-515,299,374.16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E65FF1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1,022,982,107.97</w:t>
            </w:r>
          </w:p>
        </w:tc>
      </w:tr>
      <w:tr w:rsidR="00E32FE0" w:rsidRPr="005B5EC1" w14:paraId="32EA5874"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8794B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调整期初未分配利润合计数（调增</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，调减</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5FC55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3230E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72,221.95</w:t>
            </w:r>
          </w:p>
        </w:tc>
      </w:tr>
      <w:tr w:rsidR="00E32FE0" w:rsidRPr="005B5EC1" w14:paraId="40A092A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350381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7850EB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-515,299,374.16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6936B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1,023,054,329.92</w:t>
            </w:r>
          </w:p>
        </w:tc>
      </w:tr>
      <w:tr w:rsidR="00E32FE0" w:rsidRPr="005B5EC1" w14:paraId="106FECA4"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B2700E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25AC8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21,617,644.76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C054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-1,538,353,704.08</w:t>
            </w:r>
          </w:p>
        </w:tc>
      </w:tr>
      <w:tr w:rsidR="00E32FE0" w:rsidRPr="005B5EC1" w14:paraId="2D34C2FC"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0D6060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DB2FC9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-493,681,729.40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690D4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-515,299,374.16</w:t>
            </w:r>
          </w:p>
        </w:tc>
      </w:tr>
    </w:tbl>
    <w:p w14:paraId="5C2915E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调整期初未分配利润明细：</w:t>
      </w:r>
    </w:p>
    <w:p w14:paraId="2F398539" w14:textId="77777777" w:rsidR="00E32FE0" w:rsidRPr="005B5EC1" w:rsidRDefault="00000000" w:rsidP="005B5EC1">
      <w:pPr>
        <w:spacing w:after="0" w:line="276" w:lineRule="auto"/>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）、由于《企业会计准则》及其相关新规定进行追溯调整，影响期初未分配利润</w:t>
      </w:r>
      <w:r w:rsidRPr="005B5EC1">
        <w:rPr>
          <w:rFonts w:ascii="Times New Roman" w:eastAsia="宋体" w:hAnsi="Times New Roman" w:cs="Times New Roman"/>
          <w:sz w:val="18"/>
          <w:szCs w:val="18"/>
        </w:rPr>
        <w:t>0.00</w:t>
      </w:r>
      <w:r w:rsidRPr="005B5EC1">
        <w:rPr>
          <w:rFonts w:ascii="Times New Roman" w:eastAsia="宋体" w:hAnsi="Times New Roman" w:cs="Times New Roman"/>
          <w:sz w:val="18"/>
          <w:szCs w:val="18"/>
        </w:rPr>
        <w:t>元。</w:t>
      </w:r>
    </w:p>
    <w:p w14:paraId="4CB8BACA" w14:textId="77777777" w:rsidR="00E32FE0" w:rsidRPr="005B5EC1" w:rsidRDefault="00000000" w:rsidP="005B5EC1">
      <w:pPr>
        <w:spacing w:after="0" w:line="276" w:lineRule="auto"/>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）、由于会计政策变更，影响期初未分配利润</w:t>
      </w:r>
      <w:r w:rsidRPr="005B5EC1">
        <w:rPr>
          <w:rFonts w:ascii="Times New Roman" w:eastAsia="宋体" w:hAnsi="Times New Roman" w:cs="Times New Roman"/>
          <w:sz w:val="18"/>
          <w:szCs w:val="18"/>
        </w:rPr>
        <w:t>0.00</w:t>
      </w:r>
      <w:r w:rsidRPr="005B5EC1">
        <w:rPr>
          <w:rFonts w:ascii="Times New Roman" w:eastAsia="宋体" w:hAnsi="Times New Roman" w:cs="Times New Roman"/>
          <w:sz w:val="18"/>
          <w:szCs w:val="18"/>
        </w:rPr>
        <w:t>元。</w:t>
      </w:r>
    </w:p>
    <w:p w14:paraId="65E2C47A" w14:textId="77777777" w:rsidR="00E32FE0" w:rsidRPr="005B5EC1" w:rsidRDefault="00000000" w:rsidP="005B5EC1">
      <w:pPr>
        <w:spacing w:after="0" w:line="276" w:lineRule="auto"/>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）、由于重大会计差错更正，影响期初未分配利润</w:t>
      </w:r>
      <w:r w:rsidRPr="005B5EC1">
        <w:rPr>
          <w:rFonts w:ascii="Times New Roman" w:eastAsia="宋体" w:hAnsi="Times New Roman" w:cs="Times New Roman"/>
          <w:sz w:val="18"/>
          <w:szCs w:val="18"/>
        </w:rPr>
        <w:t>0.00</w:t>
      </w:r>
      <w:r w:rsidRPr="005B5EC1">
        <w:rPr>
          <w:rFonts w:ascii="Times New Roman" w:eastAsia="宋体" w:hAnsi="Times New Roman" w:cs="Times New Roman"/>
          <w:sz w:val="18"/>
          <w:szCs w:val="18"/>
        </w:rPr>
        <w:t>元。</w:t>
      </w:r>
    </w:p>
    <w:p w14:paraId="47986824" w14:textId="77777777" w:rsidR="00E32FE0" w:rsidRPr="005B5EC1" w:rsidRDefault="00000000" w:rsidP="005B5EC1">
      <w:pPr>
        <w:spacing w:after="0" w:line="276" w:lineRule="auto"/>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）、由于同一控制导致的合并范围变更，影响期初未分配利润</w:t>
      </w:r>
      <w:r w:rsidRPr="005B5EC1">
        <w:rPr>
          <w:rFonts w:ascii="Times New Roman" w:eastAsia="宋体" w:hAnsi="Times New Roman" w:cs="Times New Roman"/>
          <w:sz w:val="18"/>
          <w:szCs w:val="18"/>
        </w:rPr>
        <w:t>0.00</w:t>
      </w:r>
      <w:r w:rsidRPr="005B5EC1">
        <w:rPr>
          <w:rFonts w:ascii="Times New Roman" w:eastAsia="宋体" w:hAnsi="Times New Roman" w:cs="Times New Roman"/>
          <w:sz w:val="18"/>
          <w:szCs w:val="18"/>
        </w:rPr>
        <w:t>元。</w:t>
      </w:r>
    </w:p>
    <w:p w14:paraId="3CE01587" w14:textId="77777777" w:rsidR="00E32FE0" w:rsidRPr="005B5EC1" w:rsidRDefault="00000000" w:rsidP="005B5EC1">
      <w:pPr>
        <w:spacing w:after="0" w:line="276" w:lineRule="auto"/>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）、其他调整合计影响期初未分配利润</w:t>
      </w:r>
      <w:r w:rsidRPr="005B5EC1">
        <w:rPr>
          <w:rFonts w:ascii="Times New Roman" w:eastAsia="宋体" w:hAnsi="Times New Roman" w:cs="Times New Roman"/>
          <w:sz w:val="18"/>
          <w:szCs w:val="18"/>
        </w:rPr>
        <w:t>0.00</w:t>
      </w:r>
      <w:r w:rsidRPr="005B5EC1">
        <w:rPr>
          <w:rFonts w:ascii="Times New Roman" w:eastAsia="宋体" w:hAnsi="Times New Roman" w:cs="Times New Roman"/>
          <w:sz w:val="18"/>
          <w:szCs w:val="18"/>
        </w:rPr>
        <w:t>元。</w:t>
      </w:r>
    </w:p>
    <w:p w14:paraId="7BA6BDD2" w14:textId="77777777" w:rsidR="00E32FE0" w:rsidRPr="005B5EC1" w:rsidRDefault="00000000">
      <w:pPr>
        <w:pStyle w:val="3"/>
        <w:spacing w:line="280" w:lineRule="exact"/>
        <w:jc w:val="left"/>
        <w:rPr>
          <w:rFonts w:ascii="Times New Roman" w:hAnsi="Times New Roman" w:cs="Times New Roman"/>
          <w:b/>
          <w:bCs/>
        </w:rPr>
      </w:pPr>
      <w:bookmarkStart w:id="380" w:name="_Toc989308"/>
      <w:r w:rsidRPr="005B5EC1">
        <w:rPr>
          <w:rFonts w:ascii="Times New Roman" w:hAnsi="Times New Roman" w:cs="Times New Roman"/>
          <w:b/>
          <w:bCs/>
        </w:rPr>
        <w:t>60</w:t>
      </w:r>
      <w:r w:rsidRPr="005B5EC1">
        <w:rPr>
          <w:rFonts w:ascii="Times New Roman" w:hAnsi="Times New Roman" w:cs="Times New Roman"/>
          <w:b/>
          <w:bCs/>
        </w:rPr>
        <w:t>、营业收入和营业成本</w:t>
      </w:r>
      <w:bookmarkEnd w:id="380"/>
    </w:p>
    <w:p w14:paraId="46CD231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40380350" w14:textId="77777777" w:rsidTr="005B5EC1">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6C70DB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D668E8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275E75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4996EEB8" w14:textId="77777777" w:rsidTr="005B5EC1">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FE3FBB0"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83B70C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B62FE2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FBBFE6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A1C452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成本</w:t>
            </w:r>
          </w:p>
        </w:tc>
      </w:tr>
      <w:tr w:rsidR="00E32FE0" w:rsidRPr="005B5EC1" w14:paraId="16291D46"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E50F01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主营业务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217AE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10,957,208,821.55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17EC5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10,546,184,829.93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773755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13,299,921,655.02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3685F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13,518,711,004.25</w:t>
            </w:r>
          </w:p>
        </w:tc>
      </w:tr>
      <w:tr w:rsidR="00E32FE0" w:rsidRPr="005B5EC1" w14:paraId="3A6E3F6F"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254B6F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其他业务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6FCAF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32,462,323.67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6F8AA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5,656,179.67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CA9E5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18,551,556.88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CCB9D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9,956,430.18</w:t>
            </w:r>
          </w:p>
        </w:tc>
      </w:tr>
      <w:tr w:rsidR="00E32FE0" w:rsidRPr="005B5EC1" w14:paraId="217646A9"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28469E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DEAD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10,989,671,145.22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5B06D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10,551,841,009.60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C5AB4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13,318,473,211.90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EC833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13,528,667,434.43</w:t>
            </w:r>
          </w:p>
        </w:tc>
      </w:tr>
    </w:tbl>
    <w:p w14:paraId="5181892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公司最近一个会计年度经审计利润总额、净利润、扣除非经常性损益后的净利润三者孰低为负值</w:t>
      </w:r>
    </w:p>
    <w:p w14:paraId="71785DA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否</w:t>
      </w:r>
    </w:p>
    <w:p w14:paraId="31AD0B5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57EFAFE1"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698A2E7"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8AE6EC1"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本年度</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6DBBF1A"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具体扣除情况</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73F0BE2"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上年度</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8B7A2DD" w14:textId="77777777" w:rsidR="00E32FE0" w:rsidRPr="005B5EC1" w:rsidRDefault="00000000"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具体扣除情况</w:t>
            </w:r>
          </w:p>
        </w:tc>
      </w:tr>
      <w:tr w:rsidR="00E32FE0" w:rsidRPr="005B5EC1" w14:paraId="7DD3F0AC"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13B4267"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营业收入金额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96F1FF6"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10,989,671,145.22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72A2990"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7894344"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13,318,473,211.90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7E66C42"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r>
      <w:tr w:rsidR="00E32FE0" w:rsidRPr="005B5EC1" w14:paraId="5E31AACF"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6C4E860"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营业收入扣除项目合计金额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B138850"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32,462,323.67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7612BF3"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5DFB64F"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18,551,556.88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261D4E8"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r>
      <w:tr w:rsidR="00E32FE0" w:rsidRPr="005B5EC1" w14:paraId="65E71F30"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272C1EF"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营业收入扣除项目合计金额占营业收入的比重</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786B587"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0.30%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5EEF5BB" w14:textId="77777777" w:rsidR="00E32FE0" w:rsidRPr="005B5EC1" w:rsidRDefault="00E32FE0" w:rsidP="005B5EC1">
            <w:pPr>
              <w:spacing w:after="0" w:line="276" w:lineRule="auto"/>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B55B9CF"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0.14%</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2C620D9" w14:textId="77777777" w:rsidR="00E32FE0" w:rsidRPr="005B5EC1" w:rsidRDefault="00E32FE0" w:rsidP="005B5EC1">
            <w:pPr>
              <w:spacing w:after="0" w:line="276" w:lineRule="auto"/>
              <w:rPr>
                <w:rFonts w:ascii="Times New Roman" w:eastAsia="宋体" w:hAnsi="Times New Roman" w:cs="Times New Roman"/>
                <w:sz w:val="18"/>
                <w:szCs w:val="18"/>
              </w:rPr>
            </w:pPr>
          </w:p>
        </w:tc>
      </w:tr>
      <w:tr w:rsidR="00E32FE0" w:rsidRPr="005B5EC1" w14:paraId="5A23BA47"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EA46607"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一、与主营业务无关的业务收入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3EB0278" w14:textId="77777777" w:rsidR="00E32FE0" w:rsidRPr="005B5EC1" w:rsidRDefault="00E32FE0" w:rsidP="005B5EC1">
            <w:pPr>
              <w:spacing w:after="0"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9CA8D09" w14:textId="77777777" w:rsidR="00E32FE0" w:rsidRPr="005B5EC1" w:rsidRDefault="00E32FE0" w:rsidP="005B5EC1">
            <w:pPr>
              <w:spacing w:after="0"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A916B22" w14:textId="77777777" w:rsidR="00E32FE0" w:rsidRPr="005B5EC1" w:rsidRDefault="00E32FE0" w:rsidP="005B5EC1">
            <w:pPr>
              <w:spacing w:after="0"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7C7E186" w14:textId="77777777" w:rsidR="00E32FE0" w:rsidRPr="005B5EC1" w:rsidRDefault="00E32FE0" w:rsidP="005B5EC1">
            <w:pPr>
              <w:spacing w:after="0" w:line="276" w:lineRule="auto"/>
              <w:rPr>
                <w:rFonts w:ascii="Times New Roman" w:hAnsi="Times New Roman" w:cs="Times New Roman"/>
              </w:rPr>
            </w:pPr>
          </w:p>
        </w:tc>
      </w:tr>
      <w:tr w:rsidR="00E32FE0" w:rsidRPr="005B5EC1" w14:paraId="43BBB6A9"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7AE2583"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．正常经营之外的其他业务收入。如出租固定资产、无形资产、包装物，销售材料，用材料进行非货币性资产交换，经营受托管理业务等实现的收入，以及虽计入</w:t>
            </w:r>
            <w:r w:rsidRPr="005B5EC1">
              <w:rPr>
                <w:rFonts w:ascii="Times New Roman" w:eastAsia="宋体" w:hAnsi="Times New Roman" w:cs="Times New Roman"/>
                <w:sz w:val="18"/>
                <w:szCs w:val="18"/>
              </w:rPr>
              <w:lastRenderedPageBreak/>
              <w:t>主营业务收入，但属于上市公司正常经营之外的收入。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EE1E5C2"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32,462,323.67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B383525" w14:textId="77777777" w:rsidR="00E32FE0" w:rsidRPr="005B5EC1" w:rsidRDefault="00E32FE0" w:rsidP="005B5EC1">
            <w:pPr>
              <w:spacing w:after="0" w:line="276" w:lineRule="auto"/>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65B94F9"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18,551,556.88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26EE7B5" w14:textId="77777777" w:rsidR="00E32FE0" w:rsidRPr="005B5EC1" w:rsidRDefault="00E32FE0" w:rsidP="005B5EC1">
            <w:pPr>
              <w:spacing w:after="0" w:line="276" w:lineRule="auto"/>
              <w:rPr>
                <w:rFonts w:ascii="Times New Roman" w:eastAsia="宋体" w:hAnsi="Times New Roman" w:cs="Times New Roman"/>
                <w:sz w:val="18"/>
                <w:szCs w:val="18"/>
              </w:rPr>
            </w:pPr>
          </w:p>
        </w:tc>
      </w:tr>
      <w:tr w:rsidR="00E32FE0" w:rsidRPr="005B5EC1" w14:paraId="1D2FBC69"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35B5C2C"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与主营业务无关的业务收入小计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2EBB13E"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32,462,323.67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6FB6647"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58F6199"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18,551,556.88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8A00014"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r>
      <w:tr w:rsidR="00E32FE0" w:rsidRPr="005B5EC1" w14:paraId="10E0B0BB"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B5BC403"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二、不具备商业实质的收入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A7B85F4" w14:textId="77777777" w:rsidR="00E32FE0" w:rsidRPr="005B5EC1" w:rsidRDefault="00E32FE0" w:rsidP="005B5EC1">
            <w:pPr>
              <w:spacing w:after="0"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FCE9379" w14:textId="77777777" w:rsidR="00E32FE0" w:rsidRPr="005B5EC1" w:rsidRDefault="00E32FE0" w:rsidP="005B5EC1">
            <w:pPr>
              <w:spacing w:after="0"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2FC346B" w14:textId="77777777" w:rsidR="00E32FE0" w:rsidRPr="005B5EC1" w:rsidRDefault="00E32FE0" w:rsidP="005B5EC1">
            <w:pPr>
              <w:spacing w:after="0"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073ADD6" w14:textId="77777777" w:rsidR="00E32FE0" w:rsidRPr="005B5EC1" w:rsidRDefault="00E32FE0" w:rsidP="005B5EC1">
            <w:pPr>
              <w:spacing w:after="0" w:line="276" w:lineRule="auto"/>
              <w:rPr>
                <w:rFonts w:ascii="Times New Roman" w:hAnsi="Times New Roman" w:cs="Times New Roman"/>
              </w:rPr>
            </w:pPr>
          </w:p>
        </w:tc>
      </w:tr>
      <w:tr w:rsidR="00E32FE0" w:rsidRPr="005B5EC1" w14:paraId="159C71ED"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6E8B314"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不具备商业实质的收入小计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82AC221"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B667137"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411FCF5"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12222C4"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570DE823"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DCB57D5"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三、与主营业务无关或不具备商业实质的其他收入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CF55756"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B247558"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0B66CD6"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17A2C9A"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无</w:t>
            </w:r>
          </w:p>
        </w:tc>
      </w:tr>
      <w:tr w:rsidR="00E32FE0" w:rsidRPr="005B5EC1" w14:paraId="07C6A97B"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B8F5889"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营业收入扣除后金额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5446718"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10,957,208,821.55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C33F011"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F8D88AE" w14:textId="77777777" w:rsidR="00E32FE0" w:rsidRPr="005B5EC1" w:rsidRDefault="00000000"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13,299,921,655.02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3C14025" w14:textId="77777777" w:rsidR="00E32FE0" w:rsidRPr="005B5EC1" w:rsidRDefault="00000000"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经营租赁收入、材料销售收入、服务费收入等</w:t>
            </w:r>
          </w:p>
        </w:tc>
      </w:tr>
    </w:tbl>
    <w:p w14:paraId="6B60859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营业收入、营业成本的分解信息：</w:t>
      </w:r>
    </w:p>
    <w:p w14:paraId="70F1A44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73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369"/>
        <w:gridCol w:w="1466"/>
        <w:gridCol w:w="1560"/>
        <w:gridCol w:w="1081"/>
        <w:gridCol w:w="1136"/>
        <w:gridCol w:w="1559"/>
        <w:gridCol w:w="1559"/>
      </w:tblGrid>
      <w:tr w:rsidR="005B5EC1" w:rsidRPr="005B5EC1" w14:paraId="26E41F02" w14:textId="77777777" w:rsidTr="005B5EC1">
        <w:trPr>
          <w:trHeight w:val="244"/>
          <w:jc w:val="center"/>
        </w:trPr>
        <w:tc>
          <w:tcPr>
            <w:tcW w:w="1369"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1384171"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合同分类</w:t>
            </w:r>
          </w:p>
        </w:tc>
        <w:tc>
          <w:tcPr>
            <w:tcW w:w="302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6333316"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分部</w:t>
            </w:r>
            <w:r w:rsidRPr="005B5EC1">
              <w:rPr>
                <w:rFonts w:ascii="Times New Roman" w:eastAsia="宋体" w:hAnsi="Times New Roman" w:cs="Times New Roman"/>
                <w:sz w:val="18"/>
                <w:szCs w:val="18"/>
              </w:rPr>
              <w:t>1</w:t>
            </w:r>
          </w:p>
        </w:tc>
        <w:tc>
          <w:tcPr>
            <w:tcW w:w="221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53BC52F"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分部</w:t>
            </w:r>
            <w:r w:rsidRPr="005B5EC1">
              <w:rPr>
                <w:rFonts w:ascii="Times New Roman" w:eastAsia="宋体" w:hAnsi="Times New Roman" w:cs="Times New Roman"/>
                <w:sz w:val="18"/>
                <w:szCs w:val="18"/>
              </w:rPr>
              <w:t>2</w:t>
            </w:r>
          </w:p>
        </w:tc>
        <w:tc>
          <w:tcPr>
            <w:tcW w:w="31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D4FBBCA"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r>
      <w:tr w:rsidR="005B5EC1" w:rsidRPr="005B5EC1" w14:paraId="1D105605" w14:textId="77777777" w:rsidTr="005B5EC1">
        <w:trPr>
          <w:trHeight w:val="244"/>
          <w:jc w:val="center"/>
        </w:trPr>
        <w:tc>
          <w:tcPr>
            <w:tcW w:w="1369"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886557D" w14:textId="77777777" w:rsidR="005B5EC1" w:rsidRPr="005B5EC1" w:rsidRDefault="005B5EC1" w:rsidP="005B5EC1">
            <w:pPr>
              <w:spacing w:after="0" w:line="276" w:lineRule="auto"/>
              <w:rPr>
                <w:rFonts w:ascii="Times New Roman" w:hAnsi="Times New Roman" w:cs="Times New Roman"/>
              </w:rPr>
            </w:pP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748A5401"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9C5A205"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2DE59D2B"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w:t>
            </w: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5CCB3E21"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E8EB58E"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3D7E8F1" w14:textId="77777777" w:rsidR="005B5EC1" w:rsidRPr="005B5EC1" w:rsidRDefault="005B5EC1" w:rsidP="005B5EC1">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营业成本</w:t>
            </w:r>
          </w:p>
        </w:tc>
      </w:tr>
      <w:tr w:rsidR="005B5EC1" w:rsidRPr="005B5EC1" w14:paraId="50FBF9EC"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16C0C9F2"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业务类型</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7D10115E"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6C7735C9"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34575CED"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1694C22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EA81833"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1B53D4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0D21F4ED"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6DAFB0C4"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081D4DD6" w14:textId="77777777" w:rsidR="005B5EC1" w:rsidRPr="005B5EC1" w:rsidRDefault="005B5EC1" w:rsidP="005B5EC1">
            <w:pPr>
              <w:spacing w:after="0" w:line="276" w:lineRule="auto"/>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673FBD51" w14:textId="77777777" w:rsidR="005B5EC1" w:rsidRPr="005B5EC1" w:rsidRDefault="005B5EC1" w:rsidP="005B5EC1">
            <w:pPr>
              <w:spacing w:after="0" w:line="276" w:lineRule="auto"/>
              <w:rPr>
                <w:rFonts w:ascii="Times New Roman" w:hAnsi="Times New Roman" w:cs="Times New Roman"/>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134EBD92" w14:textId="77777777" w:rsidR="005B5EC1" w:rsidRPr="005B5EC1" w:rsidRDefault="005B5EC1" w:rsidP="005B5EC1">
            <w:pPr>
              <w:spacing w:after="0" w:line="276" w:lineRule="auto"/>
              <w:rPr>
                <w:rFonts w:ascii="Times New Roman" w:hAnsi="Times New Roman" w:cs="Times New Roman"/>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4ECB4827"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0550BF8"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9B919DD" w14:textId="77777777" w:rsidR="005B5EC1" w:rsidRPr="005B5EC1" w:rsidRDefault="005B5EC1" w:rsidP="005B5EC1">
            <w:pPr>
              <w:spacing w:after="0" w:line="276" w:lineRule="auto"/>
              <w:rPr>
                <w:rFonts w:ascii="Times New Roman" w:hAnsi="Times New Roman" w:cs="Times New Roman"/>
              </w:rPr>
            </w:pPr>
          </w:p>
        </w:tc>
      </w:tr>
      <w:tr w:rsidR="005B5EC1" w:rsidRPr="005B5EC1" w14:paraId="4746BFFA"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6ABDE011"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鲜冻肉</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1149E051"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8,991,161,187.79</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5A2F4BBB"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8,789,225,832.69</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637929A3"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3A3F30DA"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E7214DA"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8,991,161,187.79</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996BFBF"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8,789,225,832.69</w:t>
            </w:r>
          </w:p>
        </w:tc>
      </w:tr>
      <w:tr w:rsidR="005B5EC1" w:rsidRPr="005B5EC1" w14:paraId="39ED3CC8"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003FBF81"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熟食制品</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28A257A2"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215,242,047.27</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708BC4A"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160,469,869.41</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252C5454"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30ABCE4B"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001F25F"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215,242,047.27</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5BC0A8B"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160,469,869.41</w:t>
            </w:r>
          </w:p>
        </w:tc>
      </w:tr>
      <w:tr w:rsidR="005B5EC1" w:rsidRPr="005B5EC1" w14:paraId="06378B67"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5D4186AB"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预制食品</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35D828EF"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1,686,618,748.87</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40A7385C"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1,527,839,042.70</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6A29EB99"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6540460A"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942915B"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1,686,618,748.87</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9CF0675"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1,527,839,042.70</w:t>
            </w:r>
          </w:p>
        </w:tc>
      </w:tr>
      <w:tr w:rsidR="005B5EC1" w:rsidRPr="005B5EC1" w14:paraId="2876F466"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1BEB9A2E"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进口贸易</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38868D2F"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17,694,799.22</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1CE31FF0"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18,038,263.05</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504D0830"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363FF6A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76B8D1C"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17,694,799.22</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4115859"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18,038,263.05</w:t>
            </w:r>
          </w:p>
        </w:tc>
      </w:tr>
      <w:tr w:rsidR="005B5EC1" w:rsidRPr="005B5EC1" w14:paraId="3CB800AB"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768AAB04"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40CFC0F9"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78,954,362.07</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D2AE87F"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56,268,001.75</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72263A6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3F9AB15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91771E7"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78,954,362.07</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379A4E7"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56,268,001.75</w:t>
            </w:r>
          </w:p>
        </w:tc>
      </w:tr>
      <w:tr w:rsidR="005B5EC1" w:rsidRPr="005B5EC1" w14:paraId="487A52CA"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79FE7649"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按经营地区分类</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320CCA61"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2FBCA875"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7397535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0F650B59"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D1FAC27"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31C1C6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31171A15"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17C6F224"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其中：</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464411FD" w14:textId="77777777" w:rsidR="005B5EC1" w:rsidRPr="005B5EC1" w:rsidRDefault="005B5EC1" w:rsidP="005B5EC1">
            <w:pPr>
              <w:spacing w:after="0" w:line="276" w:lineRule="auto"/>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3C72F89E" w14:textId="77777777" w:rsidR="005B5EC1" w:rsidRPr="005B5EC1" w:rsidRDefault="005B5EC1" w:rsidP="005B5EC1">
            <w:pPr>
              <w:spacing w:after="0" w:line="276" w:lineRule="auto"/>
              <w:rPr>
                <w:rFonts w:ascii="Times New Roman" w:hAnsi="Times New Roman" w:cs="Times New Roman"/>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21B899D8" w14:textId="77777777" w:rsidR="005B5EC1" w:rsidRPr="005B5EC1" w:rsidRDefault="005B5EC1" w:rsidP="005B5EC1">
            <w:pPr>
              <w:spacing w:after="0" w:line="276" w:lineRule="auto"/>
              <w:rPr>
                <w:rFonts w:ascii="Times New Roman" w:hAnsi="Times New Roman" w:cs="Times New Roman"/>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41F2C225"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10347EE"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5EB5B38" w14:textId="77777777" w:rsidR="005B5EC1" w:rsidRPr="005B5EC1" w:rsidRDefault="005B5EC1" w:rsidP="005B5EC1">
            <w:pPr>
              <w:spacing w:after="0" w:line="276" w:lineRule="auto"/>
              <w:rPr>
                <w:rFonts w:ascii="Times New Roman" w:hAnsi="Times New Roman" w:cs="Times New Roman"/>
              </w:rPr>
            </w:pPr>
          </w:p>
        </w:tc>
      </w:tr>
      <w:tr w:rsidR="005B5EC1" w:rsidRPr="005B5EC1" w14:paraId="1EDEC221"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5E506DF2"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山东省内</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4E96C058"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4,051,103,732.47</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085DCB3C"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3,770,379,991.03</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114A796B"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7120AF5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5AFA4BD"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4,051,103,732.47</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E4F9A4A"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3,770,379,991.03</w:t>
            </w:r>
          </w:p>
        </w:tc>
      </w:tr>
      <w:tr w:rsidR="005B5EC1" w:rsidRPr="005B5EC1" w14:paraId="4DFC5D80"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62CA3D22"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华东其他地区</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039836B1"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3,001,781,612.48</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0176E904"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2,879,376,779.18</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49D5E138"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2D2E05FA"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30F41FD"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3,001,781,612.48</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B635D3B"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2,879,376,779.18</w:t>
            </w:r>
          </w:p>
        </w:tc>
      </w:tr>
      <w:tr w:rsidR="005B5EC1" w:rsidRPr="005B5EC1" w14:paraId="6510EFCC"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659BD2C3"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华中地区</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25F165D2"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1,596,771,366.22</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38DC011B"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1,605,645,989.15</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6B233E2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421433BC"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E88DBDD"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1,596,771,366.22</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36782C7"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1,605,645,989.15</w:t>
            </w:r>
          </w:p>
        </w:tc>
      </w:tr>
      <w:tr w:rsidR="005B5EC1" w:rsidRPr="005B5EC1" w14:paraId="7C5A3876"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55CC4757"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华北地区</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18D9B378"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551,915,369.93</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2C6B46B"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539,798,853.36</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4C04650E"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5FA5B169"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679FBCE"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551,915,369.93</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0BDCC7A"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539,798,853.36</w:t>
            </w:r>
          </w:p>
        </w:tc>
      </w:tr>
      <w:tr w:rsidR="005B5EC1" w:rsidRPr="005B5EC1" w14:paraId="13E156B1"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2C350666"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华南地区</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09433087"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222,832,027.76</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1A96ABB"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210,348,479.23</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0B7070E9"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73A8608D"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8610C17"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222,832,027.76</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E1983C7"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210,348,479.23</w:t>
            </w:r>
          </w:p>
        </w:tc>
      </w:tr>
      <w:tr w:rsidR="005B5EC1" w:rsidRPr="005B5EC1" w14:paraId="3BCB9B30"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46C77F45"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东北地区</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6E6A5208"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802,822,144.06</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FD9E02F"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793,239,208.28</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647A5ED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45952A0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4D01D9C"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802,822,144.06</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F0CDEC9"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793,239,208.28</w:t>
            </w:r>
          </w:p>
        </w:tc>
      </w:tr>
      <w:tr w:rsidR="005B5EC1" w:rsidRPr="005B5EC1" w14:paraId="35426C05"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0D0D55EF"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西南地区</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53A66EF7"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715,811,416.89</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32FBDBF6"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707,741,858.06</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03324B3B"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3B7CC843"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F49C8FE"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715,811,416.89</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CB05F3D"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707,741,858.06</w:t>
            </w:r>
          </w:p>
        </w:tc>
      </w:tr>
      <w:tr w:rsidR="005B5EC1" w:rsidRPr="005B5EC1" w14:paraId="75492363"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5036D2E2"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西北地区及其他</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6245047D"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46,633,475.41</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0CCA07D4"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45,309,851.31</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3D9B1061"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00D03435"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D1A997F"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46,633,475.41</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07F78C6"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45,309,851.31</w:t>
            </w:r>
          </w:p>
        </w:tc>
      </w:tr>
      <w:tr w:rsidR="005B5EC1" w:rsidRPr="005B5EC1" w14:paraId="3BA8BBCE"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11DF768B"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市场或客户类型</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44D3636D"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C9A178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3E856218"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1E111AA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83A1884"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7CB41D1"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4C62F334"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53398F3F"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其中：</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623953AE" w14:textId="77777777" w:rsidR="005B5EC1" w:rsidRPr="005B5EC1" w:rsidRDefault="005B5EC1" w:rsidP="005B5EC1">
            <w:pPr>
              <w:spacing w:after="0" w:line="276" w:lineRule="auto"/>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4C4C1459" w14:textId="77777777" w:rsidR="005B5EC1" w:rsidRPr="005B5EC1" w:rsidRDefault="005B5EC1" w:rsidP="005B5EC1">
            <w:pPr>
              <w:spacing w:after="0" w:line="276" w:lineRule="auto"/>
              <w:rPr>
                <w:rFonts w:ascii="Times New Roman" w:hAnsi="Times New Roman" w:cs="Times New Roman"/>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1DB587E1" w14:textId="77777777" w:rsidR="005B5EC1" w:rsidRPr="005B5EC1" w:rsidRDefault="005B5EC1" w:rsidP="005B5EC1">
            <w:pPr>
              <w:spacing w:after="0" w:line="276" w:lineRule="auto"/>
              <w:rPr>
                <w:rFonts w:ascii="Times New Roman" w:hAnsi="Times New Roman" w:cs="Times New Roman"/>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582A8BA4"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DF31CBD"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2A26E01" w14:textId="77777777" w:rsidR="005B5EC1" w:rsidRPr="005B5EC1" w:rsidRDefault="005B5EC1" w:rsidP="005B5EC1">
            <w:pPr>
              <w:spacing w:after="0" w:line="276" w:lineRule="auto"/>
              <w:rPr>
                <w:rFonts w:ascii="Times New Roman" w:hAnsi="Times New Roman" w:cs="Times New Roman"/>
              </w:rPr>
            </w:pPr>
          </w:p>
        </w:tc>
      </w:tr>
      <w:tr w:rsidR="005B5EC1" w:rsidRPr="005B5EC1" w14:paraId="2AC69D3C"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0B18FFBD" w14:textId="77777777" w:rsidR="005B5EC1" w:rsidRPr="005B5EC1" w:rsidRDefault="005B5EC1" w:rsidP="005B5EC1">
            <w:pPr>
              <w:spacing w:after="0" w:line="276" w:lineRule="auto"/>
              <w:rPr>
                <w:rFonts w:ascii="Times New Roman" w:eastAsia="宋体" w:hAnsi="Times New Roman" w:cs="Times New Roman"/>
                <w:sz w:val="18"/>
                <w:szCs w:val="18"/>
              </w:rPr>
            </w:pP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5917B413"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D642280"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058C9465"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7D259EF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0E5A329"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4B12433"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398ACEA7"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208ABF12"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合同类型</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05D0D8D4"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381AF4D7"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7D2F9BF1"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267E6377"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FFEB41E"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950BDB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1A0DCD12"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1D26A6D9"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其中：</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6EDBA5ED" w14:textId="77777777" w:rsidR="005B5EC1" w:rsidRPr="005B5EC1" w:rsidRDefault="005B5EC1" w:rsidP="005B5EC1">
            <w:pPr>
              <w:spacing w:after="0" w:line="276" w:lineRule="auto"/>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B795FCB" w14:textId="77777777" w:rsidR="005B5EC1" w:rsidRPr="005B5EC1" w:rsidRDefault="005B5EC1" w:rsidP="005B5EC1">
            <w:pPr>
              <w:spacing w:after="0" w:line="276" w:lineRule="auto"/>
              <w:rPr>
                <w:rFonts w:ascii="Times New Roman" w:hAnsi="Times New Roman" w:cs="Times New Roman"/>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7A5CE1C2" w14:textId="77777777" w:rsidR="005B5EC1" w:rsidRPr="005B5EC1" w:rsidRDefault="005B5EC1" w:rsidP="005B5EC1">
            <w:pPr>
              <w:spacing w:after="0" w:line="276" w:lineRule="auto"/>
              <w:rPr>
                <w:rFonts w:ascii="Times New Roman" w:hAnsi="Times New Roman" w:cs="Times New Roman"/>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584DC8C9"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D35D13B"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4A8C802" w14:textId="77777777" w:rsidR="005B5EC1" w:rsidRPr="005B5EC1" w:rsidRDefault="005B5EC1" w:rsidP="005B5EC1">
            <w:pPr>
              <w:spacing w:after="0" w:line="276" w:lineRule="auto"/>
              <w:rPr>
                <w:rFonts w:ascii="Times New Roman" w:hAnsi="Times New Roman" w:cs="Times New Roman"/>
              </w:rPr>
            </w:pPr>
          </w:p>
        </w:tc>
      </w:tr>
      <w:tr w:rsidR="005B5EC1" w:rsidRPr="005B5EC1" w14:paraId="2CDBF62B"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1E80E4F0" w14:textId="77777777" w:rsidR="005B5EC1" w:rsidRPr="005B5EC1" w:rsidRDefault="005B5EC1" w:rsidP="005B5EC1">
            <w:pPr>
              <w:spacing w:after="0" w:line="276" w:lineRule="auto"/>
              <w:rPr>
                <w:rFonts w:ascii="Times New Roman" w:eastAsia="宋体" w:hAnsi="Times New Roman" w:cs="Times New Roman"/>
                <w:sz w:val="18"/>
                <w:szCs w:val="18"/>
              </w:rPr>
            </w:pP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51DB83E8"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6D604860"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21C576B3"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2F677331"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27761DC"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8F2275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1951A77A"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0D7FA6FE"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按商品转让的时间分类</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753609CE"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3523122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1D7B6437"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21C05EDC"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EAF339F"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25C486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26633D96"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6C92BEEC"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其中：</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54B34823" w14:textId="77777777" w:rsidR="005B5EC1" w:rsidRPr="005B5EC1" w:rsidRDefault="005B5EC1" w:rsidP="005B5EC1">
            <w:pPr>
              <w:spacing w:after="0" w:line="276" w:lineRule="auto"/>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CE34FD6" w14:textId="77777777" w:rsidR="005B5EC1" w:rsidRPr="005B5EC1" w:rsidRDefault="005B5EC1" w:rsidP="005B5EC1">
            <w:pPr>
              <w:spacing w:after="0" w:line="276" w:lineRule="auto"/>
              <w:rPr>
                <w:rFonts w:ascii="Times New Roman" w:hAnsi="Times New Roman" w:cs="Times New Roman"/>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377ABEE0" w14:textId="77777777" w:rsidR="005B5EC1" w:rsidRPr="005B5EC1" w:rsidRDefault="005B5EC1" w:rsidP="005B5EC1">
            <w:pPr>
              <w:spacing w:after="0" w:line="276" w:lineRule="auto"/>
              <w:rPr>
                <w:rFonts w:ascii="Times New Roman" w:hAnsi="Times New Roman" w:cs="Times New Roman"/>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7AF97435"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5C6B188"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2955824" w14:textId="77777777" w:rsidR="005B5EC1" w:rsidRPr="005B5EC1" w:rsidRDefault="005B5EC1" w:rsidP="005B5EC1">
            <w:pPr>
              <w:spacing w:after="0" w:line="276" w:lineRule="auto"/>
              <w:rPr>
                <w:rFonts w:ascii="Times New Roman" w:hAnsi="Times New Roman" w:cs="Times New Roman"/>
              </w:rPr>
            </w:pPr>
          </w:p>
        </w:tc>
      </w:tr>
      <w:tr w:rsidR="005B5EC1" w:rsidRPr="005B5EC1" w14:paraId="0870742E"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483E7B88" w14:textId="77777777" w:rsidR="005B5EC1" w:rsidRPr="005B5EC1" w:rsidRDefault="005B5EC1" w:rsidP="005B5EC1">
            <w:pPr>
              <w:spacing w:after="0" w:line="276" w:lineRule="auto"/>
              <w:rPr>
                <w:rFonts w:ascii="Times New Roman" w:eastAsia="宋体" w:hAnsi="Times New Roman" w:cs="Times New Roman"/>
                <w:sz w:val="18"/>
                <w:szCs w:val="18"/>
              </w:rPr>
            </w:pP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2015FAA8"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063DC83D"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0B37916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6DD1A33C"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DCB39F7"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87B9785"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32B22F65"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5D25B84A"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按合同期限分</w:t>
            </w:r>
            <w:r w:rsidRPr="005B5EC1">
              <w:rPr>
                <w:rFonts w:ascii="Times New Roman" w:eastAsia="宋体" w:hAnsi="Times New Roman" w:cs="Times New Roman"/>
                <w:sz w:val="18"/>
                <w:szCs w:val="18"/>
              </w:rPr>
              <w:lastRenderedPageBreak/>
              <w:t>类</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0B1BD5D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45E73C3F"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52FF1DFE"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202E82B3"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BEC4D58"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35FF120"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0E0FB166"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78D0F634"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其中：</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038211CB" w14:textId="77777777" w:rsidR="005B5EC1" w:rsidRPr="005B5EC1" w:rsidRDefault="005B5EC1" w:rsidP="005B5EC1">
            <w:pPr>
              <w:spacing w:after="0" w:line="276" w:lineRule="auto"/>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2FF1579D" w14:textId="77777777" w:rsidR="005B5EC1" w:rsidRPr="005B5EC1" w:rsidRDefault="005B5EC1" w:rsidP="005B5EC1">
            <w:pPr>
              <w:spacing w:after="0" w:line="276" w:lineRule="auto"/>
              <w:rPr>
                <w:rFonts w:ascii="Times New Roman" w:hAnsi="Times New Roman" w:cs="Times New Roman"/>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58BAE4B8" w14:textId="77777777" w:rsidR="005B5EC1" w:rsidRPr="005B5EC1" w:rsidRDefault="005B5EC1" w:rsidP="005B5EC1">
            <w:pPr>
              <w:spacing w:after="0" w:line="276" w:lineRule="auto"/>
              <w:rPr>
                <w:rFonts w:ascii="Times New Roman" w:hAnsi="Times New Roman" w:cs="Times New Roman"/>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14E55A03"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82F1B8E"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240E14B" w14:textId="77777777" w:rsidR="005B5EC1" w:rsidRPr="005B5EC1" w:rsidRDefault="005B5EC1" w:rsidP="005B5EC1">
            <w:pPr>
              <w:spacing w:after="0" w:line="276" w:lineRule="auto"/>
              <w:rPr>
                <w:rFonts w:ascii="Times New Roman" w:hAnsi="Times New Roman" w:cs="Times New Roman"/>
              </w:rPr>
            </w:pPr>
          </w:p>
        </w:tc>
      </w:tr>
      <w:tr w:rsidR="005B5EC1" w:rsidRPr="005B5EC1" w14:paraId="200BC3F4"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0B153D8C" w14:textId="77777777" w:rsidR="005B5EC1" w:rsidRPr="005B5EC1" w:rsidRDefault="005B5EC1" w:rsidP="005B5EC1">
            <w:pPr>
              <w:spacing w:after="0" w:line="276" w:lineRule="auto"/>
              <w:rPr>
                <w:rFonts w:ascii="Times New Roman" w:eastAsia="宋体" w:hAnsi="Times New Roman" w:cs="Times New Roman"/>
                <w:sz w:val="18"/>
                <w:szCs w:val="18"/>
              </w:rPr>
            </w:pP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48E6E3C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5CBCFA7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58E0C73F"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4248A1F0"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0768949"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E7D82B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13DDE3C5"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7E692095"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按销售渠道分类</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2213F622"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2D62F85"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1DE9F1DC"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32F0582B"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3B64DB91"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748186D"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2453328A"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4277ABB2"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 xml:space="preserve">　其中：</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0402AF2C" w14:textId="77777777" w:rsidR="005B5EC1" w:rsidRPr="005B5EC1" w:rsidRDefault="005B5EC1" w:rsidP="005B5EC1">
            <w:pPr>
              <w:spacing w:after="0" w:line="276" w:lineRule="auto"/>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606E6D9" w14:textId="77777777" w:rsidR="005B5EC1" w:rsidRPr="005B5EC1" w:rsidRDefault="005B5EC1" w:rsidP="005B5EC1">
            <w:pPr>
              <w:spacing w:after="0" w:line="276" w:lineRule="auto"/>
              <w:rPr>
                <w:rFonts w:ascii="Times New Roman" w:hAnsi="Times New Roman" w:cs="Times New Roman"/>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01D3180F" w14:textId="77777777" w:rsidR="005B5EC1" w:rsidRPr="005B5EC1" w:rsidRDefault="005B5EC1" w:rsidP="005B5EC1">
            <w:pPr>
              <w:spacing w:after="0" w:line="276" w:lineRule="auto"/>
              <w:rPr>
                <w:rFonts w:ascii="Times New Roman" w:hAnsi="Times New Roman" w:cs="Times New Roman"/>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1A4EA96E"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E12EE79" w14:textId="77777777" w:rsidR="005B5EC1" w:rsidRPr="005B5EC1" w:rsidRDefault="005B5EC1" w:rsidP="005B5EC1">
            <w:pPr>
              <w:spacing w:after="0" w:line="276" w:lineRule="auto"/>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7535E3E" w14:textId="77777777" w:rsidR="005B5EC1" w:rsidRPr="005B5EC1" w:rsidRDefault="005B5EC1" w:rsidP="005B5EC1">
            <w:pPr>
              <w:spacing w:after="0" w:line="276" w:lineRule="auto"/>
              <w:rPr>
                <w:rFonts w:ascii="Times New Roman" w:hAnsi="Times New Roman" w:cs="Times New Roman"/>
              </w:rPr>
            </w:pPr>
          </w:p>
        </w:tc>
      </w:tr>
      <w:tr w:rsidR="005B5EC1" w:rsidRPr="005B5EC1" w14:paraId="42D28207"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26C68C96" w14:textId="77777777" w:rsidR="005B5EC1" w:rsidRPr="005B5EC1" w:rsidRDefault="005B5EC1" w:rsidP="005B5EC1">
            <w:pPr>
              <w:spacing w:after="0" w:line="276" w:lineRule="auto"/>
              <w:rPr>
                <w:rFonts w:ascii="Times New Roman" w:eastAsia="宋体" w:hAnsi="Times New Roman" w:cs="Times New Roman"/>
                <w:sz w:val="18"/>
                <w:szCs w:val="18"/>
              </w:rPr>
            </w:pP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2A0C0FAA"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2BC1B6F0"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4193E849"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6242FCDA"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71A8D33"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0A7DCE9"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r>
      <w:tr w:rsidR="005B5EC1" w:rsidRPr="005B5EC1" w14:paraId="4F5D28F5" w14:textId="77777777" w:rsidTr="005B5EC1">
        <w:trPr>
          <w:trHeight w:val="244"/>
          <w:jc w:val="center"/>
        </w:trPr>
        <w:tc>
          <w:tcPr>
            <w:tcW w:w="1369" w:type="dxa"/>
            <w:tcBorders>
              <w:top w:val="single" w:sz="2" w:space="0" w:color="auto"/>
              <w:left w:val="single" w:sz="2" w:space="0" w:color="auto"/>
              <w:bottom w:val="single" w:sz="2" w:space="0" w:color="auto"/>
              <w:right w:val="single" w:sz="2" w:space="0" w:color="auto"/>
            </w:tcBorders>
            <w:shd w:val="clear" w:color="auto" w:fill="auto"/>
            <w:vAlign w:val="center"/>
          </w:tcPr>
          <w:p w14:paraId="20D326E7" w14:textId="77777777" w:rsidR="005B5EC1" w:rsidRPr="005B5EC1" w:rsidRDefault="005B5EC1" w:rsidP="005B5EC1">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466" w:type="dxa"/>
            <w:tcBorders>
              <w:top w:val="single" w:sz="2" w:space="0" w:color="auto"/>
              <w:left w:val="single" w:sz="2" w:space="0" w:color="auto"/>
              <w:bottom w:val="single" w:sz="2" w:space="0" w:color="auto"/>
              <w:right w:val="single" w:sz="2" w:space="0" w:color="auto"/>
            </w:tcBorders>
            <w:shd w:val="clear" w:color="auto" w:fill="auto"/>
            <w:vAlign w:val="center"/>
          </w:tcPr>
          <w:p w14:paraId="5F88417C"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10,989,671,145.22</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09451C86"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10,551,841,009.60</w:t>
            </w:r>
          </w:p>
        </w:tc>
        <w:tc>
          <w:tcPr>
            <w:tcW w:w="1081" w:type="dxa"/>
            <w:tcBorders>
              <w:top w:val="single" w:sz="2" w:space="0" w:color="auto"/>
              <w:left w:val="single" w:sz="2" w:space="0" w:color="auto"/>
              <w:bottom w:val="single" w:sz="2" w:space="0" w:color="auto"/>
              <w:right w:val="single" w:sz="2" w:space="0" w:color="auto"/>
            </w:tcBorders>
            <w:shd w:val="clear" w:color="auto" w:fill="auto"/>
            <w:vAlign w:val="center"/>
          </w:tcPr>
          <w:p w14:paraId="3B63F86D"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136" w:type="dxa"/>
            <w:tcBorders>
              <w:top w:val="single" w:sz="2" w:space="0" w:color="auto"/>
              <w:left w:val="single" w:sz="2" w:space="0" w:color="auto"/>
              <w:bottom w:val="single" w:sz="2" w:space="0" w:color="auto"/>
              <w:right w:val="single" w:sz="2" w:space="0" w:color="auto"/>
            </w:tcBorders>
            <w:shd w:val="clear" w:color="auto" w:fill="auto"/>
            <w:vAlign w:val="center"/>
          </w:tcPr>
          <w:p w14:paraId="053E4CD6" w14:textId="77777777" w:rsidR="005B5EC1" w:rsidRPr="005B5EC1" w:rsidRDefault="005B5EC1" w:rsidP="005B5EC1">
            <w:pPr>
              <w:spacing w:after="0" w:line="276" w:lineRule="auto"/>
              <w:jc w:val="right"/>
              <w:rPr>
                <w:rFonts w:ascii="Times New Roman" w:eastAsia="宋体" w:hAnsi="Times New Roman" w:cs="Times New Roman"/>
                <w:sz w:val="18"/>
                <w:szCs w:val="18"/>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6FAAF64"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10,989,671,145.22</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A2743B3" w14:textId="77777777" w:rsidR="005B5EC1" w:rsidRPr="005B5EC1" w:rsidRDefault="005B5EC1" w:rsidP="005B5EC1">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10,551,841,009.60</w:t>
            </w:r>
          </w:p>
        </w:tc>
      </w:tr>
    </w:tbl>
    <w:p w14:paraId="43F90D7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与履约义务相关的信息：</w:t>
      </w:r>
    </w:p>
    <w:p w14:paraId="4485FBCC" w14:textId="77777777" w:rsidR="00E32FE0" w:rsidRPr="005B5EC1" w:rsidRDefault="00E32FE0">
      <w:pPr>
        <w:spacing w:after="0" w:line="0" w:lineRule="atLeast"/>
        <w:rPr>
          <w:rFonts w:ascii="Times New Roman" w:hAnsi="Times New Roman" w:cs="Times New Roman"/>
        </w:rPr>
      </w:pP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348CB7C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19A71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A2BD8F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履行履约义务的时间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F309EF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重要的支付条款</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74EDB3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公司承诺转让商品的性质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73BDDD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是否为主要责任人</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EBB32E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公司承担的预期将退还给客户的款项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9C12D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公司提供的质量保证类型及相关义务</w:t>
            </w:r>
          </w:p>
        </w:tc>
      </w:tr>
    </w:tbl>
    <w:p w14:paraId="1572FAB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770881B6" w14:textId="77777777" w:rsidR="00AF139E" w:rsidRPr="005B5EC1" w:rsidRDefault="00000000" w:rsidP="005B5EC1">
      <w:pPr>
        <w:pStyle w:val="a3"/>
        <w:spacing w:before="0" w:beforeAutospacing="0" w:after="0" w:afterAutospacing="0" w:line="276" w:lineRule="auto"/>
        <w:ind w:firstLine="357"/>
        <w:jc w:val="both"/>
        <w:divId w:val="2035232857"/>
        <w:rPr>
          <w:rFonts w:ascii="Times New Roman" w:hAnsi="Times New Roman" w:cs="Times New Roman"/>
          <w:sz w:val="21"/>
          <w:szCs w:val="21"/>
        </w:rPr>
      </w:pPr>
      <w:r w:rsidRPr="005B5EC1">
        <w:rPr>
          <w:rFonts w:ascii="Times New Roman" w:hAnsi="Times New Roman" w:cs="Times New Roman"/>
          <w:sz w:val="18"/>
          <w:szCs w:val="18"/>
        </w:rPr>
        <w:t>本集团销售履约义务通常的履行时间在</w:t>
      </w:r>
      <w:r w:rsidRPr="005B5EC1">
        <w:rPr>
          <w:rFonts w:ascii="Times New Roman" w:hAnsi="Times New Roman" w:cs="Times New Roman"/>
          <w:sz w:val="18"/>
          <w:szCs w:val="18"/>
        </w:rPr>
        <w:t>3</w:t>
      </w:r>
      <w:r w:rsidRPr="005B5EC1">
        <w:rPr>
          <w:rFonts w:ascii="Times New Roman" w:hAnsi="Times New Roman" w:cs="Times New Roman"/>
          <w:sz w:val="18"/>
          <w:szCs w:val="18"/>
        </w:rPr>
        <w:t>个月以内，本集团根据不同客户采取预收款或提供账期。本集团作为主要责任人直接进行销售，一般在发货的同时或者将货物送达客户指定的目的地，商品控制权转移给客户，本集团取得无条件收款权利。</w:t>
      </w:r>
    </w:p>
    <w:p w14:paraId="1C65176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与分摊至剩余履约义务的交易价格相关的信息：</w:t>
      </w:r>
    </w:p>
    <w:p w14:paraId="6D3FC705" w14:textId="77777777" w:rsidR="00E32FE0" w:rsidRPr="005B5EC1" w:rsidRDefault="00000000" w:rsidP="005B5EC1">
      <w:pPr>
        <w:pStyle w:val="a3"/>
        <w:spacing w:before="0" w:beforeAutospacing="0" w:after="0" w:afterAutospacing="0" w:line="276" w:lineRule="auto"/>
        <w:ind w:firstLine="357"/>
        <w:jc w:val="both"/>
        <w:rPr>
          <w:rFonts w:ascii="Times New Roman" w:hAnsi="Times New Roman" w:cs="Times New Roman"/>
          <w:sz w:val="18"/>
          <w:szCs w:val="18"/>
        </w:rPr>
      </w:pPr>
      <w:r w:rsidRPr="005B5EC1">
        <w:rPr>
          <w:rFonts w:ascii="Times New Roman" w:hAnsi="Times New Roman" w:cs="Times New Roman"/>
          <w:sz w:val="18"/>
          <w:szCs w:val="18"/>
        </w:rPr>
        <w:t>本报告期末已签订合同、但尚未履行或尚未履行完毕的履约义务所对应的收入金额为</w:t>
      </w:r>
      <w:r w:rsidRPr="005B5EC1">
        <w:rPr>
          <w:rFonts w:ascii="Times New Roman" w:hAnsi="Times New Roman" w:cs="Times New Roman"/>
          <w:sz w:val="18"/>
          <w:szCs w:val="18"/>
        </w:rPr>
        <w:t>0.00</w:t>
      </w:r>
      <w:r w:rsidRPr="005B5EC1">
        <w:rPr>
          <w:rFonts w:ascii="Times New Roman" w:hAnsi="Times New Roman" w:cs="Times New Roman"/>
          <w:sz w:val="18"/>
          <w:szCs w:val="18"/>
        </w:rPr>
        <w:t>元，其中，</w:t>
      </w:r>
      <w:r w:rsidRPr="005B5EC1">
        <w:rPr>
          <w:rFonts w:ascii="Times New Roman" w:hAnsi="Times New Roman" w:cs="Times New Roman"/>
          <w:sz w:val="18"/>
          <w:szCs w:val="18"/>
        </w:rPr>
        <w:t>0.00</w:t>
      </w:r>
      <w:r w:rsidRPr="005B5EC1">
        <w:rPr>
          <w:rFonts w:ascii="Times New Roman" w:hAnsi="Times New Roman" w:cs="Times New Roman"/>
          <w:sz w:val="18"/>
          <w:szCs w:val="18"/>
        </w:rPr>
        <w:t>元预计将于年度确认收入，</w:t>
      </w:r>
      <w:r w:rsidRPr="005B5EC1">
        <w:rPr>
          <w:rFonts w:ascii="Times New Roman" w:hAnsi="Times New Roman" w:cs="Times New Roman"/>
          <w:sz w:val="18"/>
          <w:szCs w:val="18"/>
        </w:rPr>
        <w:t>0.00</w:t>
      </w:r>
      <w:r w:rsidRPr="005B5EC1">
        <w:rPr>
          <w:rFonts w:ascii="Times New Roman" w:hAnsi="Times New Roman" w:cs="Times New Roman"/>
          <w:sz w:val="18"/>
          <w:szCs w:val="18"/>
        </w:rPr>
        <w:t>元预计将于年度确认收入，</w:t>
      </w:r>
      <w:r w:rsidRPr="005B5EC1">
        <w:rPr>
          <w:rFonts w:ascii="Times New Roman" w:hAnsi="Times New Roman" w:cs="Times New Roman"/>
          <w:sz w:val="18"/>
          <w:szCs w:val="18"/>
        </w:rPr>
        <w:t>0.00</w:t>
      </w:r>
      <w:r w:rsidRPr="005B5EC1">
        <w:rPr>
          <w:rFonts w:ascii="Times New Roman" w:hAnsi="Times New Roman" w:cs="Times New Roman"/>
          <w:sz w:val="18"/>
          <w:szCs w:val="18"/>
        </w:rPr>
        <w:t>元预计将于年度确认收入。</w:t>
      </w:r>
    </w:p>
    <w:p w14:paraId="42C30DA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合同中可变对价相关信息：</w:t>
      </w:r>
    </w:p>
    <w:p w14:paraId="4FEF2C1C" w14:textId="77777777" w:rsidR="00AF139E" w:rsidRPr="005B5EC1" w:rsidRDefault="00000000">
      <w:pPr>
        <w:pStyle w:val="a3"/>
        <w:divId w:val="1750224626"/>
        <w:rPr>
          <w:rFonts w:ascii="Times New Roman" w:hAnsi="Times New Roman" w:cs="Times New Roman"/>
          <w:sz w:val="18"/>
          <w:szCs w:val="18"/>
        </w:rPr>
      </w:pPr>
      <w:r w:rsidRPr="005B5EC1">
        <w:rPr>
          <w:rFonts w:ascii="Times New Roman" w:hAnsi="Times New Roman" w:cs="Times New Roman"/>
          <w:sz w:val="18"/>
          <w:szCs w:val="18"/>
        </w:rPr>
        <w:t>无</w:t>
      </w:r>
    </w:p>
    <w:p w14:paraId="257C1EB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重大合同变更或重大交易价格调整</w:t>
      </w:r>
    </w:p>
    <w:p w14:paraId="25B32594"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0D24C4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B5631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A7A91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会计处理方法</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0EF6F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对收入的影响金额</w:t>
            </w:r>
          </w:p>
        </w:tc>
      </w:tr>
    </w:tbl>
    <w:p w14:paraId="5690AF5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07A36E5B" w14:textId="77777777" w:rsidR="00AF139E" w:rsidRPr="005B5EC1" w:rsidRDefault="00000000">
      <w:pPr>
        <w:pStyle w:val="a3"/>
        <w:divId w:val="702023088"/>
        <w:rPr>
          <w:rFonts w:ascii="Times New Roman" w:hAnsi="Times New Roman" w:cs="Times New Roman"/>
          <w:sz w:val="18"/>
          <w:szCs w:val="18"/>
        </w:rPr>
      </w:pPr>
      <w:r w:rsidRPr="005B5EC1">
        <w:rPr>
          <w:rFonts w:ascii="Times New Roman" w:hAnsi="Times New Roman" w:cs="Times New Roman"/>
          <w:sz w:val="18"/>
          <w:szCs w:val="18"/>
        </w:rPr>
        <w:t>无</w:t>
      </w:r>
    </w:p>
    <w:p w14:paraId="23CD530E" w14:textId="77777777" w:rsidR="00E32FE0" w:rsidRPr="005B5EC1" w:rsidRDefault="00000000">
      <w:pPr>
        <w:pStyle w:val="3"/>
        <w:spacing w:line="280" w:lineRule="exact"/>
        <w:jc w:val="left"/>
        <w:rPr>
          <w:rFonts w:ascii="Times New Roman" w:hAnsi="Times New Roman" w:cs="Times New Roman"/>
          <w:b/>
          <w:bCs/>
        </w:rPr>
      </w:pPr>
      <w:bookmarkStart w:id="381" w:name="_Toc989309"/>
      <w:r w:rsidRPr="005B5EC1">
        <w:rPr>
          <w:rFonts w:ascii="Times New Roman" w:hAnsi="Times New Roman" w:cs="Times New Roman"/>
          <w:b/>
          <w:bCs/>
        </w:rPr>
        <w:t>61</w:t>
      </w:r>
      <w:r w:rsidRPr="005B5EC1">
        <w:rPr>
          <w:rFonts w:ascii="Times New Roman" w:hAnsi="Times New Roman" w:cs="Times New Roman"/>
          <w:b/>
          <w:bCs/>
        </w:rPr>
        <w:t>、税金及附加</w:t>
      </w:r>
      <w:bookmarkEnd w:id="381"/>
    </w:p>
    <w:p w14:paraId="16F80A3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F7F28B3"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4ABC5E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CD503E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3041AA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702388E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491F1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C397F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197,007.70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4EE96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472,159.05</w:t>
            </w:r>
          </w:p>
        </w:tc>
      </w:tr>
      <w:tr w:rsidR="00E32FE0" w:rsidRPr="005B5EC1" w14:paraId="0D707526"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48F99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09AE0C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140,448.81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AD24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378,411.14</w:t>
            </w:r>
          </w:p>
        </w:tc>
      </w:tr>
      <w:tr w:rsidR="00E32FE0" w:rsidRPr="005B5EC1" w14:paraId="64A80F10"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E4ADC9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房产税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8FE660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7,184,459.98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29C63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6,883,409.13</w:t>
            </w:r>
          </w:p>
        </w:tc>
      </w:tr>
      <w:tr w:rsidR="00E32FE0" w:rsidRPr="005B5EC1" w14:paraId="320D28F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56D80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4A971D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4,287,411.47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380DF8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4,855,922.49</w:t>
            </w:r>
          </w:p>
        </w:tc>
      </w:tr>
      <w:tr w:rsidR="00E32FE0" w:rsidRPr="005B5EC1" w14:paraId="572A384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DEA936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B24DA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35,148.60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EA36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44,532.65</w:t>
            </w:r>
          </w:p>
        </w:tc>
      </w:tr>
      <w:tr w:rsidR="00E32FE0" w:rsidRPr="005B5EC1" w14:paraId="33FF8E3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9BD8B2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印花税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903A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8,450,247.58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310BB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9,926,274.16</w:t>
            </w:r>
          </w:p>
        </w:tc>
      </w:tr>
      <w:tr w:rsidR="00E32FE0" w:rsidRPr="005B5EC1" w14:paraId="4A06206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DFFA92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水利建设基金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40A01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5,526.30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FAE3E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4,099.54</w:t>
            </w:r>
          </w:p>
        </w:tc>
      </w:tr>
      <w:tr w:rsidR="00E32FE0" w:rsidRPr="005B5EC1" w14:paraId="060A0EBB"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817246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水资源税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ADC7A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504,078.80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75C2B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525,886.40</w:t>
            </w:r>
          </w:p>
        </w:tc>
      </w:tr>
      <w:tr w:rsidR="00E32FE0" w:rsidRPr="005B5EC1" w14:paraId="1542C06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AE3BD9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环保税</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DEC9F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42,941.34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B3795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32,699.90</w:t>
            </w:r>
          </w:p>
        </w:tc>
      </w:tr>
      <w:tr w:rsidR="00E32FE0" w:rsidRPr="005B5EC1" w14:paraId="088ED453"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DBA89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1DFE1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20,847,270.58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4D9F4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23,123,394.46</w:t>
            </w:r>
          </w:p>
        </w:tc>
      </w:tr>
    </w:tbl>
    <w:p w14:paraId="6A74299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其他说明：</w:t>
      </w:r>
    </w:p>
    <w:p w14:paraId="056BD9CD" w14:textId="77777777" w:rsidR="00AF139E" w:rsidRPr="005B5EC1" w:rsidRDefault="00000000">
      <w:pPr>
        <w:pStyle w:val="a3"/>
        <w:divId w:val="1033076032"/>
        <w:rPr>
          <w:rFonts w:ascii="Times New Roman" w:hAnsi="Times New Roman" w:cs="Times New Roman"/>
          <w:sz w:val="18"/>
          <w:szCs w:val="18"/>
        </w:rPr>
      </w:pPr>
      <w:r w:rsidRPr="005B5EC1">
        <w:rPr>
          <w:rFonts w:ascii="Times New Roman" w:hAnsi="Times New Roman" w:cs="Times New Roman"/>
          <w:sz w:val="18"/>
          <w:szCs w:val="18"/>
        </w:rPr>
        <w:t>无</w:t>
      </w:r>
    </w:p>
    <w:p w14:paraId="158F4872" w14:textId="77777777" w:rsidR="00E32FE0" w:rsidRPr="005B5EC1" w:rsidRDefault="00000000">
      <w:pPr>
        <w:pStyle w:val="3"/>
        <w:spacing w:line="280" w:lineRule="exact"/>
        <w:jc w:val="left"/>
        <w:rPr>
          <w:rFonts w:ascii="Times New Roman" w:hAnsi="Times New Roman" w:cs="Times New Roman"/>
          <w:b/>
          <w:bCs/>
        </w:rPr>
      </w:pPr>
      <w:bookmarkStart w:id="382" w:name="_Toc989310"/>
      <w:r w:rsidRPr="005B5EC1">
        <w:rPr>
          <w:rFonts w:ascii="Times New Roman" w:hAnsi="Times New Roman" w:cs="Times New Roman"/>
          <w:b/>
          <w:bCs/>
        </w:rPr>
        <w:t>62</w:t>
      </w:r>
      <w:r w:rsidRPr="005B5EC1">
        <w:rPr>
          <w:rFonts w:ascii="Times New Roman" w:hAnsi="Times New Roman" w:cs="Times New Roman"/>
          <w:b/>
          <w:bCs/>
        </w:rPr>
        <w:t>、管理费用</w:t>
      </w:r>
      <w:bookmarkEnd w:id="382"/>
    </w:p>
    <w:p w14:paraId="34DAEF05"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6C9AC9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104FB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2CFAC9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41E3AF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612E32D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1EFDF6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工资</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A5B0A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101,940,366.85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B469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115,970,818.40</w:t>
            </w:r>
          </w:p>
        </w:tc>
      </w:tr>
      <w:tr w:rsidR="00E32FE0" w:rsidRPr="005B5EC1" w14:paraId="6FDB632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4625C1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仓储费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C74D3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12,464,748.55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D71F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16,936,952.86</w:t>
            </w:r>
          </w:p>
        </w:tc>
      </w:tr>
      <w:tr w:rsidR="00E32FE0" w:rsidRPr="005B5EC1" w14:paraId="54C8B6F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78329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折旧费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3916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58,885,869.81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0F08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49,112,783.06</w:t>
            </w:r>
          </w:p>
        </w:tc>
      </w:tr>
      <w:tr w:rsidR="00E32FE0" w:rsidRPr="005B5EC1" w14:paraId="66AB464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31FC0C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432673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3,365,995.16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AF28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4,891,162.79</w:t>
            </w:r>
          </w:p>
        </w:tc>
      </w:tr>
      <w:tr w:rsidR="00E32FE0" w:rsidRPr="005B5EC1" w14:paraId="6D6CEDF2"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3B4064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差旅费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62C9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3,986,165.78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4D86A2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4,703,474.81</w:t>
            </w:r>
          </w:p>
        </w:tc>
      </w:tr>
      <w:tr w:rsidR="00E32FE0" w:rsidRPr="005B5EC1" w14:paraId="507C625C"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6F15B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修理费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491CB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3,793,620.93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3E0C1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2,758,841.23</w:t>
            </w:r>
          </w:p>
        </w:tc>
      </w:tr>
      <w:tr w:rsidR="00E32FE0" w:rsidRPr="005B5EC1" w14:paraId="43574B9B"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D6454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2C97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65,881,231.78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B05F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94,999,246.18</w:t>
            </w:r>
          </w:p>
        </w:tc>
      </w:tr>
      <w:tr w:rsidR="00E32FE0" w:rsidRPr="005B5EC1" w14:paraId="68E9241B"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6FC4BE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7F7EE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250,317,998.86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D733C9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289,373,279.33</w:t>
            </w:r>
          </w:p>
        </w:tc>
      </w:tr>
    </w:tbl>
    <w:p w14:paraId="531B0E2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4FFBC38A" w14:textId="77777777" w:rsidR="00AF139E" w:rsidRPr="005B5EC1" w:rsidRDefault="00000000">
      <w:pPr>
        <w:pStyle w:val="a3"/>
        <w:divId w:val="1082071105"/>
        <w:rPr>
          <w:rFonts w:ascii="Times New Roman" w:hAnsi="Times New Roman" w:cs="Times New Roman"/>
          <w:sz w:val="18"/>
          <w:szCs w:val="18"/>
        </w:rPr>
      </w:pPr>
      <w:r w:rsidRPr="005B5EC1">
        <w:rPr>
          <w:rFonts w:ascii="Times New Roman" w:hAnsi="Times New Roman" w:cs="Times New Roman"/>
          <w:sz w:val="18"/>
          <w:szCs w:val="18"/>
        </w:rPr>
        <w:t>无</w:t>
      </w:r>
    </w:p>
    <w:p w14:paraId="08897441" w14:textId="77777777" w:rsidR="00E32FE0" w:rsidRPr="005B5EC1" w:rsidRDefault="00000000">
      <w:pPr>
        <w:pStyle w:val="3"/>
        <w:spacing w:line="280" w:lineRule="exact"/>
        <w:jc w:val="left"/>
        <w:rPr>
          <w:rFonts w:ascii="Times New Roman" w:hAnsi="Times New Roman" w:cs="Times New Roman"/>
          <w:b/>
          <w:bCs/>
        </w:rPr>
      </w:pPr>
      <w:bookmarkStart w:id="383" w:name="_Toc989311"/>
      <w:r w:rsidRPr="005B5EC1">
        <w:rPr>
          <w:rFonts w:ascii="Times New Roman" w:hAnsi="Times New Roman" w:cs="Times New Roman"/>
          <w:b/>
          <w:bCs/>
        </w:rPr>
        <w:t>63</w:t>
      </w:r>
      <w:r w:rsidRPr="005B5EC1">
        <w:rPr>
          <w:rFonts w:ascii="Times New Roman" w:hAnsi="Times New Roman" w:cs="Times New Roman"/>
          <w:b/>
          <w:bCs/>
        </w:rPr>
        <w:t>、销售费用</w:t>
      </w:r>
      <w:bookmarkEnd w:id="383"/>
    </w:p>
    <w:p w14:paraId="1C3DA367"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DF7F70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3B26C5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EF298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BBFF3C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7BD24A96"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CCCAA5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工资</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B0EEC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62,593,625.06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8C43F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79,173,533.02</w:t>
            </w:r>
          </w:p>
        </w:tc>
      </w:tr>
      <w:tr w:rsidR="00E32FE0" w:rsidRPr="005B5EC1" w14:paraId="04306B49"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845CC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广告费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9E7CA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140,594.65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4528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266,148.53</w:t>
            </w:r>
          </w:p>
        </w:tc>
      </w:tr>
      <w:tr w:rsidR="00E32FE0" w:rsidRPr="005B5EC1" w14:paraId="37C2B322"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090717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差旅费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05DA0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3,327,591.02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2E5DF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3,376,199.21</w:t>
            </w:r>
          </w:p>
        </w:tc>
      </w:tr>
      <w:tr w:rsidR="00E32FE0" w:rsidRPr="005B5EC1" w14:paraId="48638D51"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35EFD8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折旧费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E3156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523,252.82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E25F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748,634.58</w:t>
            </w:r>
          </w:p>
        </w:tc>
      </w:tr>
      <w:tr w:rsidR="00E32FE0" w:rsidRPr="005B5EC1" w14:paraId="22ADEAF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E31421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租赁费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2C1CB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1,717,951.24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FB9B6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2,574,277.54</w:t>
            </w:r>
          </w:p>
        </w:tc>
      </w:tr>
      <w:tr w:rsidR="00E32FE0" w:rsidRPr="005B5EC1" w14:paraId="2D6556D6"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51BE48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仓储费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1A6D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1,141,207.59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DB2D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16,587,132.73</w:t>
            </w:r>
          </w:p>
        </w:tc>
      </w:tr>
      <w:tr w:rsidR="00E32FE0" w:rsidRPr="005B5EC1" w14:paraId="22B323B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3C119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服务费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1F27D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22,566,968.84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D87F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26,915,626.75</w:t>
            </w:r>
          </w:p>
        </w:tc>
      </w:tr>
      <w:tr w:rsidR="00E32FE0" w:rsidRPr="005B5EC1" w14:paraId="3AA6BFD0"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6EFC2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装卸费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CC2CA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8,194.01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D8C2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1,817,992.76</w:t>
            </w:r>
          </w:p>
        </w:tc>
      </w:tr>
      <w:tr w:rsidR="00E32FE0" w:rsidRPr="005B5EC1" w14:paraId="26AEE2D0"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A1952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修理费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856E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25,061.56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1F09C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43,540.89</w:t>
            </w:r>
          </w:p>
        </w:tc>
      </w:tr>
      <w:tr w:rsidR="00E32FE0" w:rsidRPr="005B5EC1" w14:paraId="4FFBA32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4002C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8B775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10,894,479.12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1233D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19,787,439.17</w:t>
            </w:r>
          </w:p>
        </w:tc>
      </w:tr>
      <w:tr w:rsidR="00E32FE0" w:rsidRPr="005B5EC1" w14:paraId="4FFF814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3AF03D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C32D5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102,938,925.91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5260E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151,290,525.18</w:t>
            </w:r>
          </w:p>
        </w:tc>
      </w:tr>
    </w:tbl>
    <w:p w14:paraId="1810656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480DFE20" w14:textId="77777777" w:rsidR="00AF139E" w:rsidRPr="005B5EC1" w:rsidRDefault="00000000">
      <w:pPr>
        <w:pStyle w:val="a3"/>
        <w:divId w:val="2002661694"/>
        <w:rPr>
          <w:rFonts w:ascii="Times New Roman" w:hAnsi="Times New Roman" w:cs="Times New Roman"/>
          <w:sz w:val="18"/>
          <w:szCs w:val="18"/>
        </w:rPr>
      </w:pPr>
      <w:r w:rsidRPr="005B5EC1">
        <w:rPr>
          <w:rFonts w:ascii="Times New Roman" w:hAnsi="Times New Roman" w:cs="Times New Roman"/>
          <w:sz w:val="18"/>
          <w:szCs w:val="18"/>
        </w:rPr>
        <w:t>无</w:t>
      </w:r>
    </w:p>
    <w:p w14:paraId="5BDADAD4" w14:textId="77777777" w:rsidR="00E32FE0" w:rsidRPr="005B5EC1" w:rsidRDefault="00000000">
      <w:pPr>
        <w:pStyle w:val="3"/>
        <w:spacing w:line="280" w:lineRule="exact"/>
        <w:jc w:val="left"/>
        <w:rPr>
          <w:rFonts w:ascii="Times New Roman" w:hAnsi="Times New Roman" w:cs="Times New Roman"/>
          <w:b/>
          <w:bCs/>
        </w:rPr>
      </w:pPr>
      <w:bookmarkStart w:id="384" w:name="_Toc989312"/>
      <w:r w:rsidRPr="005B5EC1">
        <w:rPr>
          <w:rFonts w:ascii="Times New Roman" w:hAnsi="Times New Roman" w:cs="Times New Roman"/>
          <w:b/>
          <w:bCs/>
        </w:rPr>
        <w:t>64</w:t>
      </w:r>
      <w:r w:rsidRPr="005B5EC1">
        <w:rPr>
          <w:rFonts w:ascii="Times New Roman" w:hAnsi="Times New Roman" w:cs="Times New Roman"/>
          <w:b/>
          <w:bCs/>
        </w:rPr>
        <w:t>、研发费用</w:t>
      </w:r>
      <w:bookmarkEnd w:id="384"/>
    </w:p>
    <w:p w14:paraId="7609E29C"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13709AC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47749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503FF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B387E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6BAF7EAB"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EEAE8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原材料</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CAAD3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2,013,876.99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08865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1,266,552.55</w:t>
            </w:r>
          </w:p>
        </w:tc>
      </w:tr>
      <w:tr w:rsidR="00E32FE0" w:rsidRPr="005B5EC1" w14:paraId="1B456623"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69B544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工资费用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FFC8F2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4,479,554.01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70C3B2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7,064,939.63</w:t>
            </w:r>
          </w:p>
        </w:tc>
      </w:tr>
      <w:tr w:rsidR="00E32FE0" w:rsidRPr="005B5EC1" w14:paraId="5A2AE50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06C1DF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折旧费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EC556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942,980.83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38616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685,862.41</w:t>
            </w:r>
          </w:p>
        </w:tc>
      </w:tr>
      <w:tr w:rsidR="00E32FE0" w:rsidRPr="005B5EC1" w14:paraId="1FAA7B0D"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AA22B3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差旅费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A5FE0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334,565.21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29DA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356,447.63</w:t>
            </w:r>
          </w:p>
        </w:tc>
      </w:tr>
      <w:tr w:rsidR="00E32FE0" w:rsidRPr="005B5EC1" w14:paraId="1C057721"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A3F58B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其他费用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B3B71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110,568.43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26F89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243,908.30</w:t>
            </w:r>
          </w:p>
        </w:tc>
      </w:tr>
      <w:tr w:rsidR="00E32FE0" w:rsidRPr="005B5EC1" w14:paraId="28CDA6F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8B7ECA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2FF91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7,881,545.47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18A11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9,617,710.52</w:t>
            </w:r>
          </w:p>
        </w:tc>
      </w:tr>
    </w:tbl>
    <w:p w14:paraId="748B91F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96CCC6D" w14:textId="77777777" w:rsidR="00AF139E" w:rsidRPr="005B5EC1" w:rsidRDefault="00000000">
      <w:pPr>
        <w:pStyle w:val="a3"/>
        <w:divId w:val="2077631595"/>
        <w:rPr>
          <w:rFonts w:ascii="Times New Roman" w:hAnsi="Times New Roman" w:cs="Times New Roman"/>
          <w:sz w:val="18"/>
          <w:szCs w:val="18"/>
        </w:rPr>
      </w:pPr>
      <w:r w:rsidRPr="005B5EC1">
        <w:rPr>
          <w:rFonts w:ascii="Times New Roman" w:hAnsi="Times New Roman" w:cs="Times New Roman"/>
          <w:sz w:val="18"/>
          <w:szCs w:val="18"/>
        </w:rPr>
        <w:lastRenderedPageBreak/>
        <w:t>无</w:t>
      </w:r>
    </w:p>
    <w:p w14:paraId="4DEB394E" w14:textId="77777777" w:rsidR="00E32FE0" w:rsidRPr="005B5EC1" w:rsidRDefault="00000000">
      <w:pPr>
        <w:pStyle w:val="3"/>
        <w:spacing w:line="280" w:lineRule="exact"/>
        <w:jc w:val="left"/>
        <w:rPr>
          <w:rFonts w:ascii="Times New Roman" w:hAnsi="Times New Roman" w:cs="Times New Roman"/>
          <w:b/>
          <w:bCs/>
        </w:rPr>
      </w:pPr>
      <w:bookmarkStart w:id="385" w:name="_Toc989313"/>
      <w:r w:rsidRPr="005B5EC1">
        <w:rPr>
          <w:rFonts w:ascii="Times New Roman" w:hAnsi="Times New Roman" w:cs="Times New Roman"/>
          <w:b/>
          <w:bCs/>
        </w:rPr>
        <w:t>65</w:t>
      </w:r>
      <w:r w:rsidRPr="005B5EC1">
        <w:rPr>
          <w:rFonts w:ascii="Times New Roman" w:hAnsi="Times New Roman" w:cs="Times New Roman"/>
          <w:b/>
          <w:bCs/>
        </w:rPr>
        <w:t>、财务费用</w:t>
      </w:r>
      <w:bookmarkEnd w:id="385"/>
    </w:p>
    <w:p w14:paraId="540238A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11118C2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445E4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DE163B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ABB5DF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6242BC7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93A747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利息支出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9280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106,031,201.34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95879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105,181,377.18</w:t>
            </w:r>
          </w:p>
        </w:tc>
      </w:tr>
      <w:tr w:rsidR="00E32FE0" w:rsidRPr="005B5EC1" w14:paraId="5933490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4642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减：利息收入</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3723E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-24,962,497.78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0C38E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-32,828,995.68</w:t>
            </w:r>
          </w:p>
        </w:tc>
      </w:tr>
      <w:tr w:rsidR="00E32FE0" w:rsidRPr="005B5EC1" w14:paraId="3EA92DEB"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F85F0E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手续费支出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077B9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1,836,350.78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204F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2,173,235.73</w:t>
            </w:r>
          </w:p>
        </w:tc>
      </w:tr>
      <w:tr w:rsidR="00E32FE0" w:rsidRPr="005B5EC1" w14:paraId="04C6A6A9"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B5373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汇兑损益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747BE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-24,625.76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C2085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-485,538.26</w:t>
            </w:r>
          </w:p>
        </w:tc>
      </w:tr>
      <w:tr w:rsidR="00E32FE0" w:rsidRPr="005B5EC1" w14:paraId="233E329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3F4459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融资相关费用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D1E5B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531,172.08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09871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442,424.90</w:t>
            </w:r>
          </w:p>
        </w:tc>
      </w:tr>
      <w:tr w:rsidR="00E32FE0" w:rsidRPr="005B5EC1" w14:paraId="792E2862"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427B27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1F6FA8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83,411,600.66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F662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74,482,503.87</w:t>
            </w:r>
          </w:p>
        </w:tc>
      </w:tr>
    </w:tbl>
    <w:p w14:paraId="7AD02DE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1F7E3CA8" w14:textId="77777777" w:rsidR="00AF139E" w:rsidRPr="005B5EC1" w:rsidRDefault="00000000">
      <w:pPr>
        <w:pStyle w:val="a3"/>
        <w:divId w:val="1836217517"/>
        <w:rPr>
          <w:rFonts w:ascii="Times New Roman" w:hAnsi="Times New Roman" w:cs="Times New Roman"/>
          <w:sz w:val="18"/>
          <w:szCs w:val="18"/>
        </w:rPr>
      </w:pPr>
      <w:r w:rsidRPr="005B5EC1">
        <w:rPr>
          <w:rFonts w:ascii="Times New Roman" w:hAnsi="Times New Roman" w:cs="Times New Roman"/>
          <w:sz w:val="18"/>
          <w:szCs w:val="18"/>
        </w:rPr>
        <w:t>无</w:t>
      </w:r>
    </w:p>
    <w:p w14:paraId="48E9B9FE" w14:textId="77777777" w:rsidR="00E32FE0" w:rsidRPr="005B5EC1" w:rsidRDefault="00000000">
      <w:pPr>
        <w:pStyle w:val="3"/>
        <w:spacing w:line="280" w:lineRule="exact"/>
        <w:jc w:val="left"/>
        <w:rPr>
          <w:rFonts w:ascii="Times New Roman" w:hAnsi="Times New Roman" w:cs="Times New Roman"/>
          <w:b/>
          <w:bCs/>
        </w:rPr>
      </w:pPr>
      <w:bookmarkStart w:id="386" w:name="_Toc989314"/>
      <w:r w:rsidRPr="005B5EC1">
        <w:rPr>
          <w:rFonts w:ascii="Times New Roman" w:hAnsi="Times New Roman" w:cs="Times New Roman"/>
          <w:b/>
          <w:bCs/>
        </w:rPr>
        <w:t>66</w:t>
      </w:r>
      <w:r w:rsidRPr="005B5EC1">
        <w:rPr>
          <w:rFonts w:ascii="Times New Roman" w:hAnsi="Times New Roman" w:cs="Times New Roman"/>
          <w:b/>
          <w:bCs/>
        </w:rPr>
        <w:t>、其他收益</w:t>
      </w:r>
      <w:bookmarkEnd w:id="386"/>
    </w:p>
    <w:p w14:paraId="4991319F"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2A32C8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2296D4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A518EA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5D9E14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7A4685B9"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8EF9CB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与日常活动相关的政府补助</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5D08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15,291,681.79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1185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23,507,669.78</w:t>
            </w:r>
          </w:p>
        </w:tc>
      </w:tr>
      <w:tr w:rsidR="00E32FE0" w:rsidRPr="005B5EC1" w14:paraId="233798E6"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8507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代扣个人所得税手续费返回</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07475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162,908.64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C5BE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101,472.35</w:t>
            </w:r>
          </w:p>
        </w:tc>
      </w:tr>
      <w:tr w:rsidR="00E32FE0" w:rsidRPr="005B5EC1" w14:paraId="4179134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F172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企业所得税手续费返还</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7AFE1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172F04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98BDDA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CE6A20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增值税加计抵减</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E2C8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53A52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23,512.52</w:t>
            </w:r>
          </w:p>
        </w:tc>
      </w:tr>
      <w:tr w:rsidR="00E32FE0" w:rsidRPr="005B5EC1" w14:paraId="7B772CD9"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5C4540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7D82E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15,454,590.43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B85EA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23,632,654.65</w:t>
            </w:r>
          </w:p>
        </w:tc>
      </w:tr>
    </w:tbl>
    <w:p w14:paraId="26007E1D" w14:textId="77777777" w:rsidR="00E32FE0" w:rsidRPr="005B5EC1" w:rsidRDefault="00000000">
      <w:pPr>
        <w:pStyle w:val="3"/>
        <w:spacing w:line="280" w:lineRule="exact"/>
        <w:jc w:val="left"/>
        <w:rPr>
          <w:rFonts w:ascii="Times New Roman" w:hAnsi="Times New Roman" w:cs="Times New Roman"/>
          <w:b/>
          <w:bCs/>
        </w:rPr>
      </w:pPr>
      <w:bookmarkStart w:id="387" w:name="_Toc989315"/>
      <w:r w:rsidRPr="005B5EC1">
        <w:rPr>
          <w:rFonts w:ascii="Times New Roman" w:hAnsi="Times New Roman" w:cs="Times New Roman"/>
          <w:b/>
          <w:bCs/>
        </w:rPr>
        <w:t>67</w:t>
      </w:r>
      <w:r w:rsidRPr="005B5EC1">
        <w:rPr>
          <w:rFonts w:ascii="Times New Roman" w:hAnsi="Times New Roman" w:cs="Times New Roman"/>
          <w:b/>
          <w:bCs/>
        </w:rPr>
        <w:t>、净敞口套期收益</w:t>
      </w:r>
      <w:bookmarkEnd w:id="387"/>
    </w:p>
    <w:p w14:paraId="7BF2ECFB"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CACA8C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7A60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C9910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CD366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bl>
    <w:p w14:paraId="46D34C8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332AE0E2" w14:textId="77777777" w:rsidR="00AF139E" w:rsidRPr="005B5EC1" w:rsidRDefault="00000000">
      <w:pPr>
        <w:pStyle w:val="a3"/>
        <w:divId w:val="2064869624"/>
        <w:rPr>
          <w:rFonts w:ascii="Times New Roman" w:hAnsi="Times New Roman" w:cs="Times New Roman"/>
          <w:sz w:val="18"/>
          <w:szCs w:val="18"/>
        </w:rPr>
      </w:pPr>
      <w:r w:rsidRPr="005B5EC1">
        <w:rPr>
          <w:rFonts w:ascii="Times New Roman" w:hAnsi="Times New Roman" w:cs="Times New Roman"/>
          <w:sz w:val="18"/>
          <w:szCs w:val="18"/>
        </w:rPr>
        <w:t>无</w:t>
      </w:r>
    </w:p>
    <w:p w14:paraId="0F0206C9" w14:textId="77777777" w:rsidR="00E32FE0" w:rsidRPr="005B5EC1" w:rsidRDefault="00000000">
      <w:pPr>
        <w:pStyle w:val="3"/>
        <w:spacing w:line="280" w:lineRule="exact"/>
        <w:jc w:val="left"/>
        <w:rPr>
          <w:rFonts w:ascii="Times New Roman" w:hAnsi="Times New Roman" w:cs="Times New Roman"/>
          <w:b/>
          <w:bCs/>
        </w:rPr>
      </w:pPr>
      <w:bookmarkStart w:id="388" w:name="_Toc989316"/>
      <w:r w:rsidRPr="005B5EC1">
        <w:rPr>
          <w:rFonts w:ascii="Times New Roman" w:hAnsi="Times New Roman" w:cs="Times New Roman"/>
          <w:b/>
          <w:bCs/>
        </w:rPr>
        <w:t>68</w:t>
      </w:r>
      <w:r w:rsidRPr="005B5EC1">
        <w:rPr>
          <w:rFonts w:ascii="Times New Roman" w:hAnsi="Times New Roman" w:cs="Times New Roman"/>
          <w:b/>
          <w:bCs/>
        </w:rPr>
        <w:t>、公允价值变动收益</w:t>
      </w:r>
      <w:bookmarkEnd w:id="388"/>
    </w:p>
    <w:p w14:paraId="5BCB07D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7F35418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F88D2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84B3CD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6B29F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51D8347B"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9204B6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F9D3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576,797.23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3E9B4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CE87241"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E62414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A6F1E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576,797.23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3F303E0"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3C74053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49F84A59" w14:textId="77777777" w:rsidR="00AF139E" w:rsidRPr="005B5EC1" w:rsidRDefault="00000000">
      <w:pPr>
        <w:pStyle w:val="a3"/>
        <w:divId w:val="831216321"/>
        <w:rPr>
          <w:rFonts w:ascii="Times New Roman" w:hAnsi="Times New Roman" w:cs="Times New Roman"/>
          <w:sz w:val="18"/>
          <w:szCs w:val="18"/>
        </w:rPr>
      </w:pPr>
      <w:r w:rsidRPr="005B5EC1">
        <w:rPr>
          <w:rFonts w:ascii="Times New Roman" w:hAnsi="Times New Roman" w:cs="Times New Roman"/>
          <w:sz w:val="18"/>
          <w:szCs w:val="18"/>
        </w:rPr>
        <w:t>无</w:t>
      </w:r>
    </w:p>
    <w:p w14:paraId="5549037C" w14:textId="77777777" w:rsidR="00E32FE0" w:rsidRPr="005B5EC1" w:rsidRDefault="00000000">
      <w:pPr>
        <w:pStyle w:val="3"/>
        <w:spacing w:line="280" w:lineRule="exact"/>
        <w:jc w:val="left"/>
        <w:rPr>
          <w:rFonts w:ascii="Times New Roman" w:hAnsi="Times New Roman" w:cs="Times New Roman"/>
          <w:b/>
          <w:bCs/>
        </w:rPr>
      </w:pPr>
      <w:bookmarkStart w:id="389" w:name="_Toc989317"/>
      <w:r w:rsidRPr="005B5EC1">
        <w:rPr>
          <w:rFonts w:ascii="Times New Roman" w:hAnsi="Times New Roman" w:cs="Times New Roman"/>
          <w:b/>
          <w:bCs/>
        </w:rPr>
        <w:t>69</w:t>
      </w:r>
      <w:r w:rsidRPr="005B5EC1">
        <w:rPr>
          <w:rFonts w:ascii="Times New Roman" w:hAnsi="Times New Roman" w:cs="Times New Roman"/>
          <w:b/>
          <w:bCs/>
        </w:rPr>
        <w:t>、投资收益</w:t>
      </w:r>
      <w:bookmarkEnd w:id="389"/>
    </w:p>
    <w:p w14:paraId="6D178D00"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013D47F9"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B893AD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A38EC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FA9D42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72FFC34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FEC07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2AB1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62,977,269.86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E6B02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2EB8A2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8F388E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D902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1,985,612.07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3B319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0632D1C"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1211CB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578B3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64,962,881.93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83DA85"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77C64A5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0D1EA3CE" w14:textId="77777777" w:rsidR="00E32FE0" w:rsidRPr="005B5EC1" w:rsidRDefault="00E32FE0">
      <w:pPr>
        <w:rPr>
          <w:rFonts w:ascii="Times New Roman" w:hAnsi="Times New Roman" w:cs="Times New Roman"/>
        </w:rPr>
      </w:pPr>
    </w:p>
    <w:p w14:paraId="6B7EE08A" w14:textId="77777777" w:rsidR="00E32FE0" w:rsidRPr="005B5EC1" w:rsidRDefault="00000000">
      <w:pPr>
        <w:pStyle w:val="3"/>
        <w:spacing w:line="280" w:lineRule="exact"/>
        <w:jc w:val="left"/>
        <w:rPr>
          <w:rFonts w:ascii="Times New Roman" w:hAnsi="Times New Roman" w:cs="Times New Roman"/>
          <w:b/>
          <w:bCs/>
        </w:rPr>
      </w:pPr>
      <w:bookmarkStart w:id="390" w:name="_Toc989318"/>
      <w:r w:rsidRPr="005B5EC1">
        <w:rPr>
          <w:rFonts w:ascii="Times New Roman" w:hAnsi="Times New Roman" w:cs="Times New Roman"/>
          <w:b/>
          <w:bCs/>
        </w:rPr>
        <w:t>70</w:t>
      </w:r>
      <w:r w:rsidRPr="005B5EC1">
        <w:rPr>
          <w:rFonts w:ascii="Times New Roman" w:hAnsi="Times New Roman" w:cs="Times New Roman"/>
          <w:b/>
          <w:bCs/>
        </w:rPr>
        <w:t>、信用减值损失</w:t>
      </w:r>
      <w:bookmarkEnd w:id="390"/>
    </w:p>
    <w:p w14:paraId="7D78EBA4"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C0E82F4"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2F4E6C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46C91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9D854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4C3C7C4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3C2B12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F129E8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-7,846,760.42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5767F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-28,039,485.95</w:t>
            </w:r>
          </w:p>
        </w:tc>
      </w:tr>
      <w:tr w:rsidR="00E32FE0" w:rsidRPr="005B5EC1" w14:paraId="0ACF18C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78418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B7799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-13,130,760.63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6594C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-9,284,540.92</w:t>
            </w:r>
          </w:p>
        </w:tc>
      </w:tr>
      <w:tr w:rsidR="00E32FE0" w:rsidRPr="005B5EC1" w14:paraId="22057D0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F668D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2155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-20,977,521.05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EE854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-37,324,026.87</w:t>
            </w:r>
          </w:p>
        </w:tc>
      </w:tr>
    </w:tbl>
    <w:p w14:paraId="479ABCB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16461797" w14:textId="77777777" w:rsidR="00AF139E" w:rsidRPr="005B5EC1" w:rsidRDefault="00000000">
      <w:pPr>
        <w:pStyle w:val="a3"/>
        <w:divId w:val="2000111666"/>
        <w:rPr>
          <w:rFonts w:ascii="Times New Roman" w:hAnsi="Times New Roman" w:cs="Times New Roman"/>
          <w:sz w:val="18"/>
          <w:szCs w:val="18"/>
        </w:rPr>
      </w:pPr>
      <w:r w:rsidRPr="005B5EC1">
        <w:rPr>
          <w:rFonts w:ascii="Times New Roman" w:hAnsi="Times New Roman" w:cs="Times New Roman"/>
          <w:sz w:val="18"/>
          <w:szCs w:val="18"/>
        </w:rPr>
        <w:t>无</w:t>
      </w:r>
    </w:p>
    <w:p w14:paraId="1A03B94D" w14:textId="77777777" w:rsidR="00E32FE0" w:rsidRPr="005B5EC1" w:rsidRDefault="00000000">
      <w:pPr>
        <w:pStyle w:val="3"/>
        <w:spacing w:line="280" w:lineRule="exact"/>
        <w:jc w:val="left"/>
        <w:rPr>
          <w:rFonts w:ascii="Times New Roman" w:hAnsi="Times New Roman" w:cs="Times New Roman"/>
          <w:b/>
          <w:bCs/>
        </w:rPr>
      </w:pPr>
      <w:bookmarkStart w:id="391" w:name="_Toc989319"/>
      <w:r w:rsidRPr="005B5EC1">
        <w:rPr>
          <w:rFonts w:ascii="Times New Roman" w:hAnsi="Times New Roman" w:cs="Times New Roman"/>
          <w:b/>
          <w:bCs/>
        </w:rPr>
        <w:t>71</w:t>
      </w:r>
      <w:r w:rsidRPr="005B5EC1">
        <w:rPr>
          <w:rFonts w:ascii="Times New Roman" w:hAnsi="Times New Roman" w:cs="Times New Roman"/>
          <w:b/>
          <w:bCs/>
        </w:rPr>
        <w:t>、资产减值损失</w:t>
      </w:r>
      <w:bookmarkEnd w:id="391"/>
    </w:p>
    <w:p w14:paraId="1BE8705A"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056E7542"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F2AFB1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EEEBB3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7918A2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28A0844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9950C1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5FDA1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-27,412,719.47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1C24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-413,961,815.17</w:t>
            </w:r>
          </w:p>
        </w:tc>
      </w:tr>
      <w:tr w:rsidR="00E32FE0" w:rsidRPr="005B5EC1" w14:paraId="0B02C98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0FF8B6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四、固定资产减值损失</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693F9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5C5A97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-1,263,136.57</w:t>
            </w:r>
          </w:p>
        </w:tc>
      </w:tr>
      <w:tr w:rsidR="00E32FE0" w:rsidRPr="005B5EC1" w14:paraId="5305DB51"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4F9A8E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七、生产性生物资产减值损失</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D107C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624F6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-34,950,154.67</w:t>
            </w:r>
          </w:p>
        </w:tc>
      </w:tr>
      <w:tr w:rsidR="00E32FE0" w:rsidRPr="005B5EC1" w14:paraId="71BB424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2BB95A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682E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-27,412,719.47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4C1969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-450,175,106.41</w:t>
            </w:r>
          </w:p>
        </w:tc>
      </w:tr>
    </w:tbl>
    <w:p w14:paraId="37EA575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34256B44" w14:textId="77777777" w:rsidR="00AF139E" w:rsidRPr="005B5EC1" w:rsidRDefault="00000000">
      <w:pPr>
        <w:pStyle w:val="a3"/>
        <w:divId w:val="756367928"/>
        <w:rPr>
          <w:rFonts w:ascii="Times New Roman" w:hAnsi="Times New Roman" w:cs="Times New Roman"/>
          <w:sz w:val="18"/>
          <w:szCs w:val="18"/>
        </w:rPr>
      </w:pPr>
      <w:r w:rsidRPr="005B5EC1">
        <w:rPr>
          <w:rFonts w:ascii="Times New Roman" w:hAnsi="Times New Roman" w:cs="Times New Roman"/>
          <w:sz w:val="18"/>
          <w:szCs w:val="18"/>
        </w:rPr>
        <w:t>无</w:t>
      </w:r>
    </w:p>
    <w:p w14:paraId="1A90CE32" w14:textId="77777777" w:rsidR="00E32FE0" w:rsidRPr="005B5EC1" w:rsidRDefault="00000000">
      <w:pPr>
        <w:pStyle w:val="3"/>
        <w:spacing w:line="280" w:lineRule="exact"/>
        <w:jc w:val="left"/>
        <w:rPr>
          <w:rFonts w:ascii="Times New Roman" w:hAnsi="Times New Roman" w:cs="Times New Roman"/>
          <w:b/>
          <w:bCs/>
        </w:rPr>
      </w:pPr>
      <w:bookmarkStart w:id="392" w:name="_Toc989320"/>
      <w:r w:rsidRPr="005B5EC1">
        <w:rPr>
          <w:rFonts w:ascii="Times New Roman" w:hAnsi="Times New Roman" w:cs="Times New Roman"/>
          <w:b/>
          <w:bCs/>
        </w:rPr>
        <w:t>72</w:t>
      </w:r>
      <w:r w:rsidRPr="005B5EC1">
        <w:rPr>
          <w:rFonts w:ascii="Times New Roman" w:hAnsi="Times New Roman" w:cs="Times New Roman"/>
          <w:b/>
          <w:bCs/>
        </w:rPr>
        <w:t>、资产处置收益</w:t>
      </w:r>
      <w:bookmarkEnd w:id="392"/>
    </w:p>
    <w:p w14:paraId="40431A5F"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EB2D9D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9578FE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F39094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A26D47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35615C06"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5BCE7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处置非流动资产的利得（损失</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30BAD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-2,236,691.23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21A48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-128,746,923.35</w:t>
            </w:r>
          </w:p>
        </w:tc>
      </w:tr>
      <w:tr w:rsidR="00E32FE0" w:rsidRPr="005B5EC1" w14:paraId="0DBBCB4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3141E9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其中：固定资产处置利得（损失以</w:t>
            </w:r>
            <w:r w:rsidRPr="005B5EC1">
              <w:rPr>
                <w:rFonts w:ascii="Times New Roman" w:eastAsia="宋体" w:hAnsi="Times New Roman" w:cs="Times New Roman"/>
                <w:sz w:val="18"/>
                <w:szCs w:val="18"/>
              </w:rPr>
              <w:t xml:space="preserve"> “-” </w:t>
            </w:r>
            <w:r w:rsidRPr="005B5EC1">
              <w:rPr>
                <w:rFonts w:ascii="Times New Roman" w:eastAsia="宋体" w:hAnsi="Times New Roman" w:cs="Times New Roman"/>
                <w:sz w:val="18"/>
                <w:szCs w:val="18"/>
              </w:rPr>
              <w:t>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5E704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219,435.47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AA9C37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-670,654.13</w:t>
            </w:r>
          </w:p>
        </w:tc>
      </w:tr>
      <w:tr w:rsidR="00E32FE0" w:rsidRPr="005B5EC1" w14:paraId="201DAE7D"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72149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无形资产处置利得（损失以</w:t>
            </w:r>
            <w:r w:rsidRPr="005B5EC1">
              <w:rPr>
                <w:rFonts w:ascii="Times New Roman" w:eastAsia="宋体" w:hAnsi="Times New Roman" w:cs="Times New Roman"/>
                <w:sz w:val="18"/>
                <w:szCs w:val="18"/>
              </w:rPr>
              <w:t xml:space="preserve"> “-” </w:t>
            </w:r>
            <w:r w:rsidRPr="005B5EC1">
              <w:rPr>
                <w:rFonts w:ascii="Times New Roman" w:eastAsia="宋体" w:hAnsi="Times New Roman" w:cs="Times New Roman"/>
                <w:sz w:val="18"/>
                <w:szCs w:val="18"/>
              </w:rPr>
              <w:t>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8DE9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46E0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-906,069.55</w:t>
            </w:r>
          </w:p>
        </w:tc>
      </w:tr>
      <w:tr w:rsidR="00E32FE0" w:rsidRPr="005B5EC1" w14:paraId="2C526FC2"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BBBDE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在建工程处置利得（损失以</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填</w:t>
            </w:r>
            <w:r w:rsidRPr="005B5EC1">
              <w:rPr>
                <w:rFonts w:ascii="Times New Roman" w:eastAsia="宋体" w:hAnsi="Times New Roman" w:cs="Times New Roman"/>
                <w:sz w:val="18"/>
                <w:szCs w:val="18"/>
              </w:rPr>
              <w:t> </w:t>
            </w:r>
            <w:r w:rsidRPr="005B5EC1">
              <w:rPr>
                <w:rFonts w:ascii="Times New Roman" w:eastAsia="宋体" w:hAnsi="Times New Roman" w:cs="Times New Roman"/>
                <w:sz w:val="18"/>
                <w:szCs w:val="18"/>
              </w:rPr>
              <w:t>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717EF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B1FC1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-1,870,233.03</w:t>
            </w:r>
          </w:p>
        </w:tc>
      </w:tr>
      <w:tr w:rsidR="00E32FE0" w:rsidRPr="005B5EC1" w14:paraId="3D2A5D5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963E4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生产性生物资产处置利得（损失以</w:t>
            </w:r>
            <w:r w:rsidRPr="005B5EC1">
              <w:rPr>
                <w:rFonts w:ascii="Times New Roman" w:eastAsia="宋体" w:hAnsi="Times New Roman" w:cs="Times New Roman"/>
                <w:sz w:val="18"/>
                <w:szCs w:val="18"/>
              </w:rPr>
              <w:t xml:space="preserve"> “-” </w:t>
            </w:r>
            <w:r w:rsidRPr="005B5EC1">
              <w:rPr>
                <w:rFonts w:ascii="Times New Roman" w:eastAsia="宋体" w:hAnsi="Times New Roman" w:cs="Times New Roman"/>
                <w:sz w:val="18"/>
                <w:szCs w:val="18"/>
              </w:rPr>
              <w:t>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BDF99E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-2,456,126.70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2046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-125,299,966.64</w:t>
            </w:r>
          </w:p>
        </w:tc>
      </w:tr>
      <w:tr w:rsidR="00E32FE0" w:rsidRPr="005B5EC1" w14:paraId="0F71E922"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D4BCFA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6A66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-2,236,691.23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CE384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-128,746,923.35</w:t>
            </w:r>
          </w:p>
        </w:tc>
      </w:tr>
    </w:tbl>
    <w:p w14:paraId="200968B3" w14:textId="77777777" w:rsidR="00E32FE0" w:rsidRPr="005B5EC1" w:rsidRDefault="00000000">
      <w:pPr>
        <w:pStyle w:val="3"/>
        <w:spacing w:line="280" w:lineRule="exact"/>
        <w:jc w:val="left"/>
        <w:rPr>
          <w:rFonts w:ascii="Times New Roman" w:hAnsi="Times New Roman" w:cs="Times New Roman"/>
          <w:b/>
          <w:bCs/>
        </w:rPr>
      </w:pPr>
      <w:bookmarkStart w:id="393" w:name="_Toc989321"/>
      <w:r w:rsidRPr="005B5EC1">
        <w:rPr>
          <w:rFonts w:ascii="Times New Roman" w:hAnsi="Times New Roman" w:cs="Times New Roman"/>
          <w:b/>
          <w:bCs/>
        </w:rPr>
        <w:lastRenderedPageBreak/>
        <w:t>73</w:t>
      </w:r>
      <w:r w:rsidRPr="005B5EC1">
        <w:rPr>
          <w:rFonts w:ascii="Times New Roman" w:hAnsi="Times New Roman" w:cs="Times New Roman"/>
          <w:b/>
          <w:bCs/>
        </w:rPr>
        <w:t>、营业外收入</w:t>
      </w:r>
      <w:bookmarkEnd w:id="393"/>
    </w:p>
    <w:p w14:paraId="240264B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5C43DC30"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ADEC63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F6611B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9C3703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9B5BDE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计入当期非经常性损益的金额</w:t>
            </w:r>
          </w:p>
        </w:tc>
      </w:tr>
      <w:tr w:rsidR="00E32FE0" w:rsidRPr="005B5EC1" w14:paraId="0FFAF2C1"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26310A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政府补助</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D83A4A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4,020.00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E4F57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4DEBC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4,020.00</w:t>
            </w:r>
          </w:p>
        </w:tc>
      </w:tr>
      <w:tr w:rsidR="00E32FE0" w:rsidRPr="005B5EC1" w14:paraId="6B9FFFA8"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93F9F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非流动资产毁损报废利得</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8C4528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E9F5C2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29F7D8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E21C079"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41FB8D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00387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2812A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036B74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ACCCCEC"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FE1C16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违约赔偿收入</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2C5E9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313,475.12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D8BA1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353,616.62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0CCC5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313,475.12</w:t>
            </w:r>
          </w:p>
        </w:tc>
      </w:tr>
      <w:tr w:rsidR="00E32FE0" w:rsidRPr="005B5EC1" w14:paraId="0F010EF2"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DDE3AD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1846A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9,428,406.27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00032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7,781,086.07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29952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9,428,406.27</w:t>
            </w:r>
          </w:p>
        </w:tc>
      </w:tr>
      <w:tr w:rsidR="00E32FE0" w:rsidRPr="005B5EC1" w14:paraId="2C87D692"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6A708F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10FEEA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9,745,901.39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B427C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8,134,702.69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0BC22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9,745,901.39</w:t>
            </w:r>
          </w:p>
        </w:tc>
      </w:tr>
    </w:tbl>
    <w:p w14:paraId="723F5F1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04304DE7" w14:textId="77777777" w:rsidR="00AF139E" w:rsidRPr="005B5EC1" w:rsidRDefault="00000000">
      <w:pPr>
        <w:pStyle w:val="a3"/>
        <w:divId w:val="892546522"/>
        <w:rPr>
          <w:rFonts w:ascii="Times New Roman" w:hAnsi="Times New Roman" w:cs="Times New Roman"/>
          <w:sz w:val="18"/>
          <w:szCs w:val="18"/>
        </w:rPr>
      </w:pPr>
      <w:r w:rsidRPr="005B5EC1">
        <w:rPr>
          <w:rFonts w:ascii="Times New Roman" w:hAnsi="Times New Roman" w:cs="Times New Roman"/>
          <w:sz w:val="18"/>
          <w:szCs w:val="18"/>
        </w:rPr>
        <w:t>无</w:t>
      </w:r>
    </w:p>
    <w:p w14:paraId="4C29484C" w14:textId="77777777" w:rsidR="00E32FE0" w:rsidRPr="005B5EC1" w:rsidRDefault="00000000">
      <w:pPr>
        <w:pStyle w:val="3"/>
        <w:spacing w:line="280" w:lineRule="exact"/>
        <w:jc w:val="left"/>
        <w:rPr>
          <w:rFonts w:ascii="Times New Roman" w:hAnsi="Times New Roman" w:cs="Times New Roman"/>
          <w:b/>
          <w:bCs/>
        </w:rPr>
      </w:pPr>
      <w:bookmarkStart w:id="394" w:name="_Toc989322"/>
      <w:r w:rsidRPr="005B5EC1">
        <w:rPr>
          <w:rFonts w:ascii="Times New Roman" w:hAnsi="Times New Roman" w:cs="Times New Roman"/>
          <w:b/>
          <w:bCs/>
        </w:rPr>
        <w:t>74</w:t>
      </w:r>
      <w:r w:rsidRPr="005B5EC1">
        <w:rPr>
          <w:rFonts w:ascii="Times New Roman" w:hAnsi="Times New Roman" w:cs="Times New Roman"/>
          <w:b/>
          <w:bCs/>
        </w:rPr>
        <w:t>、营业外支出</w:t>
      </w:r>
      <w:bookmarkEnd w:id="394"/>
    </w:p>
    <w:p w14:paraId="66C759FB"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548157C8"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8D3F23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600D1E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8811FD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CAEAF2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计入当期非经常性损益的金额</w:t>
            </w:r>
          </w:p>
        </w:tc>
      </w:tr>
      <w:tr w:rsidR="00E32FE0" w:rsidRPr="005B5EC1" w14:paraId="55A9F18B"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11188E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对外捐赠</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8BE83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368,080.00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FC6AC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495,637.30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3D74C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368,080.00</w:t>
            </w:r>
          </w:p>
        </w:tc>
      </w:tr>
      <w:tr w:rsidR="00E32FE0" w:rsidRPr="005B5EC1" w14:paraId="70E27F43"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3A44D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非流动资产毁损报废损失</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14284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366,428.29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FDC8E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46,899,699.25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B61C57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366,428.29</w:t>
            </w:r>
          </w:p>
        </w:tc>
      </w:tr>
      <w:tr w:rsidR="00E32FE0" w:rsidRPr="005B5EC1" w14:paraId="36D1C27F"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C391D5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其中：固定资产</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6281B2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366,428.29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BA775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3,725,294.70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25375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366,428.29</w:t>
            </w:r>
          </w:p>
        </w:tc>
      </w:tr>
      <w:tr w:rsidR="00E32FE0" w:rsidRPr="005B5EC1" w14:paraId="2EC53BDF"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81F49E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生产性生物资产处置损失</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36396A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E97A6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43,174,404.55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ADBD69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B5D2F2C"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F96B6F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3F73E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8,200,332.08</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F23147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36,308,528.01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FD437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8,200,332.08</w:t>
            </w:r>
          </w:p>
        </w:tc>
      </w:tr>
      <w:tr w:rsidR="00E32FE0" w:rsidRPr="005B5EC1" w14:paraId="67C3C5AB"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0E787F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D581E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8,934,840.37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8A5FC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83,703,864.56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2E5DF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8,934,840.37</w:t>
            </w:r>
          </w:p>
        </w:tc>
      </w:tr>
    </w:tbl>
    <w:p w14:paraId="5C8323A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DFCE65D" w14:textId="77777777" w:rsidR="00AF139E" w:rsidRPr="005B5EC1" w:rsidRDefault="00000000">
      <w:pPr>
        <w:pStyle w:val="a3"/>
        <w:divId w:val="1477644583"/>
        <w:rPr>
          <w:rFonts w:ascii="Times New Roman" w:hAnsi="Times New Roman" w:cs="Times New Roman"/>
          <w:sz w:val="18"/>
          <w:szCs w:val="18"/>
        </w:rPr>
      </w:pPr>
      <w:r w:rsidRPr="005B5EC1">
        <w:rPr>
          <w:rFonts w:ascii="Times New Roman" w:hAnsi="Times New Roman" w:cs="Times New Roman"/>
          <w:sz w:val="18"/>
          <w:szCs w:val="18"/>
        </w:rPr>
        <w:t>无</w:t>
      </w:r>
    </w:p>
    <w:p w14:paraId="5A1E45F1" w14:textId="77777777" w:rsidR="00E32FE0" w:rsidRPr="005B5EC1" w:rsidRDefault="00000000">
      <w:pPr>
        <w:pStyle w:val="3"/>
        <w:spacing w:line="280" w:lineRule="exact"/>
        <w:jc w:val="left"/>
        <w:rPr>
          <w:rFonts w:ascii="Times New Roman" w:hAnsi="Times New Roman" w:cs="Times New Roman"/>
          <w:b/>
          <w:bCs/>
        </w:rPr>
      </w:pPr>
      <w:bookmarkStart w:id="395" w:name="_Toc989323"/>
      <w:r w:rsidRPr="005B5EC1">
        <w:rPr>
          <w:rFonts w:ascii="Times New Roman" w:hAnsi="Times New Roman" w:cs="Times New Roman"/>
          <w:b/>
          <w:bCs/>
        </w:rPr>
        <w:t>75</w:t>
      </w:r>
      <w:r w:rsidRPr="005B5EC1">
        <w:rPr>
          <w:rFonts w:ascii="Times New Roman" w:hAnsi="Times New Roman" w:cs="Times New Roman"/>
          <w:b/>
          <w:bCs/>
        </w:rPr>
        <w:t>、所得税费用</w:t>
      </w:r>
      <w:bookmarkEnd w:id="395"/>
    </w:p>
    <w:p w14:paraId="566E0551"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96" w:name="_Toc98932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所得税费用表</w:t>
      </w:r>
      <w:bookmarkEnd w:id="396"/>
    </w:p>
    <w:p w14:paraId="55CEDB4D"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2EFD524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BC001D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014AD3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446E64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2C5250EC"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4ABD9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5757F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131,445.40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6D674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258,999.11</w:t>
            </w:r>
          </w:p>
        </w:tc>
      </w:tr>
      <w:tr w:rsidR="00E32FE0" w:rsidRPr="005B5EC1" w14:paraId="648440A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CF726C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0969C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-3,563,199.21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071A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59,059,783.83</w:t>
            </w:r>
          </w:p>
        </w:tc>
      </w:tr>
      <w:tr w:rsidR="00E32FE0" w:rsidRPr="005B5EC1" w14:paraId="00FD8D39"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0B1671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以前年度所得税费用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0CCB3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165,332.83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FEB1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-1,912,822.83</w:t>
            </w:r>
          </w:p>
        </w:tc>
      </w:tr>
      <w:tr w:rsidR="00E32FE0" w:rsidRPr="005B5EC1" w14:paraId="23D4A76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1F845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62600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-3,266,420.98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B00AC0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57,405,960.11</w:t>
            </w:r>
          </w:p>
        </w:tc>
      </w:tr>
    </w:tbl>
    <w:p w14:paraId="3026842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397" w:name="_Toc98932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会计利润与所得税费用调整过程</w:t>
      </w:r>
      <w:bookmarkEnd w:id="397"/>
    </w:p>
    <w:p w14:paraId="50A91B1F"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39BDB691"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282424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A34E1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r>
      <w:tr w:rsidR="00E32FE0" w:rsidRPr="005B5EC1" w14:paraId="20590C4B"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E11A91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利润总额</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69013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3,611,193.00</w:t>
            </w:r>
          </w:p>
        </w:tc>
      </w:tr>
      <w:tr w:rsidR="00E32FE0" w:rsidRPr="005B5EC1" w14:paraId="0A3A3B00"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3395EA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按法定</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适用税率计算的所得税费用</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AF027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902,798.26</w:t>
            </w:r>
          </w:p>
        </w:tc>
      </w:tr>
      <w:tr w:rsidR="00E32FE0" w:rsidRPr="005B5EC1" w14:paraId="73F64F0F"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6F623A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子公司适用不同税率的影响</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BC371E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-15,552,420.90</w:t>
            </w:r>
          </w:p>
        </w:tc>
      </w:tr>
      <w:tr w:rsidR="00E32FE0" w:rsidRPr="005B5EC1" w14:paraId="367A069A"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B43FAF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9FFD42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165,332.83</w:t>
            </w:r>
          </w:p>
        </w:tc>
      </w:tr>
      <w:tr w:rsidR="00E32FE0" w:rsidRPr="005B5EC1" w14:paraId="3790EEF7"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25C0B2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0249C6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57,965.08</w:t>
            </w:r>
          </w:p>
        </w:tc>
      </w:tr>
      <w:tr w:rsidR="00E32FE0" w:rsidRPr="005B5EC1" w14:paraId="126A414B"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E2C588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64C91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37,214,699.84</w:t>
            </w:r>
          </w:p>
        </w:tc>
      </w:tr>
      <w:tr w:rsidR="00E32FE0" w:rsidRPr="005B5EC1" w14:paraId="535DCAFE"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1579AD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8DBCD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-466,749.27</w:t>
            </w:r>
          </w:p>
        </w:tc>
      </w:tr>
      <w:tr w:rsidR="00E32FE0" w:rsidRPr="005B5EC1" w14:paraId="0223C1E8"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0415BB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本期未确认递延所得税资产的可抵扣暂时性差异或可抵扣亏损的影响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667AB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-25,276,873.16</w:t>
            </w:r>
          </w:p>
        </w:tc>
      </w:tr>
      <w:tr w:rsidR="00E32FE0" w:rsidRPr="005B5EC1" w14:paraId="77C79548"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0D28A6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研发支出影响</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814FA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-311,173.66</w:t>
            </w:r>
          </w:p>
        </w:tc>
      </w:tr>
      <w:tr w:rsidR="00E32FE0" w:rsidRPr="005B5EC1" w14:paraId="00D121A4"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EB6EFB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B16B2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-3,266,420.98</w:t>
            </w:r>
          </w:p>
        </w:tc>
      </w:tr>
    </w:tbl>
    <w:p w14:paraId="72044A0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999946A" w14:textId="77777777" w:rsidR="00AF139E" w:rsidRPr="005B5EC1" w:rsidRDefault="00000000">
      <w:pPr>
        <w:pStyle w:val="a3"/>
        <w:divId w:val="1021472974"/>
        <w:rPr>
          <w:rFonts w:ascii="Times New Roman" w:hAnsi="Times New Roman" w:cs="Times New Roman"/>
          <w:sz w:val="18"/>
          <w:szCs w:val="18"/>
        </w:rPr>
      </w:pPr>
      <w:r w:rsidRPr="005B5EC1">
        <w:rPr>
          <w:rFonts w:ascii="Times New Roman" w:hAnsi="Times New Roman" w:cs="Times New Roman"/>
          <w:sz w:val="18"/>
          <w:szCs w:val="18"/>
        </w:rPr>
        <w:t>无</w:t>
      </w:r>
    </w:p>
    <w:p w14:paraId="03DF74A9" w14:textId="77777777" w:rsidR="00E32FE0" w:rsidRPr="005B5EC1" w:rsidRDefault="00000000">
      <w:pPr>
        <w:pStyle w:val="3"/>
        <w:spacing w:line="280" w:lineRule="exact"/>
        <w:jc w:val="left"/>
        <w:rPr>
          <w:rFonts w:ascii="Times New Roman" w:hAnsi="Times New Roman" w:cs="Times New Roman"/>
          <w:b/>
          <w:bCs/>
        </w:rPr>
      </w:pPr>
      <w:bookmarkStart w:id="398" w:name="_Toc989326"/>
      <w:r w:rsidRPr="005B5EC1">
        <w:rPr>
          <w:rFonts w:ascii="Times New Roman" w:hAnsi="Times New Roman" w:cs="Times New Roman"/>
          <w:b/>
          <w:bCs/>
        </w:rPr>
        <w:t>76</w:t>
      </w:r>
      <w:r w:rsidRPr="005B5EC1">
        <w:rPr>
          <w:rFonts w:ascii="Times New Roman" w:hAnsi="Times New Roman" w:cs="Times New Roman"/>
          <w:b/>
          <w:bCs/>
        </w:rPr>
        <w:t>、其他综合收益</w:t>
      </w:r>
      <w:bookmarkEnd w:id="398"/>
    </w:p>
    <w:p w14:paraId="2E8B3C2E" w14:textId="50681462"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详见附注七、</w:t>
      </w:r>
      <w:r w:rsidRPr="005B5EC1">
        <w:rPr>
          <w:rFonts w:ascii="Times New Roman" w:eastAsia="宋体" w:hAnsi="Times New Roman" w:cs="Times New Roman"/>
          <w:sz w:val="18"/>
          <w:szCs w:val="18"/>
        </w:rPr>
        <w:t>5</w:t>
      </w:r>
      <w:r w:rsidR="005F2410">
        <w:rPr>
          <w:rFonts w:ascii="Times New Roman" w:eastAsia="宋体" w:hAnsi="Times New Roman" w:cs="Times New Roman" w:hint="eastAsia"/>
          <w:sz w:val="18"/>
          <w:szCs w:val="18"/>
        </w:rPr>
        <w:t>6</w:t>
      </w:r>
      <w:r w:rsidRPr="005B5EC1">
        <w:rPr>
          <w:rFonts w:ascii="Times New Roman" w:eastAsia="宋体" w:hAnsi="Times New Roman" w:cs="Times New Roman"/>
          <w:sz w:val="18"/>
          <w:szCs w:val="18"/>
        </w:rPr>
        <w:t>。</w:t>
      </w:r>
    </w:p>
    <w:p w14:paraId="2E9080D0" w14:textId="77777777" w:rsidR="00E32FE0" w:rsidRPr="005B5EC1" w:rsidRDefault="00000000">
      <w:pPr>
        <w:pStyle w:val="3"/>
        <w:spacing w:line="280" w:lineRule="exact"/>
        <w:jc w:val="left"/>
        <w:rPr>
          <w:rFonts w:ascii="Times New Roman" w:hAnsi="Times New Roman" w:cs="Times New Roman"/>
          <w:b/>
          <w:bCs/>
        </w:rPr>
      </w:pPr>
      <w:bookmarkStart w:id="399" w:name="_Toc989327"/>
      <w:r w:rsidRPr="005B5EC1">
        <w:rPr>
          <w:rFonts w:ascii="Times New Roman" w:hAnsi="Times New Roman" w:cs="Times New Roman"/>
          <w:b/>
          <w:bCs/>
        </w:rPr>
        <w:t>77</w:t>
      </w:r>
      <w:r w:rsidRPr="005B5EC1">
        <w:rPr>
          <w:rFonts w:ascii="Times New Roman" w:hAnsi="Times New Roman" w:cs="Times New Roman"/>
          <w:b/>
          <w:bCs/>
        </w:rPr>
        <w:t>、现金流量表项目</w:t>
      </w:r>
      <w:bookmarkEnd w:id="399"/>
    </w:p>
    <w:p w14:paraId="78AA65B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00" w:name="_Toc989328"/>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与经营活动有关的现金</w:t>
      </w:r>
      <w:bookmarkEnd w:id="400"/>
    </w:p>
    <w:p w14:paraId="3C0CA8C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收到的其他与经营活动有关的现金</w:t>
      </w:r>
    </w:p>
    <w:p w14:paraId="4CB45E12"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0AB8155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89A8B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21A359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86DC2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1088B68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31770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利息收入</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3BB4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24,301,845.74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E968C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32,322,985.19</w:t>
            </w:r>
          </w:p>
        </w:tc>
      </w:tr>
      <w:tr w:rsidR="00E32FE0" w:rsidRPr="005B5EC1" w14:paraId="579E02C0"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7CF3C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政府补贴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43E8A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23,110,919.21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40D0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20,549,669.33</w:t>
            </w:r>
          </w:p>
        </w:tc>
      </w:tr>
      <w:tr w:rsidR="00E32FE0" w:rsidRPr="005B5EC1" w14:paraId="371B8090"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3DC6A3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押金和保证金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E3EA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74,137,010.50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7B433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90,950,649.94</w:t>
            </w:r>
          </w:p>
        </w:tc>
      </w:tr>
      <w:tr w:rsidR="00E32FE0" w:rsidRPr="005B5EC1" w14:paraId="1CC114B9"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1FF7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备用金等</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675CF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18,562,262.75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0941A4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79,089,331.82</w:t>
            </w:r>
          </w:p>
        </w:tc>
      </w:tr>
      <w:tr w:rsidR="00E32FE0" w:rsidRPr="005B5EC1" w14:paraId="00828F9D"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644CB8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8400CF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140,112,038.20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C3D8E2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222,912,636.28</w:t>
            </w:r>
          </w:p>
        </w:tc>
      </w:tr>
    </w:tbl>
    <w:p w14:paraId="2BCC24A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收到的其他与经营活动有关的现金说明：</w:t>
      </w:r>
    </w:p>
    <w:p w14:paraId="51A79B86" w14:textId="77777777" w:rsidR="00AF139E" w:rsidRPr="005B5EC1" w:rsidRDefault="00000000">
      <w:pPr>
        <w:pStyle w:val="a3"/>
        <w:divId w:val="38096165"/>
        <w:rPr>
          <w:rFonts w:ascii="Times New Roman" w:hAnsi="Times New Roman" w:cs="Times New Roman"/>
          <w:sz w:val="18"/>
          <w:szCs w:val="18"/>
        </w:rPr>
      </w:pPr>
      <w:r w:rsidRPr="005B5EC1">
        <w:rPr>
          <w:rFonts w:ascii="Times New Roman" w:hAnsi="Times New Roman" w:cs="Times New Roman"/>
          <w:sz w:val="18"/>
          <w:szCs w:val="18"/>
        </w:rPr>
        <w:t>无</w:t>
      </w:r>
    </w:p>
    <w:p w14:paraId="26063C2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支付的其他与经营活动有关的现金</w:t>
      </w:r>
    </w:p>
    <w:p w14:paraId="583DBB6B"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03A32B0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34BD44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F1AC06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053A30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0DF482B9"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5B758D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管理费用支出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5D7A55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68,780,791.35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EDE8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80,095,868.16</w:t>
            </w:r>
          </w:p>
        </w:tc>
      </w:tr>
      <w:tr w:rsidR="00E32FE0" w:rsidRPr="005B5EC1" w14:paraId="16DE918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47BD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销售费用支出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32AF2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37,331,378.45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1ADE2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70,437,183.29</w:t>
            </w:r>
          </w:p>
        </w:tc>
      </w:tr>
      <w:tr w:rsidR="00E32FE0" w:rsidRPr="005B5EC1" w14:paraId="19A3DD1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381606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财务费用支出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5C15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1,647,580.99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9F7D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1,128,302.82</w:t>
            </w:r>
          </w:p>
        </w:tc>
      </w:tr>
      <w:tr w:rsidR="00E32FE0" w:rsidRPr="005B5EC1" w14:paraId="532648E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656D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捐赠支出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414B62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99CE5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197,200.00</w:t>
            </w:r>
          </w:p>
        </w:tc>
      </w:tr>
      <w:tr w:rsidR="00E32FE0" w:rsidRPr="005B5EC1" w14:paraId="4383897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C74CB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押金、保证金等其他支出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D7B6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119,678,327.67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47EE7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167,828,739.51</w:t>
            </w:r>
          </w:p>
        </w:tc>
      </w:tr>
      <w:tr w:rsidR="00E32FE0" w:rsidRPr="005B5EC1" w14:paraId="0529DDB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3D792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5E1F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227,455,278.46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AE819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319,687,293.78</w:t>
            </w:r>
          </w:p>
        </w:tc>
      </w:tr>
    </w:tbl>
    <w:p w14:paraId="322C847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支付的其他与经营活动有关的现金说明：</w:t>
      </w:r>
    </w:p>
    <w:p w14:paraId="70E3674E" w14:textId="77777777" w:rsidR="00AF139E" w:rsidRPr="005B5EC1" w:rsidRDefault="00000000">
      <w:pPr>
        <w:pStyle w:val="a3"/>
        <w:divId w:val="408188908"/>
        <w:rPr>
          <w:rFonts w:ascii="Times New Roman" w:hAnsi="Times New Roman" w:cs="Times New Roman"/>
          <w:sz w:val="18"/>
          <w:szCs w:val="18"/>
        </w:rPr>
      </w:pPr>
      <w:r w:rsidRPr="005B5EC1">
        <w:rPr>
          <w:rFonts w:ascii="Times New Roman" w:hAnsi="Times New Roman" w:cs="Times New Roman"/>
          <w:sz w:val="18"/>
          <w:szCs w:val="18"/>
        </w:rPr>
        <w:t>无</w:t>
      </w:r>
    </w:p>
    <w:p w14:paraId="5EFF0881"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01" w:name="_Toc989329"/>
      <w:r w:rsidRPr="005B5EC1">
        <w:rPr>
          <w:rFonts w:ascii="Times New Roman" w:eastAsia="宋体" w:hAnsi="Times New Roman" w:cs="Times New Roman"/>
          <w:b/>
          <w:bCs/>
          <w:sz w:val="21"/>
          <w:szCs w:val="21"/>
        </w:rPr>
        <w:lastRenderedPageBreak/>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与投资活动有关的现金</w:t>
      </w:r>
      <w:bookmarkEnd w:id="401"/>
    </w:p>
    <w:p w14:paraId="7B802AF5" w14:textId="77777777" w:rsidR="00AF139E" w:rsidRPr="005B5EC1" w:rsidRDefault="00000000">
      <w:pPr>
        <w:pStyle w:val="a3"/>
        <w:divId w:val="28457808"/>
        <w:rPr>
          <w:rFonts w:ascii="Times New Roman" w:hAnsi="Times New Roman" w:cs="Times New Roman"/>
          <w:sz w:val="18"/>
          <w:szCs w:val="18"/>
        </w:rPr>
      </w:pPr>
      <w:r w:rsidRPr="005B5EC1">
        <w:rPr>
          <w:rFonts w:ascii="Times New Roman" w:hAnsi="Times New Roman" w:cs="Times New Roman"/>
          <w:sz w:val="18"/>
          <w:szCs w:val="18"/>
        </w:rPr>
        <w:t>无</w:t>
      </w:r>
    </w:p>
    <w:p w14:paraId="138E751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02" w:name="_Toc989330"/>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与筹资活动有关的现金</w:t>
      </w:r>
      <w:bookmarkEnd w:id="402"/>
    </w:p>
    <w:p w14:paraId="5B2F1F1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收到的其他与筹资活动有关的现金</w:t>
      </w:r>
    </w:p>
    <w:p w14:paraId="39C89B7C"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6CF84D0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001ADA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B6EBB3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21078D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4C710D7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CB01AF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融资租赁款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B06BD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CA4E1A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50,000,000.00</w:t>
            </w:r>
          </w:p>
        </w:tc>
      </w:tr>
      <w:tr w:rsidR="00E32FE0" w:rsidRPr="005B5EC1" w14:paraId="1D2440A0"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1F8E7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票据、供应链融资收款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DA930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1,447,725,108.63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A6B96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1,405,322,585.49</w:t>
            </w:r>
          </w:p>
        </w:tc>
      </w:tr>
      <w:tr w:rsidR="00E32FE0" w:rsidRPr="005B5EC1" w14:paraId="75213BC1"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2CFEC2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DA461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1,507,725,108.63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62CF0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1,455,322,585.49</w:t>
            </w:r>
          </w:p>
        </w:tc>
      </w:tr>
    </w:tbl>
    <w:p w14:paraId="16FE436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收到的其他与筹资活动有关的现金说明：</w:t>
      </w:r>
    </w:p>
    <w:p w14:paraId="336D0D5B" w14:textId="77777777" w:rsidR="00AF139E" w:rsidRPr="005B5EC1" w:rsidRDefault="00000000">
      <w:pPr>
        <w:pStyle w:val="a3"/>
        <w:divId w:val="656416250"/>
        <w:rPr>
          <w:rFonts w:ascii="Times New Roman" w:hAnsi="Times New Roman" w:cs="Times New Roman"/>
          <w:sz w:val="18"/>
          <w:szCs w:val="18"/>
        </w:rPr>
      </w:pPr>
      <w:r w:rsidRPr="005B5EC1">
        <w:rPr>
          <w:rFonts w:ascii="Times New Roman" w:hAnsi="Times New Roman" w:cs="Times New Roman"/>
          <w:sz w:val="18"/>
          <w:szCs w:val="18"/>
        </w:rPr>
        <w:t>无</w:t>
      </w:r>
    </w:p>
    <w:p w14:paraId="79A6195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支付的其他与筹资活动有关的现金</w:t>
      </w:r>
    </w:p>
    <w:p w14:paraId="74275B7F"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4585E9AC"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4EE143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C897BC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15E9BA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1FAE51E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D62586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支付的租赁负债</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E751D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10,766,110.90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3BBC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10,404,339.87</w:t>
            </w:r>
          </w:p>
        </w:tc>
      </w:tr>
      <w:tr w:rsidR="00E32FE0" w:rsidRPr="005B5EC1" w14:paraId="6823685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D89DF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库存股回购款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3D88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C9EEE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280,035,686.56</w:t>
            </w:r>
          </w:p>
        </w:tc>
      </w:tr>
      <w:tr w:rsidR="00E32FE0" w:rsidRPr="005B5EC1" w14:paraId="39137060"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67D74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支付融资租赁款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BBC0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18,403,275.71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D5B1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5,280,285.62</w:t>
            </w:r>
          </w:p>
        </w:tc>
      </w:tr>
      <w:tr w:rsidR="00E32FE0" w:rsidRPr="005B5EC1" w14:paraId="063ED99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9CAD76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票据、供应链融资付款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B79EE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1,582,781,126.00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0570A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1,016,065,841.65</w:t>
            </w:r>
          </w:p>
        </w:tc>
      </w:tr>
      <w:tr w:rsidR="00E32FE0" w:rsidRPr="005B5EC1" w14:paraId="1BBE3B5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42E444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其他融资费用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DFF44F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68,730.08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506AA3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FF3205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BF6FCE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D5004C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1,612,019,242.69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1D413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1,311,786,153.70</w:t>
            </w:r>
          </w:p>
        </w:tc>
      </w:tr>
    </w:tbl>
    <w:p w14:paraId="6D2C9C3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支付的其他与筹资活动有关的现金说明：</w:t>
      </w:r>
    </w:p>
    <w:p w14:paraId="63730A48" w14:textId="77777777" w:rsidR="00AF139E" w:rsidRPr="005B5EC1" w:rsidRDefault="00000000">
      <w:pPr>
        <w:pStyle w:val="a3"/>
        <w:divId w:val="520583345"/>
        <w:rPr>
          <w:rFonts w:ascii="Times New Roman" w:hAnsi="Times New Roman" w:cs="Times New Roman"/>
          <w:sz w:val="18"/>
          <w:szCs w:val="18"/>
        </w:rPr>
      </w:pPr>
      <w:r w:rsidRPr="005B5EC1">
        <w:rPr>
          <w:rFonts w:ascii="Times New Roman" w:hAnsi="Times New Roman" w:cs="Times New Roman"/>
          <w:sz w:val="18"/>
          <w:szCs w:val="18"/>
        </w:rPr>
        <w:t>无</w:t>
      </w:r>
    </w:p>
    <w:p w14:paraId="4F5E4D7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筹资活动产生的各项负债变动情况</w:t>
      </w:r>
    </w:p>
    <w:p w14:paraId="6FCF8C6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8492229" w14:textId="77777777" w:rsidR="00E32FE0" w:rsidRDefault="00000000">
      <w:pPr>
        <w:keepNext/>
        <w:keepLines/>
        <w:spacing w:before="300" w:after="300" w:line="280" w:lineRule="exact"/>
        <w:outlineLvl w:val="3"/>
        <w:rPr>
          <w:rFonts w:ascii="Times New Roman" w:eastAsia="宋体" w:hAnsi="Times New Roman" w:cs="Times New Roman"/>
          <w:b/>
          <w:bCs/>
          <w:sz w:val="21"/>
          <w:szCs w:val="21"/>
        </w:rPr>
      </w:pPr>
      <w:bookmarkStart w:id="403" w:name="_Toc98933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以净额列报现金流量的说明</w:t>
      </w:r>
      <w:bookmarkEnd w:id="403"/>
    </w:p>
    <w:p w14:paraId="367744CE" w14:textId="77777777" w:rsidR="003C1792" w:rsidRPr="005B5EC1" w:rsidRDefault="003C1792" w:rsidP="003C1792">
      <w:pPr>
        <w:pStyle w:val="a3"/>
        <w:rPr>
          <w:rFonts w:ascii="Times New Roman" w:hAnsi="Times New Roman" w:cs="Times New Roman"/>
          <w:sz w:val="18"/>
          <w:szCs w:val="18"/>
        </w:rPr>
      </w:pPr>
      <w:r w:rsidRPr="005B5EC1">
        <w:rPr>
          <w:rFonts w:ascii="Times New Roman" w:hAnsi="Times New Roman" w:cs="Times New Roman"/>
          <w:sz w:val="18"/>
          <w:szCs w:val="18"/>
        </w:rPr>
        <w:t>无</w:t>
      </w:r>
    </w:p>
    <w:p w14:paraId="66BAF87C"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04" w:name="_Toc989332"/>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不涉及当期现金收支、但影响企业财务状况或在未来可能影响企业现金流量的重大活动及财务影响</w:t>
      </w:r>
      <w:bookmarkEnd w:id="404"/>
    </w:p>
    <w:p w14:paraId="2DDB89E2" w14:textId="77777777" w:rsidR="00AF139E" w:rsidRPr="005B5EC1" w:rsidRDefault="00000000">
      <w:pPr>
        <w:pStyle w:val="a3"/>
        <w:divId w:val="1078864490"/>
        <w:rPr>
          <w:rFonts w:ascii="Times New Roman" w:hAnsi="Times New Roman" w:cs="Times New Roman"/>
          <w:sz w:val="18"/>
          <w:szCs w:val="18"/>
        </w:rPr>
      </w:pPr>
      <w:r w:rsidRPr="005B5EC1">
        <w:rPr>
          <w:rFonts w:ascii="Times New Roman" w:hAnsi="Times New Roman" w:cs="Times New Roman"/>
          <w:sz w:val="18"/>
          <w:szCs w:val="18"/>
        </w:rPr>
        <w:t>无</w:t>
      </w:r>
    </w:p>
    <w:p w14:paraId="5A457EF6" w14:textId="77777777" w:rsidR="00E32FE0" w:rsidRPr="005B5EC1" w:rsidRDefault="00000000">
      <w:pPr>
        <w:pStyle w:val="3"/>
        <w:spacing w:line="280" w:lineRule="exact"/>
        <w:jc w:val="left"/>
        <w:rPr>
          <w:rFonts w:ascii="Times New Roman" w:hAnsi="Times New Roman" w:cs="Times New Roman"/>
          <w:b/>
          <w:bCs/>
        </w:rPr>
      </w:pPr>
      <w:bookmarkStart w:id="405" w:name="_Toc989333"/>
      <w:r w:rsidRPr="005B5EC1">
        <w:rPr>
          <w:rFonts w:ascii="Times New Roman" w:hAnsi="Times New Roman" w:cs="Times New Roman"/>
          <w:b/>
          <w:bCs/>
        </w:rPr>
        <w:t>78</w:t>
      </w:r>
      <w:r w:rsidRPr="005B5EC1">
        <w:rPr>
          <w:rFonts w:ascii="Times New Roman" w:hAnsi="Times New Roman" w:cs="Times New Roman"/>
          <w:b/>
          <w:bCs/>
        </w:rPr>
        <w:t>、现金流量表补充资料</w:t>
      </w:r>
      <w:bookmarkEnd w:id="405"/>
    </w:p>
    <w:p w14:paraId="372497B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06" w:name="_Toc98933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现金流量表补充资料</w:t>
      </w:r>
      <w:bookmarkEnd w:id="406"/>
    </w:p>
    <w:p w14:paraId="11DDBE2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628566F4"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D469C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9EAFD6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708AA9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上期金额</w:t>
            </w:r>
          </w:p>
        </w:tc>
      </w:tr>
      <w:tr w:rsidR="00E32FE0" w:rsidRPr="005B5EC1" w14:paraId="6420F621"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2CB816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w:t>
            </w:r>
            <w:r w:rsidRPr="005B5EC1">
              <w:rPr>
                <w:rFonts w:ascii="Times New Roman" w:eastAsia="宋体" w:hAnsi="Times New Roman" w:cs="Times New Roman"/>
                <w:sz w:val="18"/>
                <w:szCs w:val="18"/>
              </w:rPr>
              <w:t>．将净利润调节为经营活动现金流量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42FE8F7"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D092D6F" w14:textId="77777777" w:rsidR="00E32FE0" w:rsidRPr="005B5EC1" w:rsidRDefault="00E32FE0">
            <w:pPr>
              <w:rPr>
                <w:rFonts w:ascii="Times New Roman" w:hAnsi="Times New Roman" w:cs="Times New Roman"/>
              </w:rPr>
            </w:pPr>
          </w:p>
        </w:tc>
      </w:tr>
      <w:tr w:rsidR="00E32FE0" w:rsidRPr="005B5EC1" w14:paraId="26E4B68D"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F8F4519"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净利润</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5ACC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6,877,613.98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46878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-1,483,670,159.85</w:t>
            </w:r>
          </w:p>
        </w:tc>
      </w:tr>
      <w:tr w:rsidR="00E32FE0" w:rsidRPr="005B5EC1" w14:paraId="76E0E7C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F3BFB17"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B1C80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-139,664,277.09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6F96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272,545,248.55</w:t>
            </w:r>
          </w:p>
        </w:tc>
      </w:tr>
      <w:tr w:rsidR="00E32FE0" w:rsidRPr="005B5EC1" w14:paraId="0362645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29B12A"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37E5E5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165,545,469.33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F51CE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188,132,154.24</w:t>
            </w:r>
          </w:p>
        </w:tc>
      </w:tr>
      <w:tr w:rsidR="00E32FE0" w:rsidRPr="005B5EC1" w14:paraId="357A33C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0B1488E"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C396A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6,980,404.73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1BEF2E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12,404,894.87</w:t>
            </w:r>
          </w:p>
        </w:tc>
      </w:tr>
      <w:tr w:rsidR="00E32FE0" w:rsidRPr="005B5EC1" w14:paraId="7B184B5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C2156A6"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05F3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5,427,617.82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D63DC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5,600,572.60</w:t>
            </w:r>
          </w:p>
        </w:tc>
      </w:tr>
      <w:tr w:rsidR="00E32FE0" w:rsidRPr="005B5EC1" w14:paraId="2A58F4E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E108082"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A1EE4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3,455,720.13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E4223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4,619,081.44</w:t>
            </w:r>
          </w:p>
        </w:tc>
      </w:tr>
      <w:tr w:rsidR="00E32FE0" w:rsidRPr="005B5EC1" w14:paraId="295E0A8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B881CF"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处置固定资产、无形资产和其他长期资产的损失（收益以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58C3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2,236,691.23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3DF1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128,746,923.35</w:t>
            </w:r>
          </w:p>
        </w:tc>
      </w:tr>
      <w:tr w:rsidR="00E32FE0" w:rsidRPr="005B5EC1" w14:paraId="1199F3F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7C7DACE"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固定资产报废损失（收益以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921D5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366,428.29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21884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46,899,699.25</w:t>
            </w:r>
          </w:p>
        </w:tc>
      </w:tr>
      <w:tr w:rsidR="00E32FE0" w:rsidRPr="005B5EC1" w14:paraId="193C985C"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A3230D0"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公允价值变动损失（收益以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28777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-576,797.23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208DE1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477741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4ADB4E6"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财务费用（收益以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701AD3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106,031,201.34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65F63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105,138,263.82</w:t>
            </w:r>
          </w:p>
        </w:tc>
      </w:tr>
      <w:tr w:rsidR="00E32FE0" w:rsidRPr="005B5EC1" w14:paraId="6002FE4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AD8879"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投资损失（收益以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D5955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-64,962,881.93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4292B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1A66A56"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DE19912"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递延所得税资产减少（增加以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BA38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-3,278,382.28</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D28CF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59,120,889.56</w:t>
            </w:r>
          </w:p>
        </w:tc>
      </w:tr>
      <w:tr w:rsidR="00E32FE0" w:rsidRPr="005B5EC1" w14:paraId="465D3F6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84A4526"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递延所得税负债增加（减少以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44BAFD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-284,816.93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6A516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-61,105.73</w:t>
            </w:r>
          </w:p>
        </w:tc>
      </w:tr>
      <w:tr w:rsidR="00E32FE0" w:rsidRPr="005B5EC1" w14:paraId="58F4A2F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5766BC"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存货的减少（增加以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E0CF2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149,230,229.87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1CE0D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494,877,428.24</w:t>
            </w:r>
          </w:p>
        </w:tc>
      </w:tr>
      <w:tr w:rsidR="00E32FE0" w:rsidRPr="005B5EC1" w14:paraId="259C452C"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1D366D"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经营性应收项目的减少（增加以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BDC9C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208,487.99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6F239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288,073,902.72</w:t>
            </w:r>
          </w:p>
        </w:tc>
      </w:tr>
      <w:tr w:rsidR="00E32FE0" w:rsidRPr="005B5EC1" w14:paraId="5084105B"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1664D9"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经营性应付项目的增加（减少以</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号填列）</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27DE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155,707,867.81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7E97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-711,146,271.75</w:t>
            </w:r>
          </w:p>
        </w:tc>
      </w:tr>
      <w:tr w:rsidR="00E32FE0" w:rsidRPr="005B5EC1" w14:paraId="0DF65A4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5745224"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A801C2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FC5AFC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6175F5F"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F28474"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8D019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393,300,577.06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260C9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-588,718,478.69</w:t>
            </w:r>
          </w:p>
        </w:tc>
      </w:tr>
      <w:tr w:rsidR="00E32FE0" w:rsidRPr="005B5EC1" w14:paraId="73729004"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9B2958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31F49F7"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2654E1D" w14:textId="77777777" w:rsidR="00E32FE0" w:rsidRPr="005B5EC1" w:rsidRDefault="00E32FE0">
            <w:pPr>
              <w:rPr>
                <w:rFonts w:ascii="Times New Roman" w:hAnsi="Times New Roman" w:cs="Times New Roman"/>
              </w:rPr>
            </w:pPr>
          </w:p>
        </w:tc>
      </w:tr>
      <w:tr w:rsidR="00E32FE0" w:rsidRPr="005B5EC1" w14:paraId="55CA14B6"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0BCF5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1EB11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97CDA2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A87182D"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4895E56"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一年内到期的可转换公司债</w:t>
            </w:r>
            <w:proofErr w:type="gramStart"/>
            <w:r w:rsidRPr="005B5EC1">
              <w:rPr>
                <w:rFonts w:ascii="Times New Roman" w:eastAsia="宋体" w:hAnsi="Times New Roman" w:cs="Times New Roman"/>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4F4E96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2A9E37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8F65246"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BB7640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585D0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A98F9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CF291F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BF06A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76FB3A7" w14:textId="77777777" w:rsidR="00E32FE0" w:rsidRPr="005B5EC1" w:rsidRDefault="00E32FE0">
            <w:pPr>
              <w:rPr>
                <w:rFonts w:ascii="Times New Roman" w:hAnsi="Times New Roman" w:cs="Times New Roman"/>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34BC5DD" w14:textId="77777777" w:rsidR="00E32FE0" w:rsidRPr="005B5EC1" w:rsidRDefault="00E32FE0">
            <w:pPr>
              <w:rPr>
                <w:rFonts w:ascii="Times New Roman" w:hAnsi="Times New Roman" w:cs="Times New Roman"/>
              </w:rPr>
            </w:pPr>
          </w:p>
        </w:tc>
      </w:tr>
      <w:tr w:rsidR="00E32FE0" w:rsidRPr="005B5EC1" w14:paraId="69A5675D"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0D6930A"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2D3A6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618,065,015.97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C97E1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903,314,576.39</w:t>
            </w:r>
          </w:p>
        </w:tc>
      </w:tr>
      <w:tr w:rsidR="00E32FE0" w:rsidRPr="005B5EC1" w14:paraId="60843DE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97B3EAB"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81FDE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903,314,576.39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A66BD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749,118,356.19</w:t>
            </w:r>
          </w:p>
        </w:tc>
      </w:tr>
      <w:tr w:rsidR="00E32FE0" w:rsidRPr="005B5EC1" w14:paraId="607D623A"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C4760C5"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95832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99C09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9B9FF6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2E261C"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78CE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38D2B1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A9DAA08"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F87A5D2" w14:textId="77777777" w:rsidR="00E32FE0" w:rsidRPr="005B5EC1" w:rsidRDefault="00000000">
            <w:pPr>
              <w:spacing w:before="40" w:after="40" w:line="240" w:lineRule="exact"/>
              <w:ind w:firstLineChars="100" w:firstLine="180"/>
              <w:rPr>
                <w:rFonts w:ascii="Times New Roman" w:eastAsia="宋体" w:hAnsi="Times New Roman" w:cs="Times New Roman"/>
                <w:sz w:val="18"/>
                <w:szCs w:val="18"/>
              </w:rPr>
            </w:pPr>
            <w:r w:rsidRPr="005B5EC1">
              <w:rPr>
                <w:rFonts w:ascii="Times New Roman" w:eastAsia="宋体" w:hAnsi="Times New Roman" w:cs="Times New Roman"/>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F16B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-285,249,560.42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5AAF5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154,196,220.20</w:t>
            </w:r>
          </w:p>
        </w:tc>
      </w:tr>
    </w:tbl>
    <w:p w14:paraId="4D90C3A8"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07" w:name="_Toc989335"/>
      <w:r w:rsidRPr="005B5EC1">
        <w:rPr>
          <w:rFonts w:ascii="Times New Roman" w:eastAsia="宋体" w:hAnsi="Times New Roman" w:cs="Times New Roman"/>
          <w:b/>
          <w:bCs/>
          <w:sz w:val="21"/>
          <w:szCs w:val="21"/>
        </w:rPr>
        <w:lastRenderedPageBreak/>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本期支付的取得子公司的现金净额</w:t>
      </w:r>
      <w:bookmarkEnd w:id="407"/>
    </w:p>
    <w:p w14:paraId="63171787" w14:textId="77777777" w:rsidR="00AF139E" w:rsidRPr="005B5EC1" w:rsidRDefault="00000000">
      <w:pPr>
        <w:pStyle w:val="a3"/>
        <w:divId w:val="592934625"/>
        <w:rPr>
          <w:rFonts w:ascii="Times New Roman" w:hAnsi="Times New Roman" w:cs="Times New Roman"/>
          <w:sz w:val="18"/>
          <w:szCs w:val="18"/>
        </w:rPr>
      </w:pPr>
      <w:r w:rsidRPr="005B5EC1">
        <w:rPr>
          <w:rFonts w:ascii="Times New Roman" w:hAnsi="Times New Roman" w:cs="Times New Roman"/>
          <w:sz w:val="18"/>
          <w:szCs w:val="18"/>
        </w:rPr>
        <w:t>无</w:t>
      </w:r>
    </w:p>
    <w:p w14:paraId="07EE844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08" w:name="_Toc98933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本期收到的处置子公司的现金净额</w:t>
      </w:r>
      <w:bookmarkEnd w:id="408"/>
    </w:p>
    <w:p w14:paraId="6454DF9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31266893"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712C195" w14:textId="77777777" w:rsidR="00E32FE0" w:rsidRPr="005B5EC1" w:rsidRDefault="00E32FE0">
            <w:pPr>
              <w:rPr>
                <w:rFonts w:ascii="Times New Roman" w:hAnsi="Times New Roman" w:cs="Times New Roman"/>
              </w:rPr>
            </w:pP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599322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r>
      <w:tr w:rsidR="00E32FE0" w:rsidRPr="005B5EC1" w14:paraId="78ADD407"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98697C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本期处置子公司于本期收到的现金或现金等价物</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B79BF5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w:t>
            </w:r>
          </w:p>
        </w:tc>
      </w:tr>
      <w:tr w:rsidR="00E32FE0" w:rsidRPr="005B5EC1" w14:paraId="14642613"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FABFA9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3B8676A" w14:textId="77777777" w:rsidR="00E32FE0" w:rsidRPr="005B5EC1" w:rsidRDefault="00E32FE0">
            <w:pPr>
              <w:rPr>
                <w:rFonts w:ascii="Times New Roman" w:hAnsi="Times New Roman" w:cs="Times New Roman"/>
              </w:rPr>
            </w:pPr>
          </w:p>
        </w:tc>
      </w:tr>
      <w:tr w:rsidR="00E32FE0" w:rsidRPr="005B5EC1" w14:paraId="5D2934E4"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115753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处置</w:t>
            </w:r>
            <w:proofErr w:type="gramStart"/>
            <w:r w:rsidRPr="005B5EC1">
              <w:rPr>
                <w:rFonts w:ascii="Times New Roman" w:eastAsia="宋体" w:hAnsi="Times New Roman" w:cs="Times New Roman"/>
                <w:sz w:val="18"/>
                <w:szCs w:val="18"/>
              </w:rPr>
              <w:t>通辽金泉食品</w:t>
            </w:r>
            <w:proofErr w:type="gramEnd"/>
            <w:r w:rsidRPr="005B5EC1">
              <w:rPr>
                <w:rFonts w:ascii="Times New Roman" w:eastAsia="宋体" w:hAnsi="Times New Roman" w:cs="Times New Roman"/>
                <w:sz w:val="18"/>
                <w:szCs w:val="18"/>
              </w:rPr>
              <w:t>有限责任公司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F3E1E9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w:t>
            </w:r>
          </w:p>
        </w:tc>
      </w:tr>
      <w:tr w:rsidR="00E32FE0" w:rsidRPr="005B5EC1" w14:paraId="3A6F6D50"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0DEF01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减：丧失控制权日子公司持有的现金及现金等价物</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3AD4C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90,189.71</w:t>
            </w:r>
          </w:p>
        </w:tc>
      </w:tr>
      <w:tr w:rsidR="00E32FE0" w:rsidRPr="005B5EC1" w14:paraId="3D5CCF0D"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FC1630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90058D6" w14:textId="77777777" w:rsidR="00E32FE0" w:rsidRPr="005B5EC1" w:rsidRDefault="00E32FE0">
            <w:pPr>
              <w:rPr>
                <w:rFonts w:ascii="Times New Roman" w:hAnsi="Times New Roman" w:cs="Times New Roman"/>
              </w:rPr>
            </w:pPr>
          </w:p>
        </w:tc>
      </w:tr>
      <w:tr w:rsidR="00E32FE0" w:rsidRPr="005B5EC1" w14:paraId="22EB3DF4"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C80003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处置</w:t>
            </w:r>
            <w:proofErr w:type="gramStart"/>
            <w:r w:rsidRPr="005B5EC1">
              <w:rPr>
                <w:rFonts w:ascii="Times New Roman" w:eastAsia="宋体" w:hAnsi="Times New Roman" w:cs="Times New Roman"/>
                <w:sz w:val="18"/>
                <w:szCs w:val="18"/>
              </w:rPr>
              <w:t>通辽金泉食品</w:t>
            </w:r>
            <w:proofErr w:type="gramEnd"/>
            <w:r w:rsidRPr="005B5EC1">
              <w:rPr>
                <w:rFonts w:ascii="Times New Roman" w:eastAsia="宋体" w:hAnsi="Times New Roman" w:cs="Times New Roman"/>
                <w:sz w:val="18"/>
                <w:szCs w:val="18"/>
              </w:rPr>
              <w:t>有限责任公司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595E7D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90,189.71</w:t>
            </w:r>
          </w:p>
        </w:tc>
      </w:tr>
      <w:tr w:rsidR="00E32FE0" w:rsidRPr="005B5EC1" w14:paraId="5F01A779"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5B48B3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A4E7594" w14:textId="77777777" w:rsidR="00E32FE0" w:rsidRPr="005B5EC1" w:rsidRDefault="00E32FE0">
            <w:pPr>
              <w:rPr>
                <w:rFonts w:ascii="Times New Roman" w:hAnsi="Times New Roman" w:cs="Times New Roman"/>
              </w:rPr>
            </w:pPr>
          </w:p>
        </w:tc>
      </w:tr>
      <w:tr w:rsidR="00E32FE0" w:rsidRPr="005B5EC1" w14:paraId="0E80122C"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D82BEB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处置子公司收到的现金净额</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BDAA8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14,909,810.29</w:t>
            </w:r>
          </w:p>
        </w:tc>
      </w:tr>
    </w:tbl>
    <w:p w14:paraId="6245CE4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B06EDF5" w14:textId="77777777" w:rsidR="00AF139E" w:rsidRPr="005B5EC1" w:rsidRDefault="00000000">
      <w:pPr>
        <w:pStyle w:val="a3"/>
        <w:divId w:val="1644578262"/>
        <w:rPr>
          <w:rFonts w:ascii="Times New Roman" w:hAnsi="Times New Roman" w:cs="Times New Roman"/>
          <w:sz w:val="18"/>
          <w:szCs w:val="18"/>
        </w:rPr>
      </w:pPr>
      <w:r w:rsidRPr="005B5EC1">
        <w:rPr>
          <w:rFonts w:ascii="Times New Roman" w:hAnsi="Times New Roman" w:cs="Times New Roman"/>
          <w:sz w:val="18"/>
          <w:szCs w:val="18"/>
        </w:rPr>
        <w:t>无</w:t>
      </w:r>
    </w:p>
    <w:p w14:paraId="43E38F05"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09" w:name="_Toc989337"/>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现金和现金等价物的构成</w:t>
      </w:r>
      <w:bookmarkEnd w:id="409"/>
    </w:p>
    <w:p w14:paraId="0BF2837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71AF0135"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A94A9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6A0243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89AB21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211B80A7"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CE3AD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一、现金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FB3922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618,065,015.97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6FA08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903,314,576.39</w:t>
            </w:r>
          </w:p>
        </w:tc>
      </w:tr>
      <w:tr w:rsidR="00E32FE0" w:rsidRPr="005B5EC1" w14:paraId="2A9C7E4E"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72354B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76E13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5,599.86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8AA5C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10,752.96</w:t>
            </w:r>
          </w:p>
        </w:tc>
      </w:tr>
      <w:tr w:rsidR="00E32FE0" w:rsidRPr="005B5EC1" w14:paraId="55022924"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0A651E6" w14:textId="77777777" w:rsidR="00E32FE0" w:rsidRPr="005B5EC1" w:rsidRDefault="00000000" w:rsidP="005B5EC1">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7A0BD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618,033,342.87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C813C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903,108,572.13</w:t>
            </w:r>
          </w:p>
        </w:tc>
      </w:tr>
      <w:tr w:rsidR="00E32FE0" w:rsidRPr="005B5EC1" w14:paraId="543B2D54"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F137EC" w14:textId="77777777" w:rsidR="00E32FE0" w:rsidRPr="005B5EC1" w:rsidRDefault="00000000" w:rsidP="005B5EC1">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FB3D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26,073.24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F73B03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195,251.30</w:t>
            </w:r>
          </w:p>
        </w:tc>
      </w:tr>
      <w:tr w:rsidR="00E32FE0" w:rsidRPr="005B5EC1" w14:paraId="1FA9DF06" w14:textId="77777777" w:rsidTr="005B5EC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D46CE1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05C919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618,065,015.97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A49E3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903,314,576.39</w:t>
            </w:r>
          </w:p>
        </w:tc>
      </w:tr>
    </w:tbl>
    <w:p w14:paraId="52DDB921"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10" w:name="_Toc989338"/>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使用范围受限但仍属于现金及现金等价物列示的情况</w:t>
      </w:r>
      <w:bookmarkEnd w:id="410"/>
    </w:p>
    <w:p w14:paraId="1897627D" w14:textId="77777777" w:rsidR="003C1792" w:rsidRPr="005B5EC1" w:rsidRDefault="003C1792" w:rsidP="003C1792">
      <w:pPr>
        <w:pStyle w:val="a3"/>
        <w:rPr>
          <w:rFonts w:ascii="Times New Roman" w:hAnsi="Times New Roman" w:cs="Times New Roman"/>
          <w:sz w:val="18"/>
          <w:szCs w:val="18"/>
        </w:rPr>
      </w:pPr>
      <w:bookmarkStart w:id="411" w:name="_Toc989339"/>
      <w:r w:rsidRPr="005B5EC1">
        <w:rPr>
          <w:rFonts w:ascii="Times New Roman" w:hAnsi="Times New Roman" w:cs="Times New Roman"/>
          <w:sz w:val="18"/>
          <w:szCs w:val="18"/>
        </w:rPr>
        <w:t>无</w:t>
      </w:r>
    </w:p>
    <w:p w14:paraId="1F03D7CE"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6</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不属于现金及现金等价物的货币资金</w:t>
      </w:r>
      <w:bookmarkEnd w:id="411"/>
    </w:p>
    <w:p w14:paraId="717ABF3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3A59EEE9"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D06A8D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3878CA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22ADE7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上期金额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1A6781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不属于现金及现金等价物的理由</w:t>
            </w:r>
          </w:p>
        </w:tc>
      </w:tr>
      <w:tr w:rsidR="00E32FE0" w:rsidRPr="005B5EC1" w14:paraId="23444F11"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72F31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信用证、承兑汇票保证金及利息</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884C8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341,851,958.16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90C8D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487,782,804.49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1A0074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受限</w:t>
            </w:r>
          </w:p>
        </w:tc>
      </w:tr>
      <w:tr w:rsidR="00E32FE0" w:rsidRPr="005B5EC1" w14:paraId="57E96E67"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E9A07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存出投资款</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60C9F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80,609.48</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D42DF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11,879.40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7BA8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受限</w:t>
            </w:r>
          </w:p>
        </w:tc>
      </w:tr>
      <w:tr w:rsidR="00E32FE0" w:rsidRPr="005B5EC1" w14:paraId="6A533987"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13D54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单用途预付卡保证金</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8D294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1,465,379.54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19A59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1,462,836.23</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95C707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受限</w:t>
            </w:r>
          </w:p>
        </w:tc>
      </w:tr>
      <w:tr w:rsidR="00E32FE0" w:rsidRPr="005B5EC1" w14:paraId="13B8EF48"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5D2E82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未决诉讼冻结资金</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72100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8,654,616.62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81E05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2B84E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受限</w:t>
            </w:r>
          </w:p>
        </w:tc>
      </w:tr>
      <w:tr w:rsidR="00E32FE0" w:rsidRPr="005B5EC1" w14:paraId="7CFDC817" w14:textId="77777777" w:rsidTr="005B5EC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8C0696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合计</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8999DB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352,052,563.80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8445F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489,257,520.12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21F11E2" w14:textId="77777777" w:rsidR="00E32FE0" w:rsidRPr="005B5EC1" w:rsidRDefault="00E32FE0">
            <w:pPr>
              <w:rPr>
                <w:rFonts w:ascii="Times New Roman" w:hAnsi="Times New Roman" w:cs="Times New Roman"/>
              </w:rPr>
            </w:pPr>
          </w:p>
        </w:tc>
      </w:tr>
    </w:tbl>
    <w:p w14:paraId="2EF2150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181D1232" w14:textId="77777777" w:rsidR="00AF139E" w:rsidRPr="005B5EC1" w:rsidRDefault="00000000">
      <w:pPr>
        <w:pStyle w:val="a3"/>
        <w:divId w:val="533078441"/>
        <w:rPr>
          <w:rFonts w:ascii="Times New Roman" w:hAnsi="Times New Roman" w:cs="Times New Roman"/>
          <w:sz w:val="18"/>
          <w:szCs w:val="18"/>
        </w:rPr>
      </w:pPr>
      <w:r w:rsidRPr="005B5EC1">
        <w:rPr>
          <w:rFonts w:ascii="Times New Roman" w:hAnsi="Times New Roman" w:cs="Times New Roman"/>
          <w:sz w:val="18"/>
          <w:szCs w:val="18"/>
        </w:rPr>
        <w:t>无</w:t>
      </w:r>
    </w:p>
    <w:p w14:paraId="2E4FD68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12" w:name="_Toc989340"/>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7</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其他重大活动说明</w:t>
      </w:r>
      <w:bookmarkEnd w:id="412"/>
    </w:p>
    <w:p w14:paraId="47E645D2" w14:textId="77777777" w:rsidR="00AF139E" w:rsidRPr="005B5EC1" w:rsidRDefault="00000000">
      <w:pPr>
        <w:pStyle w:val="a3"/>
        <w:divId w:val="1641954687"/>
        <w:rPr>
          <w:rFonts w:ascii="Times New Roman" w:hAnsi="Times New Roman" w:cs="Times New Roman"/>
          <w:sz w:val="18"/>
          <w:szCs w:val="18"/>
        </w:rPr>
      </w:pPr>
      <w:r w:rsidRPr="005B5EC1">
        <w:rPr>
          <w:rFonts w:ascii="Times New Roman" w:hAnsi="Times New Roman" w:cs="Times New Roman"/>
          <w:sz w:val="18"/>
          <w:szCs w:val="18"/>
        </w:rPr>
        <w:t>无</w:t>
      </w:r>
    </w:p>
    <w:p w14:paraId="68117363" w14:textId="77777777" w:rsidR="00E32FE0" w:rsidRPr="005B5EC1" w:rsidRDefault="00000000">
      <w:pPr>
        <w:pStyle w:val="3"/>
        <w:spacing w:line="280" w:lineRule="exact"/>
        <w:jc w:val="left"/>
        <w:rPr>
          <w:rFonts w:ascii="Times New Roman" w:hAnsi="Times New Roman" w:cs="Times New Roman"/>
          <w:b/>
          <w:bCs/>
        </w:rPr>
      </w:pPr>
      <w:bookmarkStart w:id="413" w:name="_Toc989341"/>
      <w:r w:rsidRPr="005B5EC1">
        <w:rPr>
          <w:rFonts w:ascii="Times New Roman" w:hAnsi="Times New Roman" w:cs="Times New Roman"/>
          <w:b/>
          <w:bCs/>
        </w:rPr>
        <w:t>79</w:t>
      </w:r>
      <w:r w:rsidRPr="005B5EC1">
        <w:rPr>
          <w:rFonts w:ascii="Times New Roman" w:hAnsi="Times New Roman" w:cs="Times New Roman"/>
          <w:b/>
          <w:bCs/>
        </w:rPr>
        <w:t>、所有者权益变动</w:t>
      </w:r>
      <w:proofErr w:type="gramStart"/>
      <w:r w:rsidRPr="005B5EC1">
        <w:rPr>
          <w:rFonts w:ascii="Times New Roman" w:hAnsi="Times New Roman" w:cs="Times New Roman"/>
          <w:b/>
          <w:bCs/>
        </w:rPr>
        <w:t>表项目</w:t>
      </w:r>
      <w:proofErr w:type="gramEnd"/>
      <w:r w:rsidRPr="005B5EC1">
        <w:rPr>
          <w:rFonts w:ascii="Times New Roman" w:hAnsi="Times New Roman" w:cs="Times New Roman"/>
          <w:b/>
          <w:bCs/>
        </w:rPr>
        <w:t>注释</w:t>
      </w:r>
      <w:bookmarkEnd w:id="413"/>
    </w:p>
    <w:p w14:paraId="00847E9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说明对上年年末余额进行调整的</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其他</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项目名称及调整金额等事项：</w:t>
      </w:r>
    </w:p>
    <w:p w14:paraId="75F9810E" w14:textId="77777777" w:rsidR="00AF139E" w:rsidRPr="005B5EC1" w:rsidRDefault="00000000">
      <w:pPr>
        <w:pStyle w:val="a3"/>
        <w:divId w:val="922377221"/>
        <w:rPr>
          <w:rFonts w:ascii="Times New Roman" w:hAnsi="Times New Roman" w:cs="Times New Roman"/>
          <w:sz w:val="18"/>
          <w:szCs w:val="18"/>
        </w:rPr>
      </w:pPr>
      <w:r w:rsidRPr="005B5EC1">
        <w:rPr>
          <w:rFonts w:ascii="Times New Roman" w:hAnsi="Times New Roman" w:cs="Times New Roman"/>
          <w:sz w:val="18"/>
          <w:szCs w:val="18"/>
        </w:rPr>
        <w:t>无</w:t>
      </w:r>
    </w:p>
    <w:p w14:paraId="7FD8EF3E" w14:textId="77777777" w:rsidR="00E32FE0" w:rsidRPr="005B5EC1" w:rsidRDefault="00000000">
      <w:pPr>
        <w:pStyle w:val="3"/>
        <w:spacing w:line="280" w:lineRule="exact"/>
        <w:jc w:val="left"/>
        <w:rPr>
          <w:rFonts w:ascii="Times New Roman" w:hAnsi="Times New Roman" w:cs="Times New Roman"/>
          <w:b/>
          <w:bCs/>
        </w:rPr>
      </w:pPr>
      <w:bookmarkStart w:id="414" w:name="_Toc989342"/>
      <w:r w:rsidRPr="005B5EC1">
        <w:rPr>
          <w:rFonts w:ascii="Times New Roman" w:hAnsi="Times New Roman" w:cs="Times New Roman"/>
          <w:b/>
          <w:bCs/>
        </w:rPr>
        <w:t>80</w:t>
      </w:r>
      <w:r w:rsidRPr="005B5EC1">
        <w:rPr>
          <w:rFonts w:ascii="Times New Roman" w:hAnsi="Times New Roman" w:cs="Times New Roman"/>
          <w:b/>
          <w:bCs/>
        </w:rPr>
        <w:t>、外币货币性项目</w:t>
      </w:r>
      <w:bookmarkEnd w:id="414"/>
    </w:p>
    <w:p w14:paraId="405F1E53"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15" w:name="_Toc989343"/>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外币货币性项目</w:t>
      </w:r>
      <w:bookmarkEnd w:id="415"/>
    </w:p>
    <w:p w14:paraId="1C1B394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07F2538E"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5B7164E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8390BB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F8474B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77E00D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期末折算人民币余额</w:t>
            </w:r>
          </w:p>
        </w:tc>
      </w:tr>
      <w:tr w:rsidR="00E32FE0" w:rsidRPr="005B5EC1" w14:paraId="400730C7"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767C2B33"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49241B6" w14:textId="77777777" w:rsidR="00E32FE0" w:rsidRPr="005B5EC1" w:rsidRDefault="00E32FE0">
            <w:pP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9EF9219" w14:textId="77777777" w:rsidR="00E32FE0" w:rsidRPr="005B5EC1" w:rsidRDefault="00E32FE0">
            <w:pP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6C49E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146,667.16</w:t>
            </w:r>
          </w:p>
        </w:tc>
      </w:tr>
      <w:tr w:rsidR="00E32FE0" w:rsidRPr="005B5EC1" w14:paraId="54AA5261"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6EE7206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其中：美元</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3D2EEA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20,403.30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E1A516A" w14:textId="02AA0C1D" w:rsidR="00E32FE0" w:rsidRPr="005B5EC1" w:rsidRDefault="00000000" w:rsidP="003C179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7.1884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2B213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146,667.08</w:t>
            </w:r>
          </w:p>
        </w:tc>
      </w:tr>
      <w:tr w:rsidR="00E32FE0" w:rsidRPr="005B5EC1" w14:paraId="35A7350B"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25272E5A"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欧元</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B2A07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677BDB8" w14:textId="509F5893" w:rsidR="00E32FE0" w:rsidRPr="005B5EC1" w:rsidRDefault="00000000" w:rsidP="003C179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7.5257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AB6109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0.08</w:t>
            </w:r>
          </w:p>
        </w:tc>
      </w:tr>
      <w:tr w:rsidR="00E32FE0" w:rsidRPr="005B5EC1" w14:paraId="2CE2FA92"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6AAAA5DC"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港币</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FA9D1F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0E90A43" w14:textId="77777777" w:rsidR="00E32FE0" w:rsidRPr="005B5EC1" w:rsidRDefault="00E32FE0" w:rsidP="003C1792">
            <w:pPr>
              <w:spacing w:after="0" w:line="240" w:lineRule="exact"/>
              <w:jc w:val="center"/>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73B66C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7652CF8"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0A953A4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9E943F5" w14:textId="77777777" w:rsidR="00E32FE0" w:rsidRPr="005B5EC1" w:rsidRDefault="00E32FE0">
            <w:pP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4E0CE25" w14:textId="77777777" w:rsidR="00E32FE0" w:rsidRPr="005B5EC1" w:rsidRDefault="00E32FE0" w:rsidP="003C1792">
            <w:pPr>
              <w:jc w:val="cente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F51277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9F1095F"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0F7B0D4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其中：美元</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EB8EE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7A19311" w14:textId="77777777" w:rsidR="00E32FE0" w:rsidRPr="005B5EC1" w:rsidRDefault="00E32FE0" w:rsidP="003C1792">
            <w:pPr>
              <w:spacing w:after="0" w:line="240" w:lineRule="exact"/>
              <w:jc w:val="center"/>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C93B77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8912127"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6F015880"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欧元</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1AD22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A0900B2" w14:textId="77777777" w:rsidR="00E32FE0" w:rsidRPr="005B5EC1" w:rsidRDefault="00E32FE0" w:rsidP="003C1792">
            <w:pPr>
              <w:spacing w:after="0" w:line="240" w:lineRule="exact"/>
              <w:jc w:val="center"/>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66C6CA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7C3058E"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52B1B0E1"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港币</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5DB8E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2E9C6B6" w14:textId="77777777" w:rsidR="00E32FE0" w:rsidRPr="005B5EC1" w:rsidRDefault="00E32FE0" w:rsidP="003C1792">
            <w:pPr>
              <w:spacing w:after="0" w:line="240" w:lineRule="exact"/>
              <w:jc w:val="center"/>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D790BB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3A6092A"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226F4A3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27F0450" w14:textId="77777777" w:rsidR="00E32FE0" w:rsidRPr="005B5EC1" w:rsidRDefault="00E32FE0">
            <w:pP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DD52CDA" w14:textId="77777777" w:rsidR="00E32FE0" w:rsidRPr="005B5EC1" w:rsidRDefault="00E32FE0" w:rsidP="003C1792">
            <w:pPr>
              <w:jc w:val="cente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626A57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C85D778"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53BA68B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其中：美元</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151551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839DD79" w14:textId="77777777" w:rsidR="00E32FE0" w:rsidRPr="005B5EC1" w:rsidRDefault="00E32FE0" w:rsidP="003C1792">
            <w:pPr>
              <w:spacing w:after="0" w:line="240" w:lineRule="exact"/>
              <w:jc w:val="center"/>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EF2326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32271D7"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25A7D5E9"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欧元</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2C611C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3A4D9BB" w14:textId="77777777" w:rsidR="00E32FE0" w:rsidRPr="005B5EC1" w:rsidRDefault="00E32FE0" w:rsidP="003C1792">
            <w:pPr>
              <w:spacing w:after="0" w:line="240" w:lineRule="exact"/>
              <w:jc w:val="center"/>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641BDF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85A08E0"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0B764AA2"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港币</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419D05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D5A68E0" w14:textId="77777777" w:rsidR="00E32FE0" w:rsidRPr="005B5EC1" w:rsidRDefault="00E32FE0" w:rsidP="003C1792">
            <w:pPr>
              <w:spacing w:after="0" w:line="240" w:lineRule="exact"/>
              <w:jc w:val="center"/>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076605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7C5983F"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2113401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应付账款</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A8F37A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35603F0" w14:textId="77777777" w:rsidR="00E32FE0" w:rsidRPr="005B5EC1" w:rsidRDefault="00E32FE0" w:rsidP="003C1792">
            <w:pPr>
              <w:spacing w:after="0" w:line="240" w:lineRule="exact"/>
              <w:jc w:val="center"/>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5E1F0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174,300.33</w:t>
            </w:r>
          </w:p>
        </w:tc>
      </w:tr>
      <w:tr w:rsidR="00E32FE0" w:rsidRPr="005B5EC1" w14:paraId="46A0DA71"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726E91B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美元</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6D8D1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12,541.91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6E81CFE" w14:textId="77777777" w:rsidR="00E32FE0" w:rsidRPr="005B5EC1" w:rsidRDefault="00000000" w:rsidP="003C179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7.1884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1AD0B8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90,156.27</w:t>
            </w:r>
          </w:p>
        </w:tc>
      </w:tr>
      <w:tr w:rsidR="00E32FE0" w:rsidRPr="005B5EC1" w14:paraId="2654EB4D" w14:textId="77777777" w:rsidTr="005B5EC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23E9001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日元</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CB4259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1,820,000.00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6126858" w14:textId="77777777" w:rsidR="00E32FE0" w:rsidRPr="005B5EC1" w:rsidRDefault="00000000" w:rsidP="003C1792">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0.046233</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B39E0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84,144.06</w:t>
            </w:r>
          </w:p>
        </w:tc>
      </w:tr>
    </w:tbl>
    <w:p w14:paraId="22D3B2A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E78932C" w14:textId="77777777" w:rsidR="00AF139E" w:rsidRPr="005B5EC1" w:rsidRDefault="00000000">
      <w:pPr>
        <w:pStyle w:val="a3"/>
        <w:divId w:val="267928117"/>
        <w:rPr>
          <w:rFonts w:ascii="Times New Roman" w:hAnsi="Times New Roman" w:cs="Times New Roman"/>
          <w:sz w:val="18"/>
          <w:szCs w:val="18"/>
        </w:rPr>
      </w:pPr>
      <w:r w:rsidRPr="005B5EC1">
        <w:rPr>
          <w:rFonts w:ascii="Times New Roman" w:hAnsi="Times New Roman" w:cs="Times New Roman"/>
          <w:sz w:val="18"/>
          <w:szCs w:val="18"/>
        </w:rPr>
        <w:t>无</w:t>
      </w:r>
    </w:p>
    <w:p w14:paraId="62B2B9C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16" w:name="_Toc98934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境外经营实体说明，包括对于重要的境外经营实体，应披露其境外主要经营地、记账本位币及选择依据，记账本位币发生变化的还应披露原因。</w:t>
      </w:r>
      <w:bookmarkEnd w:id="416"/>
    </w:p>
    <w:p w14:paraId="7D8EDDD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CE252CE" w14:textId="77777777" w:rsidR="00E32FE0" w:rsidRPr="005B5EC1" w:rsidRDefault="00000000">
      <w:pPr>
        <w:pStyle w:val="3"/>
        <w:spacing w:line="280" w:lineRule="exact"/>
        <w:jc w:val="left"/>
        <w:rPr>
          <w:rFonts w:ascii="Times New Roman" w:hAnsi="Times New Roman" w:cs="Times New Roman"/>
          <w:b/>
          <w:bCs/>
        </w:rPr>
      </w:pPr>
      <w:bookmarkStart w:id="417" w:name="_Toc989345"/>
      <w:r w:rsidRPr="005B5EC1">
        <w:rPr>
          <w:rFonts w:ascii="Times New Roman" w:hAnsi="Times New Roman" w:cs="Times New Roman"/>
          <w:b/>
          <w:bCs/>
        </w:rPr>
        <w:lastRenderedPageBreak/>
        <w:t>81</w:t>
      </w:r>
      <w:r w:rsidRPr="005B5EC1">
        <w:rPr>
          <w:rFonts w:ascii="Times New Roman" w:hAnsi="Times New Roman" w:cs="Times New Roman"/>
          <w:b/>
          <w:bCs/>
        </w:rPr>
        <w:t>、租赁</w:t>
      </w:r>
      <w:bookmarkEnd w:id="417"/>
    </w:p>
    <w:p w14:paraId="418F9BD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18" w:name="_Toc98934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本公司作为承租方</w:t>
      </w:r>
      <w:bookmarkEnd w:id="418"/>
    </w:p>
    <w:p w14:paraId="3D5ACD2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5F7CBAD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未纳入租赁负债计量的可变租赁付款额</w:t>
      </w:r>
    </w:p>
    <w:p w14:paraId="4F189F0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E98951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简化处理的短期租赁或低价值资产的租赁费用</w:t>
      </w:r>
    </w:p>
    <w:p w14:paraId="3E9DA31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086D20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涉及售后租回交易的情况</w:t>
      </w:r>
    </w:p>
    <w:p w14:paraId="0F33DECA" w14:textId="77777777" w:rsidR="00AF139E" w:rsidRPr="005B5EC1" w:rsidRDefault="00000000">
      <w:pPr>
        <w:pStyle w:val="a3"/>
        <w:spacing w:before="78" w:beforeAutospacing="0" w:after="0" w:afterAutospacing="0" w:line="336" w:lineRule="auto"/>
        <w:ind w:left="37" w:right="7775"/>
        <w:textAlignment w:val="baseline"/>
        <w:divId w:val="760679823"/>
        <w:rPr>
          <w:rFonts w:ascii="Times New Roman" w:hAnsi="Times New Roman" w:cs="Times New Roman"/>
          <w:color w:val="000000"/>
          <w:sz w:val="21"/>
          <w:szCs w:val="21"/>
        </w:rPr>
      </w:pPr>
      <w:r w:rsidRPr="005B5EC1">
        <w:rPr>
          <w:rFonts w:ascii="Times New Roman" w:hAnsi="Times New Roman" w:cs="Times New Roman"/>
          <w:color w:val="000000"/>
          <w:spacing w:val="-1"/>
          <w:sz w:val="21"/>
          <w:szCs w:val="21"/>
        </w:rPr>
        <w:t>无</w:t>
      </w:r>
    </w:p>
    <w:p w14:paraId="53F69E1C"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19" w:name="_Toc989347"/>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本公司作为出租方</w:t>
      </w:r>
      <w:bookmarkEnd w:id="419"/>
    </w:p>
    <w:p w14:paraId="371C70E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作为出租人的经营租赁</w:t>
      </w:r>
    </w:p>
    <w:p w14:paraId="592390B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47313D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作为出租人的融资租赁</w:t>
      </w:r>
    </w:p>
    <w:p w14:paraId="0DCE1A9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6DFF99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未来五年每年未折现</w:t>
      </w:r>
      <w:proofErr w:type="gramStart"/>
      <w:r w:rsidRPr="005B5EC1">
        <w:rPr>
          <w:rFonts w:ascii="Times New Roman" w:eastAsia="宋体" w:hAnsi="Times New Roman" w:cs="Times New Roman"/>
          <w:sz w:val="18"/>
          <w:szCs w:val="18"/>
        </w:rPr>
        <w:t>租赁收</w:t>
      </w:r>
      <w:proofErr w:type="gramEnd"/>
      <w:r w:rsidRPr="005B5EC1">
        <w:rPr>
          <w:rFonts w:ascii="Times New Roman" w:eastAsia="宋体" w:hAnsi="Times New Roman" w:cs="Times New Roman"/>
          <w:sz w:val="18"/>
          <w:szCs w:val="18"/>
        </w:rPr>
        <w:t>款额</w:t>
      </w:r>
    </w:p>
    <w:p w14:paraId="4977CA2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394583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未折现</w:t>
      </w:r>
      <w:proofErr w:type="gramStart"/>
      <w:r w:rsidRPr="005B5EC1">
        <w:rPr>
          <w:rFonts w:ascii="Times New Roman" w:eastAsia="宋体" w:hAnsi="Times New Roman" w:cs="Times New Roman"/>
          <w:sz w:val="18"/>
          <w:szCs w:val="18"/>
        </w:rPr>
        <w:t>租赁收</w:t>
      </w:r>
      <w:proofErr w:type="gramEnd"/>
      <w:r w:rsidRPr="005B5EC1">
        <w:rPr>
          <w:rFonts w:ascii="Times New Roman" w:eastAsia="宋体" w:hAnsi="Times New Roman" w:cs="Times New Roman"/>
          <w:sz w:val="18"/>
          <w:szCs w:val="18"/>
        </w:rPr>
        <w:t>款额与租赁投资净额的调节表</w:t>
      </w:r>
    </w:p>
    <w:p w14:paraId="3D0952CE" w14:textId="77777777" w:rsidR="00AF139E" w:rsidRPr="005B5EC1" w:rsidRDefault="00000000">
      <w:pPr>
        <w:pStyle w:val="a3"/>
        <w:spacing w:before="0" w:beforeAutospacing="0" w:after="0" w:afterAutospacing="0"/>
        <w:textAlignment w:val="baseline"/>
        <w:divId w:val="1481654224"/>
        <w:rPr>
          <w:rFonts w:ascii="Times New Roman" w:hAnsi="Times New Roman" w:cs="Times New Roman"/>
          <w:color w:val="000000"/>
          <w:sz w:val="21"/>
          <w:szCs w:val="21"/>
        </w:rPr>
      </w:pPr>
      <w:r w:rsidRPr="005B5EC1">
        <w:rPr>
          <w:rFonts w:ascii="Times New Roman" w:hAnsi="Times New Roman" w:cs="Times New Roman"/>
          <w:color w:val="000000"/>
          <w:spacing w:val="-1"/>
          <w:sz w:val="21"/>
          <w:szCs w:val="21"/>
        </w:rPr>
        <w:t>无</w:t>
      </w:r>
    </w:p>
    <w:p w14:paraId="29BA8958"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20" w:name="_Toc989348"/>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作为生产商或经销商确认融资租赁销售损益</w:t>
      </w:r>
      <w:bookmarkEnd w:id="420"/>
    </w:p>
    <w:p w14:paraId="7433CD0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307D32D" w14:textId="1E9B24B6" w:rsidR="00E32FE0" w:rsidRPr="005B5EC1" w:rsidRDefault="00000000" w:rsidP="005B5EC1">
      <w:pPr>
        <w:pStyle w:val="3"/>
        <w:spacing w:line="280" w:lineRule="exact"/>
        <w:jc w:val="left"/>
        <w:rPr>
          <w:rFonts w:ascii="Times New Roman" w:hAnsi="Times New Roman" w:cs="Times New Roman"/>
          <w:b/>
          <w:bCs/>
        </w:rPr>
      </w:pPr>
      <w:bookmarkStart w:id="421" w:name="_Toc989349"/>
      <w:r w:rsidRPr="005B5EC1">
        <w:rPr>
          <w:rFonts w:ascii="Times New Roman" w:hAnsi="Times New Roman" w:cs="Times New Roman"/>
          <w:b/>
          <w:bCs/>
        </w:rPr>
        <w:t>82</w:t>
      </w:r>
      <w:r w:rsidRPr="005B5EC1">
        <w:rPr>
          <w:rFonts w:ascii="Times New Roman" w:hAnsi="Times New Roman" w:cs="Times New Roman"/>
          <w:b/>
          <w:bCs/>
        </w:rPr>
        <w:t>、数据资源</w:t>
      </w:r>
      <w:bookmarkEnd w:id="421"/>
    </w:p>
    <w:p w14:paraId="6E3D3885" w14:textId="77777777" w:rsidR="00E32FE0" w:rsidRPr="005B5EC1" w:rsidRDefault="00000000">
      <w:pPr>
        <w:pStyle w:val="3"/>
        <w:spacing w:line="280" w:lineRule="exact"/>
        <w:jc w:val="left"/>
        <w:rPr>
          <w:rFonts w:ascii="Times New Roman" w:hAnsi="Times New Roman" w:cs="Times New Roman"/>
          <w:b/>
          <w:bCs/>
        </w:rPr>
      </w:pPr>
      <w:bookmarkStart w:id="422" w:name="_Toc989350"/>
      <w:r w:rsidRPr="005B5EC1">
        <w:rPr>
          <w:rFonts w:ascii="Times New Roman" w:hAnsi="Times New Roman" w:cs="Times New Roman"/>
          <w:b/>
          <w:bCs/>
        </w:rPr>
        <w:t>83</w:t>
      </w:r>
      <w:r w:rsidRPr="005B5EC1">
        <w:rPr>
          <w:rFonts w:ascii="Times New Roman" w:hAnsi="Times New Roman" w:cs="Times New Roman"/>
          <w:b/>
          <w:bCs/>
        </w:rPr>
        <w:t>、其他</w:t>
      </w:r>
      <w:bookmarkEnd w:id="422"/>
    </w:p>
    <w:p w14:paraId="3DAE289F" w14:textId="735990C3" w:rsidR="00AF139E" w:rsidRPr="005B5EC1" w:rsidRDefault="005B5EC1" w:rsidP="005B5EC1">
      <w:pPr>
        <w:widowControl/>
        <w:spacing w:after="0" w:line="276" w:lineRule="auto"/>
        <w:ind w:left="360"/>
        <w:divId w:val="486676664"/>
        <w:rPr>
          <w:rFonts w:ascii="Times New Roman" w:eastAsia="宋体" w:hAnsi="Times New Roman" w:cs="Times New Roman"/>
          <w:kern w:val="0"/>
          <w:sz w:val="18"/>
          <w:szCs w:val="18"/>
          <w14:ligatures w14:val="none"/>
        </w:rPr>
      </w:pPr>
      <w:r>
        <w:rPr>
          <w:rFonts w:ascii="Times New Roman" w:eastAsia="宋体" w:hAnsi="Times New Roman" w:cs="Times New Roman" w:hint="eastAsia"/>
          <w:sz w:val="18"/>
          <w:szCs w:val="18"/>
        </w:rPr>
        <w:t>1</w:t>
      </w:r>
      <w:r>
        <w:rPr>
          <w:rFonts w:ascii="Times New Roman" w:eastAsia="宋体" w:hAnsi="Times New Roman" w:cs="Times New Roman" w:hint="eastAsia"/>
          <w:sz w:val="18"/>
          <w:szCs w:val="18"/>
        </w:rPr>
        <w:t>、</w:t>
      </w:r>
      <w:r w:rsidRPr="005B5EC1">
        <w:rPr>
          <w:rStyle w:val="a4"/>
          <w:rFonts w:ascii="Times New Roman" w:eastAsia="宋体" w:hAnsi="Times New Roman" w:cs="Times New Roman"/>
          <w:sz w:val="18"/>
          <w:szCs w:val="18"/>
        </w:rPr>
        <w:t>前期差错更正</w:t>
      </w:r>
    </w:p>
    <w:p w14:paraId="5D594196" w14:textId="77777777" w:rsidR="00AF139E" w:rsidRPr="005B5EC1" w:rsidRDefault="00000000" w:rsidP="005B5EC1">
      <w:pPr>
        <w:pStyle w:val="a3"/>
        <w:spacing w:before="0" w:beforeAutospacing="0" w:after="0" w:afterAutospacing="0" w:line="276" w:lineRule="auto"/>
        <w:ind w:firstLineChars="200" w:firstLine="356"/>
        <w:divId w:val="486676664"/>
        <w:rPr>
          <w:rFonts w:ascii="Times New Roman" w:hAnsi="Times New Roman" w:cs="Times New Roman"/>
          <w:sz w:val="21"/>
          <w:szCs w:val="21"/>
        </w:rPr>
      </w:pPr>
      <w:r w:rsidRPr="005B5EC1">
        <w:rPr>
          <w:rFonts w:ascii="Times New Roman" w:hAnsi="Times New Roman" w:cs="Times New Roman"/>
          <w:spacing w:val="-2"/>
          <w:sz w:val="18"/>
          <w:szCs w:val="18"/>
        </w:rPr>
        <w:t>本报告期无重要前期会计差错更正事项。</w:t>
      </w:r>
    </w:p>
    <w:p w14:paraId="443611ED" w14:textId="2E60A4A6" w:rsidR="00AF139E" w:rsidRPr="005B5EC1" w:rsidRDefault="005B5EC1" w:rsidP="005B5EC1">
      <w:pPr>
        <w:widowControl/>
        <w:spacing w:after="0" w:line="276" w:lineRule="auto"/>
        <w:ind w:left="360"/>
        <w:divId w:val="486676664"/>
        <w:rPr>
          <w:rFonts w:ascii="Times New Roman" w:eastAsia="宋体" w:hAnsi="Times New Roman" w:cs="Times New Roman"/>
          <w:sz w:val="18"/>
          <w:szCs w:val="18"/>
        </w:rPr>
      </w:pPr>
      <w:r>
        <w:rPr>
          <w:rFonts w:ascii="Times New Roman" w:eastAsia="宋体" w:hAnsi="Times New Roman" w:cs="Times New Roman" w:hint="eastAsia"/>
          <w:sz w:val="18"/>
          <w:szCs w:val="18"/>
        </w:rPr>
        <w:t>2</w:t>
      </w:r>
      <w:r>
        <w:rPr>
          <w:rFonts w:ascii="Times New Roman" w:eastAsia="宋体" w:hAnsi="Times New Roman" w:cs="Times New Roman" w:hint="eastAsia"/>
          <w:sz w:val="18"/>
          <w:szCs w:val="18"/>
        </w:rPr>
        <w:t>、</w:t>
      </w:r>
      <w:r w:rsidRPr="005B5EC1">
        <w:rPr>
          <w:rStyle w:val="a4"/>
          <w:rFonts w:ascii="Times New Roman" w:eastAsia="宋体" w:hAnsi="Times New Roman" w:cs="Times New Roman"/>
          <w:sz w:val="18"/>
          <w:szCs w:val="18"/>
        </w:rPr>
        <w:t>租赁</w:t>
      </w:r>
    </w:p>
    <w:p w14:paraId="695A834B"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1</w:t>
      </w:r>
      <w:r w:rsidRPr="005B5EC1">
        <w:rPr>
          <w:rFonts w:ascii="Times New Roman" w:hAnsi="Times New Roman" w:cs="Times New Roman"/>
          <w:sz w:val="18"/>
          <w:szCs w:val="18"/>
        </w:rPr>
        <w:t>）本集团作为承租人</w:t>
      </w:r>
    </w:p>
    <w:p w14:paraId="506BB80D"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rFonts w:ascii="Cambria Math" w:hAnsi="Cambria Math" w:cs="Cambria Math"/>
          <w:sz w:val="18"/>
          <w:szCs w:val="18"/>
        </w:rPr>
        <w:t>①</w:t>
      </w:r>
      <w:r w:rsidRPr="005B5EC1">
        <w:rPr>
          <w:rFonts w:ascii="Times New Roman" w:hAnsi="Times New Roman" w:cs="Times New Roman"/>
          <w:sz w:val="18"/>
          <w:szCs w:val="18"/>
        </w:rPr>
        <w:t>使用权资产、租赁负债情况参见本附注七、</w:t>
      </w:r>
      <w:r w:rsidRPr="005B5EC1">
        <w:rPr>
          <w:rFonts w:ascii="Times New Roman" w:hAnsi="Times New Roman" w:cs="Times New Roman"/>
          <w:sz w:val="18"/>
          <w:szCs w:val="18"/>
        </w:rPr>
        <w:t>25</w:t>
      </w:r>
      <w:r w:rsidRPr="005B5EC1">
        <w:rPr>
          <w:rFonts w:ascii="Times New Roman" w:hAnsi="Times New Roman" w:cs="Times New Roman"/>
          <w:sz w:val="18"/>
          <w:szCs w:val="18"/>
        </w:rPr>
        <w:t>，七、</w:t>
      </w:r>
      <w:r w:rsidRPr="005B5EC1">
        <w:rPr>
          <w:rFonts w:ascii="Times New Roman" w:hAnsi="Times New Roman" w:cs="Times New Roman"/>
          <w:sz w:val="18"/>
          <w:szCs w:val="18"/>
        </w:rPr>
        <w:t>47</w:t>
      </w:r>
      <w:r w:rsidRPr="005B5EC1">
        <w:rPr>
          <w:rFonts w:ascii="Times New Roman" w:hAnsi="Times New Roman" w:cs="Times New Roman"/>
          <w:sz w:val="18"/>
          <w:szCs w:val="18"/>
        </w:rPr>
        <w:t>。</w:t>
      </w:r>
    </w:p>
    <w:p w14:paraId="4F80A277"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rFonts w:ascii="Cambria Math" w:hAnsi="Cambria Math" w:cs="Cambria Math"/>
          <w:sz w:val="18"/>
          <w:szCs w:val="18"/>
        </w:rPr>
        <w:t>②</w:t>
      </w:r>
      <w:r w:rsidRPr="005B5EC1">
        <w:rPr>
          <w:rFonts w:ascii="Times New Roman" w:hAnsi="Times New Roman" w:cs="Times New Roman"/>
          <w:sz w:val="18"/>
          <w:szCs w:val="18"/>
        </w:rPr>
        <w:t>计入本年损益情况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8"/>
        <w:gridCol w:w="1531"/>
        <w:gridCol w:w="1626"/>
        <w:gridCol w:w="1602"/>
        <w:gridCol w:w="1626"/>
      </w:tblGrid>
      <w:tr w:rsidR="00AF139E" w:rsidRPr="005B5EC1" w14:paraId="6AF909ED" w14:textId="77777777" w:rsidTr="005B5EC1">
        <w:trPr>
          <w:divId w:val="486676664"/>
          <w:trHeight w:val="288"/>
        </w:trPr>
        <w:tc>
          <w:tcPr>
            <w:tcW w:w="1760" w:type="pct"/>
            <w:vMerge w:val="restart"/>
            <w:tcMar>
              <w:top w:w="0" w:type="dxa"/>
              <w:left w:w="108" w:type="dxa"/>
              <w:bottom w:w="0" w:type="dxa"/>
              <w:right w:w="108" w:type="dxa"/>
            </w:tcMar>
            <w:vAlign w:val="center"/>
            <w:hideMark/>
          </w:tcPr>
          <w:p w14:paraId="14E57D9C"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项目</w:t>
            </w:r>
          </w:p>
        </w:tc>
        <w:tc>
          <w:tcPr>
            <w:tcW w:w="1602" w:type="pct"/>
            <w:gridSpan w:val="2"/>
            <w:tcMar>
              <w:top w:w="0" w:type="dxa"/>
              <w:left w:w="108" w:type="dxa"/>
              <w:bottom w:w="0" w:type="dxa"/>
              <w:right w:w="108" w:type="dxa"/>
            </w:tcMar>
            <w:vAlign w:val="center"/>
            <w:hideMark/>
          </w:tcPr>
          <w:p w14:paraId="43107CFF"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计入本年损益</w:t>
            </w:r>
          </w:p>
        </w:tc>
        <w:tc>
          <w:tcPr>
            <w:tcW w:w="1638" w:type="pct"/>
            <w:gridSpan w:val="2"/>
            <w:tcMar>
              <w:top w:w="0" w:type="dxa"/>
              <w:left w:w="108" w:type="dxa"/>
              <w:bottom w:w="0" w:type="dxa"/>
              <w:right w:w="108" w:type="dxa"/>
            </w:tcMar>
            <w:vAlign w:val="center"/>
            <w:hideMark/>
          </w:tcPr>
          <w:p w14:paraId="6A982CBC"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计入上年损益</w:t>
            </w:r>
          </w:p>
        </w:tc>
      </w:tr>
      <w:tr w:rsidR="00AF139E" w:rsidRPr="005B5EC1" w14:paraId="010BBCAC" w14:textId="77777777" w:rsidTr="005B5EC1">
        <w:trPr>
          <w:divId w:val="486676664"/>
          <w:trHeight w:val="276"/>
        </w:trPr>
        <w:tc>
          <w:tcPr>
            <w:tcW w:w="0" w:type="auto"/>
            <w:vMerge/>
            <w:vAlign w:val="center"/>
            <w:hideMark/>
          </w:tcPr>
          <w:p w14:paraId="6EFEBCEF" w14:textId="77777777" w:rsidR="00AF139E" w:rsidRPr="005B5EC1" w:rsidRDefault="00AF139E" w:rsidP="005B5EC1">
            <w:pPr>
              <w:spacing w:after="0" w:line="276" w:lineRule="auto"/>
              <w:rPr>
                <w:rFonts w:ascii="Times New Roman" w:eastAsia="宋体" w:hAnsi="Times New Roman" w:cs="Times New Roman"/>
                <w:sz w:val="21"/>
                <w:szCs w:val="21"/>
              </w:rPr>
            </w:pPr>
          </w:p>
        </w:tc>
        <w:tc>
          <w:tcPr>
            <w:tcW w:w="777" w:type="pct"/>
            <w:tcMar>
              <w:top w:w="0" w:type="dxa"/>
              <w:left w:w="108" w:type="dxa"/>
              <w:bottom w:w="0" w:type="dxa"/>
              <w:right w:w="108" w:type="dxa"/>
            </w:tcMar>
            <w:vAlign w:val="center"/>
            <w:hideMark/>
          </w:tcPr>
          <w:p w14:paraId="3DA31622"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列</w:t>
            </w:r>
            <w:proofErr w:type="gramStart"/>
            <w:r w:rsidRPr="005B5EC1">
              <w:rPr>
                <w:rFonts w:ascii="Times New Roman" w:hAnsi="Times New Roman" w:cs="Times New Roman"/>
                <w:color w:val="000000"/>
                <w:sz w:val="18"/>
                <w:szCs w:val="18"/>
              </w:rPr>
              <w:t>报项目</w:t>
            </w:r>
            <w:proofErr w:type="gramEnd"/>
          </w:p>
        </w:tc>
        <w:tc>
          <w:tcPr>
            <w:tcW w:w="825" w:type="pct"/>
            <w:tcMar>
              <w:top w:w="0" w:type="dxa"/>
              <w:left w:w="108" w:type="dxa"/>
              <w:bottom w:w="0" w:type="dxa"/>
              <w:right w:w="108" w:type="dxa"/>
            </w:tcMar>
            <w:vAlign w:val="center"/>
            <w:hideMark/>
          </w:tcPr>
          <w:p w14:paraId="3494F330"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金额</w:t>
            </w:r>
          </w:p>
        </w:tc>
        <w:tc>
          <w:tcPr>
            <w:tcW w:w="813" w:type="pct"/>
            <w:tcMar>
              <w:top w:w="0" w:type="dxa"/>
              <w:left w:w="108" w:type="dxa"/>
              <w:bottom w:w="0" w:type="dxa"/>
              <w:right w:w="108" w:type="dxa"/>
            </w:tcMar>
            <w:vAlign w:val="center"/>
            <w:hideMark/>
          </w:tcPr>
          <w:p w14:paraId="5142544D"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列</w:t>
            </w:r>
            <w:proofErr w:type="gramStart"/>
            <w:r w:rsidRPr="005B5EC1">
              <w:rPr>
                <w:rFonts w:ascii="Times New Roman" w:hAnsi="Times New Roman" w:cs="Times New Roman"/>
                <w:color w:val="000000"/>
                <w:sz w:val="18"/>
                <w:szCs w:val="18"/>
              </w:rPr>
              <w:t>报项目</w:t>
            </w:r>
            <w:proofErr w:type="gramEnd"/>
          </w:p>
        </w:tc>
        <w:tc>
          <w:tcPr>
            <w:tcW w:w="825" w:type="pct"/>
            <w:tcMar>
              <w:top w:w="0" w:type="dxa"/>
              <w:left w:w="108" w:type="dxa"/>
              <w:bottom w:w="0" w:type="dxa"/>
              <w:right w:w="108" w:type="dxa"/>
            </w:tcMar>
            <w:vAlign w:val="center"/>
            <w:hideMark/>
          </w:tcPr>
          <w:p w14:paraId="78A8DBF8"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金额</w:t>
            </w:r>
          </w:p>
        </w:tc>
      </w:tr>
      <w:tr w:rsidR="00AF139E" w:rsidRPr="005B5EC1" w14:paraId="18D06A6D" w14:textId="77777777" w:rsidTr="005B5EC1">
        <w:trPr>
          <w:divId w:val="486676664"/>
          <w:trHeight w:val="276"/>
        </w:trPr>
        <w:tc>
          <w:tcPr>
            <w:tcW w:w="1760" w:type="pct"/>
            <w:tcMar>
              <w:top w:w="0" w:type="dxa"/>
              <w:left w:w="108" w:type="dxa"/>
              <w:bottom w:w="0" w:type="dxa"/>
              <w:right w:w="108" w:type="dxa"/>
            </w:tcMar>
            <w:hideMark/>
          </w:tcPr>
          <w:p w14:paraId="3A51C476"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租赁负债的利息</w:t>
            </w:r>
          </w:p>
        </w:tc>
        <w:tc>
          <w:tcPr>
            <w:tcW w:w="777" w:type="pct"/>
            <w:tcMar>
              <w:top w:w="0" w:type="dxa"/>
              <w:left w:w="108" w:type="dxa"/>
              <w:bottom w:w="0" w:type="dxa"/>
              <w:right w:w="108" w:type="dxa"/>
            </w:tcMar>
            <w:hideMark/>
          </w:tcPr>
          <w:p w14:paraId="6DEAC2A0"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财务费用</w:t>
            </w:r>
          </w:p>
        </w:tc>
        <w:tc>
          <w:tcPr>
            <w:tcW w:w="825" w:type="pct"/>
            <w:tcMar>
              <w:top w:w="0" w:type="dxa"/>
              <w:left w:w="108" w:type="dxa"/>
              <w:bottom w:w="0" w:type="dxa"/>
              <w:right w:w="108" w:type="dxa"/>
            </w:tcMar>
            <w:hideMark/>
          </w:tcPr>
          <w:p w14:paraId="62395EAC"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2,198,746.13</w:t>
            </w:r>
          </w:p>
        </w:tc>
        <w:tc>
          <w:tcPr>
            <w:tcW w:w="813" w:type="pct"/>
            <w:tcMar>
              <w:top w:w="0" w:type="dxa"/>
              <w:left w:w="108" w:type="dxa"/>
              <w:bottom w:w="0" w:type="dxa"/>
              <w:right w:w="108" w:type="dxa"/>
            </w:tcMar>
            <w:hideMark/>
          </w:tcPr>
          <w:p w14:paraId="4DF1D1B6"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财务费用</w:t>
            </w:r>
          </w:p>
        </w:tc>
        <w:tc>
          <w:tcPr>
            <w:tcW w:w="825" w:type="pct"/>
            <w:tcMar>
              <w:top w:w="0" w:type="dxa"/>
              <w:left w:w="108" w:type="dxa"/>
              <w:bottom w:w="0" w:type="dxa"/>
              <w:right w:w="108" w:type="dxa"/>
            </w:tcMar>
            <w:hideMark/>
          </w:tcPr>
          <w:p w14:paraId="51071C2A"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2,769,410.83</w:t>
            </w:r>
          </w:p>
        </w:tc>
      </w:tr>
      <w:tr w:rsidR="00AF139E" w:rsidRPr="005B5EC1" w14:paraId="6974D7D6" w14:textId="77777777" w:rsidTr="005B5EC1">
        <w:trPr>
          <w:divId w:val="486676664"/>
          <w:trHeight w:val="276"/>
        </w:trPr>
        <w:tc>
          <w:tcPr>
            <w:tcW w:w="1760" w:type="pct"/>
            <w:tcMar>
              <w:top w:w="0" w:type="dxa"/>
              <w:left w:w="108" w:type="dxa"/>
              <w:bottom w:w="0" w:type="dxa"/>
              <w:right w:w="108" w:type="dxa"/>
            </w:tcMar>
            <w:hideMark/>
          </w:tcPr>
          <w:p w14:paraId="0E8F920C"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短期租赁费用（适用简化处理）</w:t>
            </w:r>
          </w:p>
        </w:tc>
        <w:tc>
          <w:tcPr>
            <w:tcW w:w="777" w:type="pct"/>
            <w:tcMar>
              <w:top w:w="0" w:type="dxa"/>
              <w:left w:w="108" w:type="dxa"/>
              <w:bottom w:w="0" w:type="dxa"/>
              <w:right w:w="108" w:type="dxa"/>
            </w:tcMar>
            <w:hideMark/>
          </w:tcPr>
          <w:p w14:paraId="34E27D8C"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销售费用</w:t>
            </w:r>
          </w:p>
        </w:tc>
        <w:tc>
          <w:tcPr>
            <w:tcW w:w="825" w:type="pct"/>
            <w:tcMar>
              <w:top w:w="0" w:type="dxa"/>
              <w:left w:w="108" w:type="dxa"/>
              <w:bottom w:w="0" w:type="dxa"/>
              <w:right w:w="108" w:type="dxa"/>
            </w:tcMar>
            <w:hideMark/>
          </w:tcPr>
          <w:p w14:paraId="6FF73D9F"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1,717,951.24</w:t>
            </w:r>
          </w:p>
        </w:tc>
        <w:tc>
          <w:tcPr>
            <w:tcW w:w="813" w:type="pct"/>
            <w:tcMar>
              <w:top w:w="0" w:type="dxa"/>
              <w:left w:w="108" w:type="dxa"/>
              <w:bottom w:w="0" w:type="dxa"/>
              <w:right w:w="108" w:type="dxa"/>
            </w:tcMar>
            <w:hideMark/>
          </w:tcPr>
          <w:p w14:paraId="7B03EDD3"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销售费用</w:t>
            </w:r>
          </w:p>
        </w:tc>
        <w:tc>
          <w:tcPr>
            <w:tcW w:w="825" w:type="pct"/>
            <w:tcMar>
              <w:top w:w="0" w:type="dxa"/>
              <w:left w:w="108" w:type="dxa"/>
              <w:bottom w:w="0" w:type="dxa"/>
              <w:right w:w="108" w:type="dxa"/>
            </w:tcMar>
            <w:hideMark/>
          </w:tcPr>
          <w:p w14:paraId="60C7BB99"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2,574,277.54</w:t>
            </w:r>
          </w:p>
        </w:tc>
      </w:tr>
      <w:tr w:rsidR="00AF139E" w:rsidRPr="005B5EC1" w14:paraId="10B35DAF" w14:textId="77777777" w:rsidTr="005B5EC1">
        <w:trPr>
          <w:divId w:val="486676664"/>
          <w:trHeight w:val="276"/>
        </w:trPr>
        <w:tc>
          <w:tcPr>
            <w:tcW w:w="1760" w:type="pct"/>
            <w:tcMar>
              <w:top w:w="0" w:type="dxa"/>
              <w:left w:w="108" w:type="dxa"/>
              <w:bottom w:w="0" w:type="dxa"/>
              <w:right w:w="108" w:type="dxa"/>
            </w:tcMar>
            <w:hideMark/>
          </w:tcPr>
          <w:p w14:paraId="4289253A"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短期租赁费用（适用简化处理）</w:t>
            </w:r>
          </w:p>
        </w:tc>
        <w:tc>
          <w:tcPr>
            <w:tcW w:w="777" w:type="pct"/>
            <w:tcMar>
              <w:top w:w="0" w:type="dxa"/>
              <w:left w:w="108" w:type="dxa"/>
              <w:bottom w:w="0" w:type="dxa"/>
              <w:right w:w="108" w:type="dxa"/>
            </w:tcMar>
            <w:hideMark/>
          </w:tcPr>
          <w:p w14:paraId="2265FEE9"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管理费用</w:t>
            </w:r>
          </w:p>
        </w:tc>
        <w:tc>
          <w:tcPr>
            <w:tcW w:w="825" w:type="pct"/>
            <w:tcMar>
              <w:top w:w="0" w:type="dxa"/>
              <w:left w:w="108" w:type="dxa"/>
              <w:bottom w:w="0" w:type="dxa"/>
              <w:right w:w="108" w:type="dxa"/>
            </w:tcMar>
            <w:hideMark/>
          </w:tcPr>
          <w:p w14:paraId="3DF0E625"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2,933,981.31</w:t>
            </w:r>
          </w:p>
        </w:tc>
        <w:tc>
          <w:tcPr>
            <w:tcW w:w="813" w:type="pct"/>
            <w:tcMar>
              <w:top w:w="0" w:type="dxa"/>
              <w:left w:w="108" w:type="dxa"/>
              <w:bottom w:w="0" w:type="dxa"/>
              <w:right w:w="108" w:type="dxa"/>
            </w:tcMar>
            <w:hideMark/>
          </w:tcPr>
          <w:p w14:paraId="5DB9E771"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管理费用</w:t>
            </w:r>
          </w:p>
        </w:tc>
        <w:tc>
          <w:tcPr>
            <w:tcW w:w="825" w:type="pct"/>
            <w:tcMar>
              <w:top w:w="0" w:type="dxa"/>
              <w:left w:w="108" w:type="dxa"/>
              <w:bottom w:w="0" w:type="dxa"/>
              <w:right w:w="108" w:type="dxa"/>
            </w:tcMar>
            <w:hideMark/>
          </w:tcPr>
          <w:p w14:paraId="3FF0B743"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2,911,932.36</w:t>
            </w:r>
          </w:p>
        </w:tc>
      </w:tr>
      <w:tr w:rsidR="00AF139E" w:rsidRPr="005B5EC1" w14:paraId="07F3B0A7" w14:textId="77777777" w:rsidTr="005B5EC1">
        <w:trPr>
          <w:divId w:val="486676664"/>
          <w:trHeight w:val="276"/>
        </w:trPr>
        <w:tc>
          <w:tcPr>
            <w:tcW w:w="1760" w:type="pct"/>
            <w:tcMar>
              <w:top w:w="0" w:type="dxa"/>
              <w:left w:w="108" w:type="dxa"/>
              <w:bottom w:w="0" w:type="dxa"/>
              <w:right w:w="108" w:type="dxa"/>
            </w:tcMar>
            <w:hideMark/>
          </w:tcPr>
          <w:p w14:paraId="4C1DBBF8"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短期租赁费用（适用简化处理）</w:t>
            </w:r>
          </w:p>
        </w:tc>
        <w:tc>
          <w:tcPr>
            <w:tcW w:w="777" w:type="pct"/>
            <w:tcMar>
              <w:top w:w="0" w:type="dxa"/>
              <w:left w:w="108" w:type="dxa"/>
              <w:bottom w:w="0" w:type="dxa"/>
              <w:right w:w="108" w:type="dxa"/>
            </w:tcMar>
            <w:hideMark/>
          </w:tcPr>
          <w:p w14:paraId="2BC0F82E"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制造费用</w:t>
            </w:r>
          </w:p>
        </w:tc>
        <w:tc>
          <w:tcPr>
            <w:tcW w:w="825" w:type="pct"/>
            <w:tcMar>
              <w:top w:w="0" w:type="dxa"/>
              <w:left w:w="108" w:type="dxa"/>
              <w:bottom w:w="0" w:type="dxa"/>
              <w:right w:w="108" w:type="dxa"/>
            </w:tcMar>
            <w:hideMark/>
          </w:tcPr>
          <w:p w14:paraId="24FDC372"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1,447,972.65</w:t>
            </w:r>
          </w:p>
        </w:tc>
        <w:tc>
          <w:tcPr>
            <w:tcW w:w="813" w:type="pct"/>
            <w:tcMar>
              <w:top w:w="0" w:type="dxa"/>
              <w:left w:w="108" w:type="dxa"/>
              <w:bottom w:w="0" w:type="dxa"/>
              <w:right w:w="108" w:type="dxa"/>
            </w:tcMar>
            <w:hideMark/>
          </w:tcPr>
          <w:p w14:paraId="363FB1E0"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 </w:t>
            </w:r>
          </w:p>
        </w:tc>
        <w:tc>
          <w:tcPr>
            <w:tcW w:w="825" w:type="pct"/>
            <w:tcMar>
              <w:top w:w="0" w:type="dxa"/>
              <w:left w:w="108" w:type="dxa"/>
              <w:bottom w:w="0" w:type="dxa"/>
              <w:right w:w="108" w:type="dxa"/>
            </w:tcMar>
            <w:hideMark/>
          </w:tcPr>
          <w:p w14:paraId="4497A076"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 </w:t>
            </w:r>
          </w:p>
        </w:tc>
      </w:tr>
      <w:tr w:rsidR="00AF139E" w:rsidRPr="005B5EC1" w14:paraId="4452224B" w14:textId="77777777" w:rsidTr="005B5EC1">
        <w:trPr>
          <w:divId w:val="486676664"/>
          <w:trHeight w:val="237"/>
        </w:trPr>
        <w:tc>
          <w:tcPr>
            <w:tcW w:w="1760" w:type="pct"/>
            <w:tcMar>
              <w:top w:w="0" w:type="dxa"/>
              <w:left w:w="108" w:type="dxa"/>
              <w:bottom w:w="0" w:type="dxa"/>
              <w:right w:w="108" w:type="dxa"/>
            </w:tcMar>
            <w:hideMark/>
          </w:tcPr>
          <w:p w14:paraId="2ACCABB8"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lastRenderedPageBreak/>
              <w:t>低价值资产租赁费用（适用简化处理）</w:t>
            </w:r>
          </w:p>
        </w:tc>
        <w:tc>
          <w:tcPr>
            <w:tcW w:w="777" w:type="pct"/>
            <w:tcMar>
              <w:top w:w="0" w:type="dxa"/>
              <w:left w:w="108" w:type="dxa"/>
              <w:bottom w:w="0" w:type="dxa"/>
              <w:right w:w="108" w:type="dxa"/>
            </w:tcMar>
            <w:hideMark/>
          </w:tcPr>
          <w:p w14:paraId="08E47C67"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管理费用</w:t>
            </w:r>
          </w:p>
        </w:tc>
        <w:tc>
          <w:tcPr>
            <w:tcW w:w="825" w:type="pct"/>
            <w:tcMar>
              <w:top w:w="0" w:type="dxa"/>
              <w:left w:w="108" w:type="dxa"/>
              <w:bottom w:w="0" w:type="dxa"/>
              <w:right w:w="108" w:type="dxa"/>
            </w:tcMar>
            <w:hideMark/>
          </w:tcPr>
          <w:p w14:paraId="408524A1"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 </w:t>
            </w:r>
          </w:p>
        </w:tc>
        <w:tc>
          <w:tcPr>
            <w:tcW w:w="813" w:type="pct"/>
            <w:tcMar>
              <w:top w:w="0" w:type="dxa"/>
              <w:left w:w="108" w:type="dxa"/>
              <w:bottom w:w="0" w:type="dxa"/>
              <w:right w:w="108" w:type="dxa"/>
            </w:tcMar>
            <w:hideMark/>
          </w:tcPr>
          <w:p w14:paraId="4EDB0A95"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管理费用</w:t>
            </w:r>
          </w:p>
        </w:tc>
        <w:tc>
          <w:tcPr>
            <w:tcW w:w="825" w:type="pct"/>
            <w:tcMar>
              <w:top w:w="0" w:type="dxa"/>
              <w:left w:w="108" w:type="dxa"/>
              <w:bottom w:w="0" w:type="dxa"/>
              <w:right w:w="108" w:type="dxa"/>
            </w:tcMar>
            <w:hideMark/>
          </w:tcPr>
          <w:p w14:paraId="4431C4A7"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0.00</w:t>
            </w:r>
          </w:p>
        </w:tc>
      </w:tr>
    </w:tbl>
    <w:p w14:paraId="1DFA791B"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Cambria Math" w:hAnsi="Cambria Math" w:cs="Cambria Math"/>
          <w:sz w:val="18"/>
          <w:szCs w:val="18"/>
        </w:rPr>
      </w:pPr>
      <w:r w:rsidRPr="005B5EC1">
        <w:rPr>
          <w:rFonts w:ascii="Cambria Math" w:hAnsi="Cambria Math" w:cs="Cambria Math"/>
          <w:sz w:val="18"/>
          <w:szCs w:val="18"/>
        </w:rPr>
        <w:t>注：上表中</w:t>
      </w:r>
      <w:r w:rsidRPr="005B5EC1">
        <w:rPr>
          <w:rFonts w:ascii="Cambria Math" w:hAnsi="Cambria Math" w:cs="Cambria Math"/>
          <w:sz w:val="18"/>
          <w:szCs w:val="18"/>
        </w:rPr>
        <w:t>“</w:t>
      </w:r>
      <w:r w:rsidRPr="005B5EC1">
        <w:rPr>
          <w:rFonts w:ascii="Cambria Math" w:hAnsi="Cambria Math" w:cs="Cambria Math"/>
          <w:sz w:val="18"/>
          <w:szCs w:val="18"/>
        </w:rPr>
        <w:t>短期租赁费用</w:t>
      </w:r>
      <w:r w:rsidRPr="005B5EC1">
        <w:rPr>
          <w:rFonts w:ascii="Cambria Math" w:hAnsi="Cambria Math" w:cs="Cambria Math"/>
          <w:sz w:val="18"/>
          <w:szCs w:val="18"/>
        </w:rPr>
        <w:t>”</w:t>
      </w:r>
      <w:r w:rsidRPr="005B5EC1">
        <w:rPr>
          <w:rFonts w:ascii="Cambria Math" w:hAnsi="Cambria Math" w:cs="Cambria Math"/>
          <w:sz w:val="18"/>
          <w:szCs w:val="18"/>
        </w:rPr>
        <w:t>不包含租赁期在</w:t>
      </w:r>
      <w:r w:rsidRPr="005B5EC1">
        <w:rPr>
          <w:rFonts w:ascii="Cambria Math" w:hAnsi="Cambria Math" w:cs="Cambria Math"/>
          <w:sz w:val="18"/>
          <w:szCs w:val="18"/>
        </w:rPr>
        <w:t>1</w:t>
      </w:r>
      <w:r w:rsidRPr="005B5EC1">
        <w:rPr>
          <w:rFonts w:ascii="Cambria Math" w:hAnsi="Cambria Math" w:cs="Cambria Math"/>
          <w:sz w:val="18"/>
          <w:szCs w:val="18"/>
        </w:rPr>
        <w:t>个月以内的租赁相关费用；</w:t>
      </w:r>
      <w:r w:rsidRPr="005B5EC1">
        <w:rPr>
          <w:rFonts w:ascii="Cambria Math" w:hAnsi="Cambria Math" w:cs="Cambria Math"/>
          <w:sz w:val="18"/>
          <w:szCs w:val="18"/>
        </w:rPr>
        <w:t>“</w:t>
      </w:r>
      <w:r w:rsidRPr="005B5EC1">
        <w:rPr>
          <w:rFonts w:ascii="Cambria Math" w:hAnsi="Cambria Math" w:cs="Cambria Math"/>
          <w:sz w:val="18"/>
          <w:szCs w:val="18"/>
        </w:rPr>
        <w:t>低价值资产租赁费用</w:t>
      </w:r>
      <w:r w:rsidRPr="005B5EC1">
        <w:rPr>
          <w:rFonts w:ascii="Cambria Math" w:hAnsi="Cambria Math" w:cs="Cambria Math"/>
          <w:sz w:val="18"/>
          <w:szCs w:val="18"/>
        </w:rPr>
        <w:t>”</w:t>
      </w:r>
      <w:r w:rsidRPr="005B5EC1">
        <w:rPr>
          <w:rFonts w:ascii="Cambria Math" w:hAnsi="Cambria Math" w:cs="Cambria Math"/>
          <w:sz w:val="18"/>
          <w:szCs w:val="18"/>
        </w:rPr>
        <w:t>不包含包括在</w:t>
      </w:r>
      <w:r w:rsidRPr="005B5EC1">
        <w:rPr>
          <w:rFonts w:ascii="Cambria Math" w:hAnsi="Cambria Math" w:cs="Cambria Math"/>
          <w:sz w:val="18"/>
          <w:szCs w:val="18"/>
        </w:rPr>
        <w:t>“</w:t>
      </w:r>
      <w:r w:rsidRPr="005B5EC1">
        <w:rPr>
          <w:rFonts w:ascii="Cambria Math" w:hAnsi="Cambria Math" w:cs="Cambria Math"/>
          <w:sz w:val="18"/>
          <w:szCs w:val="18"/>
        </w:rPr>
        <w:t>短期租赁费用</w:t>
      </w:r>
      <w:r w:rsidRPr="005B5EC1">
        <w:rPr>
          <w:rFonts w:ascii="Cambria Math" w:hAnsi="Cambria Math" w:cs="Cambria Math"/>
          <w:sz w:val="18"/>
          <w:szCs w:val="18"/>
        </w:rPr>
        <w:t>”</w:t>
      </w:r>
      <w:r w:rsidRPr="005B5EC1">
        <w:rPr>
          <w:rFonts w:ascii="Cambria Math" w:hAnsi="Cambria Math" w:cs="Cambria Math"/>
          <w:sz w:val="18"/>
          <w:szCs w:val="18"/>
        </w:rPr>
        <w:t>中的低价值资产短期租赁费用。</w:t>
      </w:r>
    </w:p>
    <w:p w14:paraId="2D04BCD4"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Cambria Math" w:hAnsi="Cambria Math" w:cs="Cambria Math"/>
          <w:sz w:val="18"/>
          <w:szCs w:val="18"/>
        </w:rPr>
      </w:pPr>
      <w:r w:rsidRPr="005B5EC1">
        <w:rPr>
          <w:rFonts w:ascii="Cambria Math" w:hAnsi="Cambria Math" w:cs="Cambria Math"/>
          <w:sz w:val="18"/>
          <w:szCs w:val="18"/>
        </w:rPr>
        <w:t>③</w:t>
      </w:r>
      <w:r w:rsidRPr="005B5EC1">
        <w:rPr>
          <w:rFonts w:ascii="Cambria Math" w:hAnsi="Cambria Math" w:cs="Cambria Math"/>
          <w:sz w:val="18"/>
          <w:szCs w:val="18"/>
        </w:rPr>
        <w:t>与租赁相关的现金流量流出情况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54"/>
        <w:gridCol w:w="2195"/>
        <w:gridCol w:w="1801"/>
        <w:gridCol w:w="1703"/>
      </w:tblGrid>
      <w:tr w:rsidR="00AF139E" w:rsidRPr="005B5EC1" w14:paraId="4F4443EC" w14:textId="77777777" w:rsidTr="005B5EC1">
        <w:trPr>
          <w:divId w:val="486676664"/>
          <w:trHeight w:val="288"/>
        </w:trPr>
        <w:tc>
          <w:tcPr>
            <w:tcW w:w="2108" w:type="pct"/>
            <w:tcMar>
              <w:top w:w="0" w:type="dxa"/>
              <w:left w:w="108" w:type="dxa"/>
              <w:bottom w:w="0" w:type="dxa"/>
              <w:right w:w="108" w:type="dxa"/>
            </w:tcMar>
            <w:vAlign w:val="center"/>
            <w:hideMark/>
          </w:tcPr>
          <w:p w14:paraId="29CCD773"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项目</w:t>
            </w:r>
          </w:p>
        </w:tc>
        <w:tc>
          <w:tcPr>
            <w:tcW w:w="1114" w:type="pct"/>
            <w:tcMar>
              <w:top w:w="0" w:type="dxa"/>
              <w:left w:w="108" w:type="dxa"/>
              <w:bottom w:w="0" w:type="dxa"/>
              <w:right w:w="108" w:type="dxa"/>
            </w:tcMar>
            <w:vAlign w:val="center"/>
            <w:hideMark/>
          </w:tcPr>
          <w:p w14:paraId="327226BA"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现金流量类别</w:t>
            </w:r>
          </w:p>
        </w:tc>
        <w:tc>
          <w:tcPr>
            <w:tcW w:w="914" w:type="pct"/>
            <w:tcMar>
              <w:top w:w="0" w:type="dxa"/>
              <w:left w:w="108" w:type="dxa"/>
              <w:bottom w:w="0" w:type="dxa"/>
              <w:right w:w="108" w:type="dxa"/>
            </w:tcMar>
            <w:vAlign w:val="center"/>
            <w:hideMark/>
          </w:tcPr>
          <w:p w14:paraId="60448024"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本年金额</w:t>
            </w:r>
          </w:p>
        </w:tc>
        <w:tc>
          <w:tcPr>
            <w:tcW w:w="864" w:type="pct"/>
            <w:tcMar>
              <w:top w:w="0" w:type="dxa"/>
              <w:left w:w="108" w:type="dxa"/>
              <w:bottom w:w="0" w:type="dxa"/>
              <w:right w:w="108" w:type="dxa"/>
            </w:tcMar>
            <w:vAlign w:val="center"/>
            <w:hideMark/>
          </w:tcPr>
          <w:p w14:paraId="3EF4C55D"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上年金额</w:t>
            </w:r>
          </w:p>
        </w:tc>
      </w:tr>
      <w:tr w:rsidR="00AF139E" w:rsidRPr="005B5EC1" w14:paraId="79E82A7A" w14:textId="77777777" w:rsidTr="005B5EC1">
        <w:trPr>
          <w:divId w:val="486676664"/>
          <w:trHeight w:val="432"/>
        </w:trPr>
        <w:tc>
          <w:tcPr>
            <w:tcW w:w="2108" w:type="pct"/>
            <w:tcMar>
              <w:top w:w="0" w:type="dxa"/>
              <w:left w:w="108" w:type="dxa"/>
              <w:bottom w:w="0" w:type="dxa"/>
              <w:right w:w="108" w:type="dxa"/>
            </w:tcMar>
            <w:hideMark/>
          </w:tcPr>
          <w:p w14:paraId="08EE84FC"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偿还租赁负债本金和利息所支付的现金</w:t>
            </w:r>
          </w:p>
        </w:tc>
        <w:tc>
          <w:tcPr>
            <w:tcW w:w="1114" w:type="pct"/>
            <w:tcMar>
              <w:top w:w="0" w:type="dxa"/>
              <w:left w:w="108" w:type="dxa"/>
              <w:bottom w:w="0" w:type="dxa"/>
              <w:right w:w="108" w:type="dxa"/>
            </w:tcMar>
            <w:hideMark/>
          </w:tcPr>
          <w:p w14:paraId="41707FA1"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筹资活动现金流出</w:t>
            </w:r>
          </w:p>
        </w:tc>
        <w:tc>
          <w:tcPr>
            <w:tcW w:w="914" w:type="pct"/>
            <w:tcMar>
              <w:top w:w="0" w:type="dxa"/>
              <w:left w:w="108" w:type="dxa"/>
              <w:bottom w:w="0" w:type="dxa"/>
              <w:right w:w="108" w:type="dxa"/>
            </w:tcMar>
            <w:hideMark/>
          </w:tcPr>
          <w:p w14:paraId="13DD134A"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 xml:space="preserve">10,766,110.90 </w:t>
            </w:r>
          </w:p>
        </w:tc>
        <w:tc>
          <w:tcPr>
            <w:tcW w:w="864" w:type="pct"/>
            <w:tcMar>
              <w:top w:w="0" w:type="dxa"/>
              <w:left w:w="108" w:type="dxa"/>
              <w:bottom w:w="0" w:type="dxa"/>
              <w:right w:w="108" w:type="dxa"/>
            </w:tcMar>
            <w:hideMark/>
          </w:tcPr>
          <w:p w14:paraId="2339C285"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10,404,339.87</w:t>
            </w:r>
          </w:p>
        </w:tc>
      </w:tr>
      <w:tr w:rsidR="00AF139E" w:rsidRPr="005B5EC1" w14:paraId="11849E03" w14:textId="77777777" w:rsidTr="005B5EC1">
        <w:trPr>
          <w:divId w:val="486676664"/>
          <w:trHeight w:val="432"/>
        </w:trPr>
        <w:tc>
          <w:tcPr>
            <w:tcW w:w="2108" w:type="pct"/>
            <w:tcMar>
              <w:top w:w="0" w:type="dxa"/>
              <w:left w:w="108" w:type="dxa"/>
              <w:bottom w:w="0" w:type="dxa"/>
              <w:right w:w="108" w:type="dxa"/>
            </w:tcMar>
            <w:hideMark/>
          </w:tcPr>
          <w:p w14:paraId="5AB27312"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对短期租赁和低价值资产支付的付款额（适用于简化处理）</w:t>
            </w:r>
          </w:p>
        </w:tc>
        <w:tc>
          <w:tcPr>
            <w:tcW w:w="1114" w:type="pct"/>
            <w:tcMar>
              <w:top w:w="0" w:type="dxa"/>
              <w:left w:w="108" w:type="dxa"/>
              <w:bottom w:w="0" w:type="dxa"/>
              <w:right w:w="108" w:type="dxa"/>
            </w:tcMar>
            <w:hideMark/>
          </w:tcPr>
          <w:p w14:paraId="0AF550FC"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经营活动现金流出</w:t>
            </w:r>
          </w:p>
        </w:tc>
        <w:tc>
          <w:tcPr>
            <w:tcW w:w="914" w:type="pct"/>
            <w:tcMar>
              <w:top w:w="0" w:type="dxa"/>
              <w:left w:w="108" w:type="dxa"/>
              <w:bottom w:w="0" w:type="dxa"/>
              <w:right w:w="108" w:type="dxa"/>
            </w:tcMar>
            <w:hideMark/>
          </w:tcPr>
          <w:p w14:paraId="0030860E"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 xml:space="preserve">4,077,206.63 </w:t>
            </w:r>
          </w:p>
        </w:tc>
        <w:tc>
          <w:tcPr>
            <w:tcW w:w="864" w:type="pct"/>
            <w:tcMar>
              <w:top w:w="0" w:type="dxa"/>
              <w:left w:w="108" w:type="dxa"/>
              <w:bottom w:w="0" w:type="dxa"/>
              <w:right w:w="108" w:type="dxa"/>
            </w:tcMar>
            <w:hideMark/>
          </w:tcPr>
          <w:p w14:paraId="60936488"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6,017,078.50</w:t>
            </w:r>
          </w:p>
        </w:tc>
      </w:tr>
      <w:tr w:rsidR="00AF139E" w:rsidRPr="005B5EC1" w14:paraId="796EB99D" w14:textId="77777777" w:rsidTr="005B5EC1">
        <w:trPr>
          <w:divId w:val="486676664"/>
          <w:trHeight w:val="288"/>
        </w:trPr>
        <w:tc>
          <w:tcPr>
            <w:tcW w:w="2108" w:type="pct"/>
            <w:tcMar>
              <w:top w:w="0" w:type="dxa"/>
              <w:left w:w="108" w:type="dxa"/>
              <w:bottom w:w="0" w:type="dxa"/>
              <w:right w:w="108" w:type="dxa"/>
            </w:tcMar>
            <w:hideMark/>
          </w:tcPr>
          <w:p w14:paraId="27AE8A78"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合计</w:t>
            </w:r>
          </w:p>
        </w:tc>
        <w:tc>
          <w:tcPr>
            <w:tcW w:w="1114" w:type="pct"/>
            <w:tcMar>
              <w:top w:w="0" w:type="dxa"/>
              <w:left w:w="108" w:type="dxa"/>
              <w:bottom w:w="0" w:type="dxa"/>
              <w:right w:w="108" w:type="dxa"/>
            </w:tcMar>
            <w:hideMark/>
          </w:tcPr>
          <w:p w14:paraId="6E02EBF7"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w:t>
            </w:r>
          </w:p>
        </w:tc>
        <w:tc>
          <w:tcPr>
            <w:tcW w:w="914" w:type="pct"/>
            <w:tcMar>
              <w:top w:w="0" w:type="dxa"/>
              <w:left w:w="108" w:type="dxa"/>
              <w:bottom w:w="0" w:type="dxa"/>
              <w:right w:w="108" w:type="dxa"/>
            </w:tcMar>
            <w:hideMark/>
          </w:tcPr>
          <w:p w14:paraId="012362C9"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14,843,317.53  </w:t>
            </w:r>
          </w:p>
        </w:tc>
        <w:tc>
          <w:tcPr>
            <w:tcW w:w="864" w:type="pct"/>
            <w:tcMar>
              <w:top w:w="0" w:type="dxa"/>
              <w:left w:w="108" w:type="dxa"/>
              <w:bottom w:w="0" w:type="dxa"/>
              <w:right w:w="108" w:type="dxa"/>
            </w:tcMar>
            <w:hideMark/>
          </w:tcPr>
          <w:p w14:paraId="45917CD4"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16,421,418.37</w:t>
            </w:r>
          </w:p>
        </w:tc>
      </w:tr>
    </w:tbl>
    <w:p w14:paraId="27D3B738"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Cambria Math" w:hAnsi="Cambria Math" w:cs="Cambria Math"/>
          <w:sz w:val="18"/>
          <w:szCs w:val="18"/>
        </w:rPr>
      </w:pPr>
      <w:r w:rsidRPr="005B5EC1">
        <w:rPr>
          <w:rFonts w:ascii="Cambria Math" w:hAnsi="Cambria Math" w:cs="Cambria Math"/>
          <w:sz w:val="18"/>
          <w:szCs w:val="18"/>
        </w:rPr>
        <w:t>④</w:t>
      </w:r>
      <w:r w:rsidRPr="005B5EC1">
        <w:rPr>
          <w:rFonts w:ascii="Cambria Math" w:hAnsi="Cambria Math" w:cs="Cambria Math"/>
          <w:sz w:val="18"/>
          <w:szCs w:val="18"/>
        </w:rPr>
        <w:t>其他信息</w:t>
      </w:r>
    </w:p>
    <w:p w14:paraId="0028AA80"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Cambria Math" w:hAnsi="Cambria Math" w:cs="Cambria Math"/>
          <w:sz w:val="18"/>
          <w:szCs w:val="18"/>
        </w:rPr>
      </w:pPr>
      <w:r w:rsidRPr="005B5EC1">
        <w:rPr>
          <w:rFonts w:ascii="Cambria Math" w:hAnsi="Cambria Math" w:cs="Cambria Math"/>
          <w:sz w:val="18"/>
          <w:szCs w:val="18"/>
        </w:rPr>
        <w:t>A</w:t>
      </w:r>
      <w:r w:rsidRPr="005B5EC1">
        <w:rPr>
          <w:rFonts w:ascii="Cambria Math" w:hAnsi="Cambria Math" w:cs="Cambria Math"/>
          <w:sz w:val="18"/>
          <w:szCs w:val="18"/>
        </w:rPr>
        <w:t>、租赁活动的性质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8"/>
        <w:gridCol w:w="1531"/>
        <w:gridCol w:w="1626"/>
        <w:gridCol w:w="1602"/>
        <w:gridCol w:w="1626"/>
      </w:tblGrid>
      <w:tr w:rsidR="00AF139E" w:rsidRPr="005B5EC1" w14:paraId="2D0A365D" w14:textId="77777777" w:rsidTr="005B5EC1">
        <w:trPr>
          <w:divId w:val="486676664"/>
          <w:trHeight w:val="444"/>
        </w:trPr>
        <w:tc>
          <w:tcPr>
            <w:tcW w:w="1760" w:type="pct"/>
            <w:tcMar>
              <w:top w:w="0" w:type="dxa"/>
              <w:left w:w="108" w:type="dxa"/>
              <w:bottom w:w="0" w:type="dxa"/>
              <w:right w:w="108" w:type="dxa"/>
            </w:tcMar>
            <w:vAlign w:val="center"/>
            <w:hideMark/>
          </w:tcPr>
          <w:p w14:paraId="3321AB18"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公司</w:t>
            </w:r>
          </w:p>
        </w:tc>
        <w:tc>
          <w:tcPr>
            <w:tcW w:w="777" w:type="pct"/>
            <w:tcMar>
              <w:top w:w="0" w:type="dxa"/>
              <w:left w:w="108" w:type="dxa"/>
              <w:bottom w:w="0" w:type="dxa"/>
              <w:right w:w="108" w:type="dxa"/>
            </w:tcMar>
            <w:vAlign w:val="center"/>
            <w:hideMark/>
          </w:tcPr>
          <w:p w14:paraId="2DAD9336"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租入资产类别</w:t>
            </w:r>
          </w:p>
        </w:tc>
        <w:tc>
          <w:tcPr>
            <w:tcW w:w="825" w:type="pct"/>
            <w:tcMar>
              <w:top w:w="0" w:type="dxa"/>
              <w:left w:w="108" w:type="dxa"/>
              <w:bottom w:w="0" w:type="dxa"/>
              <w:right w:w="108" w:type="dxa"/>
            </w:tcMar>
            <w:vAlign w:val="center"/>
            <w:hideMark/>
          </w:tcPr>
          <w:p w14:paraId="76F53829"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数量</w:t>
            </w:r>
          </w:p>
        </w:tc>
        <w:tc>
          <w:tcPr>
            <w:tcW w:w="813" w:type="pct"/>
            <w:tcMar>
              <w:top w:w="0" w:type="dxa"/>
              <w:left w:w="108" w:type="dxa"/>
              <w:bottom w:w="0" w:type="dxa"/>
              <w:right w:w="108" w:type="dxa"/>
            </w:tcMar>
            <w:vAlign w:val="center"/>
            <w:hideMark/>
          </w:tcPr>
          <w:p w14:paraId="387869EA"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租赁期</w:t>
            </w:r>
          </w:p>
        </w:tc>
        <w:tc>
          <w:tcPr>
            <w:tcW w:w="825" w:type="pct"/>
            <w:tcMar>
              <w:top w:w="0" w:type="dxa"/>
              <w:left w:w="108" w:type="dxa"/>
              <w:bottom w:w="0" w:type="dxa"/>
              <w:right w:w="108" w:type="dxa"/>
            </w:tcMar>
            <w:vAlign w:val="center"/>
            <w:hideMark/>
          </w:tcPr>
          <w:p w14:paraId="7E841AEF"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是否存在续租选择权</w:t>
            </w:r>
          </w:p>
        </w:tc>
      </w:tr>
      <w:tr w:rsidR="00AF139E" w:rsidRPr="005B5EC1" w14:paraId="25A44FCA" w14:textId="77777777" w:rsidTr="005B5EC1">
        <w:trPr>
          <w:divId w:val="486676664"/>
          <w:trHeight w:val="276"/>
        </w:trPr>
        <w:tc>
          <w:tcPr>
            <w:tcW w:w="1760" w:type="pct"/>
            <w:tcMar>
              <w:top w:w="0" w:type="dxa"/>
              <w:left w:w="108" w:type="dxa"/>
              <w:bottom w:w="0" w:type="dxa"/>
              <w:right w:w="108" w:type="dxa"/>
            </w:tcMar>
            <w:vAlign w:val="center"/>
            <w:hideMark/>
          </w:tcPr>
          <w:p w14:paraId="7BD46B38"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烟台龙大养殖</w:t>
            </w:r>
          </w:p>
        </w:tc>
        <w:tc>
          <w:tcPr>
            <w:tcW w:w="777" w:type="pct"/>
            <w:tcMar>
              <w:top w:w="0" w:type="dxa"/>
              <w:left w:w="108" w:type="dxa"/>
              <w:bottom w:w="0" w:type="dxa"/>
              <w:right w:w="108" w:type="dxa"/>
            </w:tcMar>
            <w:vAlign w:val="center"/>
            <w:hideMark/>
          </w:tcPr>
          <w:p w14:paraId="1F223097"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土地</w:t>
            </w:r>
          </w:p>
        </w:tc>
        <w:tc>
          <w:tcPr>
            <w:tcW w:w="825" w:type="pct"/>
            <w:tcMar>
              <w:top w:w="0" w:type="dxa"/>
              <w:left w:w="108" w:type="dxa"/>
              <w:bottom w:w="0" w:type="dxa"/>
              <w:right w:w="108" w:type="dxa"/>
            </w:tcMar>
            <w:vAlign w:val="center"/>
            <w:hideMark/>
          </w:tcPr>
          <w:p w14:paraId="7DAEE466"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30</w:t>
            </w:r>
          </w:p>
        </w:tc>
        <w:tc>
          <w:tcPr>
            <w:tcW w:w="813" w:type="pct"/>
            <w:tcMar>
              <w:top w:w="0" w:type="dxa"/>
              <w:left w:w="108" w:type="dxa"/>
              <w:bottom w:w="0" w:type="dxa"/>
              <w:right w:w="108" w:type="dxa"/>
            </w:tcMar>
            <w:vAlign w:val="center"/>
            <w:hideMark/>
          </w:tcPr>
          <w:p w14:paraId="397D0B33"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5</w:t>
            </w:r>
            <w:r w:rsidRPr="005B5EC1">
              <w:rPr>
                <w:rFonts w:ascii="Times New Roman" w:hAnsi="Times New Roman" w:cs="Times New Roman"/>
                <w:color w:val="000000"/>
                <w:sz w:val="18"/>
                <w:szCs w:val="18"/>
              </w:rPr>
              <w:t>年</w:t>
            </w:r>
            <w:r w:rsidRPr="005B5EC1">
              <w:rPr>
                <w:rFonts w:ascii="Times New Roman" w:hAnsi="Times New Roman" w:cs="Times New Roman"/>
                <w:color w:val="000000"/>
                <w:sz w:val="18"/>
                <w:szCs w:val="18"/>
              </w:rPr>
              <w:t>-20</w:t>
            </w:r>
            <w:r w:rsidRPr="005B5EC1">
              <w:rPr>
                <w:rFonts w:ascii="Times New Roman" w:hAnsi="Times New Roman" w:cs="Times New Roman"/>
                <w:color w:val="000000"/>
                <w:sz w:val="18"/>
                <w:szCs w:val="18"/>
              </w:rPr>
              <w:t>年</w:t>
            </w:r>
          </w:p>
        </w:tc>
        <w:tc>
          <w:tcPr>
            <w:tcW w:w="825" w:type="pct"/>
            <w:tcMar>
              <w:top w:w="0" w:type="dxa"/>
              <w:left w:w="108" w:type="dxa"/>
              <w:bottom w:w="0" w:type="dxa"/>
              <w:right w:w="108" w:type="dxa"/>
            </w:tcMar>
            <w:vAlign w:val="center"/>
            <w:hideMark/>
          </w:tcPr>
          <w:p w14:paraId="0D237DF8"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否</w:t>
            </w:r>
          </w:p>
        </w:tc>
      </w:tr>
      <w:tr w:rsidR="00AF139E" w:rsidRPr="005B5EC1" w14:paraId="7706EB1D" w14:textId="77777777" w:rsidTr="005B5EC1">
        <w:trPr>
          <w:divId w:val="486676664"/>
          <w:trHeight w:val="276"/>
        </w:trPr>
        <w:tc>
          <w:tcPr>
            <w:tcW w:w="1760" w:type="pct"/>
            <w:tcMar>
              <w:top w:w="0" w:type="dxa"/>
              <w:left w:w="108" w:type="dxa"/>
              <w:bottom w:w="0" w:type="dxa"/>
              <w:right w:w="108" w:type="dxa"/>
            </w:tcMar>
            <w:vAlign w:val="center"/>
            <w:hideMark/>
          </w:tcPr>
          <w:p w14:paraId="2B95B0CE"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莱阳龙大养殖</w:t>
            </w:r>
          </w:p>
        </w:tc>
        <w:tc>
          <w:tcPr>
            <w:tcW w:w="777" w:type="pct"/>
            <w:tcMar>
              <w:top w:w="0" w:type="dxa"/>
              <w:left w:w="108" w:type="dxa"/>
              <w:bottom w:w="0" w:type="dxa"/>
              <w:right w:w="108" w:type="dxa"/>
            </w:tcMar>
            <w:vAlign w:val="center"/>
            <w:hideMark/>
          </w:tcPr>
          <w:p w14:paraId="28ACA00F"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土地</w:t>
            </w:r>
          </w:p>
        </w:tc>
        <w:tc>
          <w:tcPr>
            <w:tcW w:w="825" w:type="pct"/>
            <w:tcMar>
              <w:top w:w="0" w:type="dxa"/>
              <w:left w:w="108" w:type="dxa"/>
              <w:bottom w:w="0" w:type="dxa"/>
              <w:right w:w="108" w:type="dxa"/>
            </w:tcMar>
            <w:vAlign w:val="center"/>
            <w:hideMark/>
          </w:tcPr>
          <w:p w14:paraId="01853565"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9</w:t>
            </w:r>
          </w:p>
        </w:tc>
        <w:tc>
          <w:tcPr>
            <w:tcW w:w="813" w:type="pct"/>
            <w:tcMar>
              <w:top w:w="0" w:type="dxa"/>
              <w:left w:w="108" w:type="dxa"/>
              <w:bottom w:w="0" w:type="dxa"/>
              <w:right w:w="108" w:type="dxa"/>
            </w:tcMar>
            <w:vAlign w:val="center"/>
            <w:hideMark/>
          </w:tcPr>
          <w:p w14:paraId="6E5E2447"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20</w:t>
            </w:r>
            <w:r w:rsidRPr="005B5EC1">
              <w:rPr>
                <w:rFonts w:ascii="Times New Roman" w:hAnsi="Times New Roman" w:cs="Times New Roman"/>
                <w:color w:val="000000"/>
                <w:sz w:val="18"/>
                <w:szCs w:val="18"/>
              </w:rPr>
              <w:t>年</w:t>
            </w:r>
          </w:p>
        </w:tc>
        <w:tc>
          <w:tcPr>
            <w:tcW w:w="825" w:type="pct"/>
            <w:tcMar>
              <w:top w:w="0" w:type="dxa"/>
              <w:left w:w="108" w:type="dxa"/>
              <w:bottom w:w="0" w:type="dxa"/>
              <w:right w:w="108" w:type="dxa"/>
            </w:tcMar>
            <w:vAlign w:val="center"/>
            <w:hideMark/>
          </w:tcPr>
          <w:p w14:paraId="2CA2A7AA"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是</w:t>
            </w:r>
          </w:p>
        </w:tc>
      </w:tr>
      <w:tr w:rsidR="00AF139E" w:rsidRPr="005B5EC1" w14:paraId="3809BBC4" w14:textId="77777777" w:rsidTr="005B5EC1">
        <w:trPr>
          <w:divId w:val="486676664"/>
          <w:trHeight w:val="276"/>
        </w:trPr>
        <w:tc>
          <w:tcPr>
            <w:tcW w:w="1760" w:type="pct"/>
            <w:tcMar>
              <w:top w:w="0" w:type="dxa"/>
              <w:left w:w="108" w:type="dxa"/>
              <w:bottom w:w="0" w:type="dxa"/>
              <w:right w:w="108" w:type="dxa"/>
            </w:tcMar>
            <w:vAlign w:val="center"/>
            <w:hideMark/>
          </w:tcPr>
          <w:p w14:paraId="5F76A6E1"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安丘龙大养殖</w:t>
            </w:r>
          </w:p>
        </w:tc>
        <w:tc>
          <w:tcPr>
            <w:tcW w:w="777" w:type="pct"/>
            <w:tcMar>
              <w:top w:w="0" w:type="dxa"/>
              <w:left w:w="108" w:type="dxa"/>
              <w:bottom w:w="0" w:type="dxa"/>
              <w:right w:w="108" w:type="dxa"/>
            </w:tcMar>
            <w:vAlign w:val="center"/>
            <w:hideMark/>
          </w:tcPr>
          <w:p w14:paraId="65ECDC94"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土地</w:t>
            </w:r>
          </w:p>
        </w:tc>
        <w:tc>
          <w:tcPr>
            <w:tcW w:w="825" w:type="pct"/>
            <w:tcMar>
              <w:top w:w="0" w:type="dxa"/>
              <w:left w:w="108" w:type="dxa"/>
              <w:bottom w:w="0" w:type="dxa"/>
              <w:right w:w="108" w:type="dxa"/>
            </w:tcMar>
            <w:vAlign w:val="center"/>
            <w:hideMark/>
          </w:tcPr>
          <w:p w14:paraId="4AD7079C"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10</w:t>
            </w:r>
          </w:p>
        </w:tc>
        <w:tc>
          <w:tcPr>
            <w:tcW w:w="813" w:type="pct"/>
            <w:tcMar>
              <w:top w:w="0" w:type="dxa"/>
              <w:left w:w="108" w:type="dxa"/>
              <w:bottom w:w="0" w:type="dxa"/>
              <w:right w:w="108" w:type="dxa"/>
            </w:tcMar>
            <w:vAlign w:val="center"/>
            <w:hideMark/>
          </w:tcPr>
          <w:p w14:paraId="364BD074"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20</w:t>
            </w:r>
            <w:r w:rsidRPr="005B5EC1">
              <w:rPr>
                <w:rFonts w:ascii="Times New Roman" w:hAnsi="Times New Roman" w:cs="Times New Roman"/>
                <w:color w:val="000000"/>
                <w:sz w:val="18"/>
                <w:szCs w:val="18"/>
              </w:rPr>
              <w:t>年</w:t>
            </w:r>
          </w:p>
        </w:tc>
        <w:tc>
          <w:tcPr>
            <w:tcW w:w="825" w:type="pct"/>
            <w:tcMar>
              <w:top w:w="0" w:type="dxa"/>
              <w:left w:w="108" w:type="dxa"/>
              <w:bottom w:w="0" w:type="dxa"/>
              <w:right w:w="108" w:type="dxa"/>
            </w:tcMar>
            <w:vAlign w:val="center"/>
            <w:hideMark/>
          </w:tcPr>
          <w:p w14:paraId="1588B162"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是</w:t>
            </w:r>
          </w:p>
        </w:tc>
      </w:tr>
      <w:tr w:rsidR="00AF139E" w:rsidRPr="005B5EC1" w14:paraId="6EDE924B" w14:textId="77777777" w:rsidTr="005B5EC1">
        <w:trPr>
          <w:divId w:val="486676664"/>
          <w:trHeight w:val="276"/>
        </w:trPr>
        <w:tc>
          <w:tcPr>
            <w:tcW w:w="1760" w:type="pct"/>
            <w:tcMar>
              <w:top w:w="0" w:type="dxa"/>
              <w:left w:w="108" w:type="dxa"/>
              <w:bottom w:w="0" w:type="dxa"/>
              <w:right w:w="108" w:type="dxa"/>
            </w:tcMar>
            <w:vAlign w:val="center"/>
            <w:hideMark/>
          </w:tcPr>
          <w:p w14:paraId="68752CC3"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莱州龙大养殖</w:t>
            </w:r>
          </w:p>
        </w:tc>
        <w:tc>
          <w:tcPr>
            <w:tcW w:w="777" w:type="pct"/>
            <w:tcMar>
              <w:top w:w="0" w:type="dxa"/>
              <w:left w:w="108" w:type="dxa"/>
              <w:bottom w:w="0" w:type="dxa"/>
              <w:right w:w="108" w:type="dxa"/>
            </w:tcMar>
            <w:vAlign w:val="center"/>
            <w:hideMark/>
          </w:tcPr>
          <w:p w14:paraId="72431785"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土地</w:t>
            </w:r>
          </w:p>
        </w:tc>
        <w:tc>
          <w:tcPr>
            <w:tcW w:w="825" w:type="pct"/>
            <w:tcMar>
              <w:top w:w="0" w:type="dxa"/>
              <w:left w:w="108" w:type="dxa"/>
              <w:bottom w:w="0" w:type="dxa"/>
              <w:right w:w="108" w:type="dxa"/>
            </w:tcMar>
            <w:vAlign w:val="center"/>
            <w:hideMark/>
          </w:tcPr>
          <w:p w14:paraId="12EA2BA0"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5</w:t>
            </w:r>
          </w:p>
        </w:tc>
        <w:tc>
          <w:tcPr>
            <w:tcW w:w="813" w:type="pct"/>
            <w:tcMar>
              <w:top w:w="0" w:type="dxa"/>
              <w:left w:w="108" w:type="dxa"/>
              <w:bottom w:w="0" w:type="dxa"/>
              <w:right w:w="108" w:type="dxa"/>
            </w:tcMar>
            <w:vAlign w:val="center"/>
            <w:hideMark/>
          </w:tcPr>
          <w:p w14:paraId="3C985897"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20</w:t>
            </w:r>
            <w:r w:rsidRPr="005B5EC1">
              <w:rPr>
                <w:rFonts w:ascii="Times New Roman" w:hAnsi="Times New Roman" w:cs="Times New Roman"/>
                <w:color w:val="000000"/>
                <w:sz w:val="18"/>
                <w:szCs w:val="18"/>
              </w:rPr>
              <w:t>年</w:t>
            </w:r>
          </w:p>
        </w:tc>
        <w:tc>
          <w:tcPr>
            <w:tcW w:w="825" w:type="pct"/>
            <w:tcMar>
              <w:top w:w="0" w:type="dxa"/>
              <w:left w:w="108" w:type="dxa"/>
              <w:bottom w:w="0" w:type="dxa"/>
              <w:right w:w="108" w:type="dxa"/>
            </w:tcMar>
            <w:vAlign w:val="center"/>
            <w:hideMark/>
          </w:tcPr>
          <w:p w14:paraId="3B8B6CED"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是</w:t>
            </w:r>
          </w:p>
        </w:tc>
      </w:tr>
      <w:tr w:rsidR="00AF139E" w:rsidRPr="005B5EC1" w14:paraId="0F5AD122" w14:textId="77777777" w:rsidTr="005B5EC1">
        <w:trPr>
          <w:divId w:val="486676664"/>
          <w:trHeight w:val="276"/>
        </w:trPr>
        <w:tc>
          <w:tcPr>
            <w:tcW w:w="1760" w:type="pct"/>
            <w:tcMar>
              <w:top w:w="0" w:type="dxa"/>
              <w:left w:w="108" w:type="dxa"/>
              <w:bottom w:w="0" w:type="dxa"/>
              <w:right w:w="108" w:type="dxa"/>
            </w:tcMar>
            <w:vAlign w:val="center"/>
            <w:hideMark/>
          </w:tcPr>
          <w:p w14:paraId="6B9F2B0C"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生猪产品技术</w:t>
            </w:r>
          </w:p>
        </w:tc>
        <w:tc>
          <w:tcPr>
            <w:tcW w:w="777" w:type="pct"/>
            <w:tcMar>
              <w:top w:w="0" w:type="dxa"/>
              <w:left w:w="108" w:type="dxa"/>
              <w:bottom w:w="0" w:type="dxa"/>
              <w:right w:w="108" w:type="dxa"/>
            </w:tcMar>
            <w:vAlign w:val="center"/>
            <w:hideMark/>
          </w:tcPr>
          <w:p w14:paraId="54436976"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房屋建筑物</w:t>
            </w:r>
          </w:p>
        </w:tc>
        <w:tc>
          <w:tcPr>
            <w:tcW w:w="825" w:type="pct"/>
            <w:tcMar>
              <w:top w:w="0" w:type="dxa"/>
              <w:left w:w="108" w:type="dxa"/>
              <w:bottom w:w="0" w:type="dxa"/>
              <w:right w:w="108" w:type="dxa"/>
            </w:tcMar>
            <w:vAlign w:val="center"/>
            <w:hideMark/>
          </w:tcPr>
          <w:p w14:paraId="3931C8AE"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2</w:t>
            </w:r>
          </w:p>
        </w:tc>
        <w:tc>
          <w:tcPr>
            <w:tcW w:w="813" w:type="pct"/>
            <w:tcMar>
              <w:top w:w="0" w:type="dxa"/>
              <w:left w:w="108" w:type="dxa"/>
              <w:bottom w:w="0" w:type="dxa"/>
              <w:right w:w="108" w:type="dxa"/>
            </w:tcMar>
            <w:vAlign w:val="center"/>
            <w:hideMark/>
          </w:tcPr>
          <w:p w14:paraId="45EC9BDE"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5</w:t>
            </w:r>
            <w:r w:rsidRPr="005B5EC1">
              <w:rPr>
                <w:rFonts w:ascii="Times New Roman" w:hAnsi="Times New Roman" w:cs="Times New Roman"/>
                <w:color w:val="000000"/>
                <w:sz w:val="18"/>
                <w:szCs w:val="18"/>
              </w:rPr>
              <w:t>年</w:t>
            </w:r>
          </w:p>
        </w:tc>
        <w:tc>
          <w:tcPr>
            <w:tcW w:w="825" w:type="pct"/>
            <w:tcMar>
              <w:top w:w="0" w:type="dxa"/>
              <w:left w:w="108" w:type="dxa"/>
              <w:bottom w:w="0" w:type="dxa"/>
              <w:right w:w="108" w:type="dxa"/>
            </w:tcMar>
            <w:vAlign w:val="center"/>
            <w:hideMark/>
          </w:tcPr>
          <w:p w14:paraId="212479A1"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否</w:t>
            </w:r>
          </w:p>
        </w:tc>
      </w:tr>
      <w:tr w:rsidR="00AF139E" w:rsidRPr="005B5EC1" w14:paraId="13222935" w14:textId="77777777" w:rsidTr="005B5EC1">
        <w:trPr>
          <w:divId w:val="486676664"/>
          <w:trHeight w:val="288"/>
        </w:trPr>
        <w:tc>
          <w:tcPr>
            <w:tcW w:w="1760" w:type="pct"/>
            <w:tcMar>
              <w:top w:w="0" w:type="dxa"/>
              <w:left w:w="108" w:type="dxa"/>
              <w:bottom w:w="0" w:type="dxa"/>
              <w:right w:w="108" w:type="dxa"/>
            </w:tcMar>
            <w:vAlign w:val="center"/>
            <w:hideMark/>
          </w:tcPr>
          <w:p w14:paraId="2A15CF4F"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烟台龙大饲料</w:t>
            </w:r>
          </w:p>
        </w:tc>
        <w:tc>
          <w:tcPr>
            <w:tcW w:w="777" w:type="pct"/>
            <w:tcMar>
              <w:top w:w="0" w:type="dxa"/>
              <w:left w:w="108" w:type="dxa"/>
              <w:bottom w:w="0" w:type="dxa"/>
              <w:right w:w="108" w:type="dxa"/>
            </w:tcMar>
            <w:vAlign w:val="center"/>
            <w:hideMark/>
          </w:tcPr>
          <w:p w14:paraId="21BEC7E4"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房屋建筑物</w:t>
            </w:r>
          </w:p>
        </w:tc>
        <w:tc>
          <w:tcPr>
            <w:tcW w:w="825" w:type="pct"/>
            <w:tcMar>
              <w:top w:w="0" w:type="dxa"/>
              <w:left w:w="108" w:type="dxa"/>
              <w:bottom w:w="0" w:type="dxa"/>
              <w:right w:w="108" w:type="dxa"/>
            </w:tcMar>
            <w:vAlign w:val="center"/>
            <w:hideMark/>
          </w:tcPr>
          <w:p w14:paraId="2F074687"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2</w:t>
            </w:r>
          </w:p>
        </w:tc>
        <w:tc>
          <w:tcPr>
            <w:tcW w:w="813" w:type="pct"/>
            <w:tcMar>
              <w:top w:w="0" w:type="dxa"/>
              <w:left w:w="108" w:type="dxa"/>
              <w:bottom w:w="0" w:type="dxa"/>
              <w:right w:w="108" w:type="dxa"/>
            </w:tcMar>
            <w:vAlign w:val="center"/>
            <w:hideMark/>
          </w:tcPr>
          <w:p w14:paraId="45297492"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5</w:t>
            </w:r>
            <w:r w:rsidRPr="005B5EC1">
              <w:rPr>
                <w:rFonts w:ascii="Times New Roman" w:hAnsi="Times New Roman" w:cs="Times New Roman"/>
                <w:color w:val="000000"/>
                <w:sz w:val="18"/>
                <w:szCs w:val="18"/>
              </w:rPr>
              <w:t>年</w:t>
            </w:r>
          </w:p>
        </w:tc>
        <w:tc>
          <w:tcPr>
            <w:tcW w:w="825" w:type="pct"/>
            <w:tcMar>
              <w:top w:w="0" w:type="dxa"/>
              <w:left w:w="108" w:type="dxa"/>
              <w:bottom w:w="0" w:type="dxa"/>
              <w:right w:w="108" w:type="dxa"/>
            </w:tcMar>
            <w:vAlign w:val="center"/>
            <w:hideMark/>
          </w:tcPr>
          <w:p w14:paraId="6269E279"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否</w:t>
            </w:r>
          </w:p>
        </w:tc>
      </w:tr>
    </w:tbl>
    <w:p w14:paraId="2093834A"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rFonts w:ascii="Times New Roman" w:hAnsi="Times New Roman" w:cs="Times New Roman"/>
          <w:sz w:val="18"/>
          <w:szCs w:val="18"/>
        </w:rPr>
        <w:t>（</w:t>
      </w:r>
      <w:r w:rsidRPr="005B5EC1">
        <w:rPr>
          <w:rFonts w:ascii="Times New Roman" w:hAnsi="Times New Roman" w:cs="Times New Roman"/>
          <w:sz w:val="18"/>
          <w:szCs w:val="18"/>
        </w:rPr>
        <w:t>2</w:t>
      </w:r>
      <w:r w:rsidRPr="005B5EC1">
        <w:rPr>
          <w:rFonts w:ascii="Times New Roman" w:hAnsi="Times New Roman" w:cs="Times New Roman"/>
          <w:sz w:val="18"/>
          <w:szCs w:val="18"/>
        </w:rPr>
        <w:t>）本集团作为出租人</w:t>
      </w:r>
    </w:p>
    <w:p w14:paraId="562067BA"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rFonts w:ascii="Cambria Math" w:hAnsi="Cambria Math" w:cs="Cambria Math"/>
          <w:sz w:val="18"/>
          <w:szCs w:val="18"/>
        </w:rPr>
        <w:t>①</w:t>
      </w:r>
      <w:r w:rsidRPr="005B5EC1">
        <w:rPr>
          <w:rFonts w:ascii="Times New Roman" w:hAnsi="Times New Roman" w:cs="Times New Roman"/>
          <w:sz w:val="18"/>
          <w:szCs w:val="18"/>
        </w:rPr>
        <w:t>与经营租赁有关的信息</w:t>
      </w:r>
    </w:p>
    <w:p w14:paraId="34382D1A"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rFonts w:ascii="Times New Roman" w:hAnsi="Times New Roman" w:cs="Times New Roman"/>
          <w:sz w:val="18"/>
          <w:szCs w:val="18"/>
        </w:rPr>
        <w:t>A</w:t>
      </w:r>
      <w:r w:rsidRPr="005B5EC1">
        <w:rPr>
          <w:rFonts w:ascii="Times New Roman" w:hAnsi="Times New Roman" w:cs="Times New Roman"/>
          <w:sz w:val="18"/>
          <w:szCs w:val="18"/>
        </w:rPr>
        <w:t>、计入本年损益的情况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8"/>
        <w:gridCol w:w="1531"/>
        <w:gridCol w:w="1626"/>
        <w:gridCol w:w="1602"/>
        <w:gridCol w:w="1626"/>
      </w:tblGrid>
      <w:tr w:rsidR="00AF139E" w:rsidRPr="005B5EC1" w14:paraId="7351DE39" w14:textId="77777777" w:rsidTr="005B5EC1">
        <w:trPr>
          <w:divId w:val="486676664"/>
          <w:trHeight w:val="288"/>
        </w:trPr>
        <w:tc>
          <w:tcPr>
            <w:tcW w:w="1760" w:type="pct"/>
            <w:vMerge w:val="restart"/>
            <w:tcMar>
              <w:top w:w="0" w:type="dxa"/>
              <w:left w:w="108" w:type="dxa"/>
              <w:bottom w:w="0" w:type="dxa"/>
              <w:right w:w="108" w:type="dxa"/>
            </w:tcMar>
            <w:vAlign w:val="center"/>
            <w:hideMark/>
          </w:tcPr>
          <w:p w14:paraId="6A2712D0"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项目</w:t>
            </w:r>
          </w:p>
        </w:tc>
        <w:tc>
          <w:tcPr>
            <w:tcW w:w="1602" w:type="pct"/>
            <w:gridSpan w:val="2"/>
            <w:tcMar>
              <w:top w:w="0" w:type="dxa"/>
              <w:left w:w="108" w:type="dxa"/>
              <w:bottom w:w="0" w:type="dxa"/>
              <w:right w:w="108" w:type="dxa"/>
            </w:tcMar>
            <w:vAlign w:val="center"/>
            <w:hideMark/>
          </w:tcPr>
          <w:p w14:paraId="7809A3A1"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计入本年损益</w:t>
            </w:r>
          </w:p>
        </w:tc>
        <w:tc>
          <w:tcPr>
            <w:tcW w:w="1638" w:type="pct"/>
            <w:gridSpan w:val="2"/>
            <w:tcMar>
              <w:top w:w="0" w:type="dxa"/>
              <w:left w:w="108" w:type="dxa"/>
              <w:bottom w:w="0" w:type="dxa"/>
              <w:right w:w="108" w:type="dxa"/>
            </w:tcMar>
            <w:vAlign w:val="center"/>
            <w:hideMark/>
          </w:tcPr>
          <w:p w14:paraId="24D7512C"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计入上年损益</w:t>
            </w:r>
          </w:p>
        </w:tc>
      </w:tr>
      <w:tr w:rsidR="00AF139E" w:rsidRPr="005B5EC1" w14:paraId="101AC83A" w14:textId="77777777" w:rsidTr="005B5EC1">
        <w:trPr>
          <w:divId w:val="486676664"/>
          <w:trHeight w:val="276"/>
        </w:trPr>
        <w:tc>
          <w:tcPr>
            <w:tcW w:w="0" w:type="auto"/>
            <w:vMerge/>
            <w:vAlign w:val="center"/>
            <w:hideMark/>
          </w:tcPr>
          <w:p w14:paraId="26C7175C" w14:textId="77777777" w:rsidR="00AF139E" w:rsidRPr="005B5EC1" w:rsidRDefault="00AF139E" w:rsidP="005B5EC1">
            <w:pPr>
              <w:spacing w:after="0" w:line="276" w:lineRule="auto"/>
              <w:rPr>
                <w:rFonts w:ascii="Times New Roman" w:eastAsia="宋体" w:hAnsi="Times New Roman" w:cs="Times New Roman"/>
                <w:sz w:val="21"/>
                <w:szCs w:val="21"/>
              </w:rPr>
            </w:pPr>
          </w:p>
        </w:tc>
        <w:tc>
          <w:tcPr>
            <w:tcW w:w="777" w:type="pct"/>
            <w:tcMar>
              <w:top w:w="0" w:type="dxa"/>
              <w:left w:w="108" w:type="dxa"/>
              <w:bottom w:w="0" w:type="dxa"/>
              <w:right w:w="108" w:type="dxa"/>
            </w:tcMar>
            <w:vAlign w:val="center"/>
            <w:hideMark/>
          </w:tcPr>
          <w:p w14:paraId="3ED7F891"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列</w:t>
            </w:r>
            <w:proofErr w:type="gramStart"/>
            <w:r w:rsidRPr="005B5EC1">
              <w:rPr>
                <w:rFonts w:ascii="Times New Roman" w:hAnsi="Times New Roman" w:cs="Times New Roman"/>
                <w:color w:val="000000"/>
                <w:sz w:val="18"/>
                <w:szCs w:val="18"/>
              </w:rPr>
              <w:t>报项目</w:t>
            </w:r>
            <w:proofErr w:type="gramEnd"/>
          </w:p>
        </w:tc>
        <w:tc>
          <w:tcPr>
            <w:tcW w:w="825" w:type="pct"/>
            <w:tcMar>
              <w:top w:w="0" w:type="dxa"/>
              <w:left w:w="108" w:type="dxa"/>
              <w:bottom w:w="0" w:type="dxa"/>
              <w:right w:w="108" w:type="dxa"/>
            </w:tcMar>
            <w:vAlign w:val="center"/>
            <w:hideMark/>
          </w:tcPr>
          <w:p w14:paraId="7E67ABD6"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金额</w:t>
            </w:r>
          </w:p>
        </w:tc>
        <w:tc>
          <w:tcPr>
            <w:tcW w:w="813" w:type="pct"/>
            <w:tcMar>
              <w:top w:w="0" w:type="dxa"/>
              <w:left w:w="108" w:type="dxa"/>
              <w:bottom w:w="0" w:type="dxa"/>
              <w:right w:w="108" w:type="dxa"/>
            </w:tcMar>
            <w:vAlign w:val="center"/>
            <w:hideMark/>
          </w:tcPr>
          <w:p w14:paraId="6A3836C9"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列</w:t>
            </w:r>
            <w:proofErr w:type="gramStart"/>
            <w:r w:rsidRPr="005B5EC1">
              <w:rPr>
                <w:rFonts w:ascii="Times New Roman" w:hAnsi="Times New Roman" w:cs="Times New Roman"/>
                <w:color w:val="000000"/>
                <w:sz w:val="18"/>
                <w:szCs w:val="18"/>
              </w:rPr>
              <w:t>报项目</w:t>
            </w:r>
            <w:proofErr w:type="gramEnd"/>
          </w:p>
        </w:tc>
        <w:tc>
          <w:tcPr>
            <w:tcW w:w="825" w:type="pct"/>
            <w:tcMar>
              <w:top w:w="0" w:type="dxa"/>
              <w:left w:w="108" w:type="dxa"/>
              <w:bottom w:w="0" w:type="dxa"/>
              <w:right w:w="108" w:type="dxa"/>
            </w:tcMar>
            <w:vAlign w:val="center"/>
            <w:hideMark/>
          </w:tcPr>
          <w:p w14:paraId="099ABB94"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金额</w:t>
            </w:r>
          </w:p>
        </w:tc>
      </w:tr>
      <w:tr w:rsidR="00AF139E" w:rsidRPr="005B5EC1" w14:paraId="34C60E2E" w14:textId="77777777" w:rsidTr="005B5EC1">
        <w:trPr>
          <w:divId w:val="486676664"/>
          <w:trHeight w:val="276"/>
        </w:trPr>
        <w:tc>
          <w:tcPr>
            <w:tcW w:w="1760" w:type="pct"/>
            <w:tcMar>
              <w:top w:w="0" w:type="dxa"/>
              <w:left w:w="108" w:type="dxa"/>
              <w:bottom w:w="0" w:type="dxa"/>
              <w:right w:w="108" w:type="dxa"/>
            </w:tcMar>
            <w:hideMark/>
          </w:tcPr>
          <w:p w14:paraId="6E801A08"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租赁收入</w:t>
            </w:r>
          </w:p>
        </w:tc>
        <w:tc>
          <w:tcPr>
            <w:tcW w:w="777" w:type="pct"/>
            <w:tcMar>
              <w:top w:w="0" w:type="dxa"/>
              <w:left w:w="108" w:type="dxa"/>
              <w:bottom w:w="0" w:type="dxa"/>
              <w:right w:w="108" w:type="dxa"/>
            </w:tcMar>
            <w:hideMark/>
          </w:tcPr>
          <w:p w14:paraId="43739141"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其他业务收入</w:t>
            </w:r>
          </w:p>
        </w:tc>
        <w:tc>
          <w:tcPr>
            <w:tcW w:w="825" w:type="pct"/>
            <w:tcMar>
              <w:top w:w="0" w:type="dxa"/>
              <w:left w:w="108" w:type="dxa"/>
              <w:bottom w:w="0" w:type="dxa"/>
              <w:right w:w="108" w:type="dxa"/>
            </w:tcMar>
            <w:hideMark/>
          </w:tcPr>
          <w:p w14:paraId="43983744"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147,088.44</w:t>
            </w:r>
          </w:p>
        </w:tc>
        <w:tc>
          <w:tcPr>
            <w:tcW w:w="813" w:type="pct"/>
            <w:tcMar>
              <w:top w:w="0" w:type="dxa"/>
              <w:left w:w="108" w:type="dxa"/>
              <w:bottom w:w="0" w:type="dxa"/>
              <w:right w:w="108" w:type="dxa"/>
            </w:tcMar>
            <w:hideMark/>
          </w:tcPr>
          <w:p w14:paraId="418CFE93"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其他业务收入</w:t>
            </w:r>
          </w:p>
        </w:tc>
        <w:tc>
          <w:tcPr>
            <w:tcW w:w="825" w:type="pct"/>
            <w:tcMar>
              <w:top w:w="0" w:type="dxa"/>
              <w:left w:w="108" w:type="dxa"/>
              <w:bottom w:w="0" w:type="dxa"/>
              <w:right w:w="108" w:type="dxa"/>
            </w:tcMar>
            <w:hideMark/>
          </w:tcPr>
          <w:p w14:paraId="590F2332"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219,801.96</w:t>
            </w:r>
          </w:p>
        </w:tc>
      </w:tr>
      <w:tr w:rsidR="00AF139E" w:rsidRPr="005B5EC1" w14:paraId="7B427788" w14:textId="77777777" w:rsidTr="005B5EC1">
        <w:trPr>
          <w:divId w:val="486676664"/>
          <w:trHeight w:val="288"/>
        </w:trPr>
        <w:tc>
          <w:tcPr>
            <w:tcW w:w="1760" w:type="pct"/>
            <w:tcMar>
              <w:top w:w="0" w:type="dxa"/>
              <w:left w:w="108" w:type="dxa"/>
              <w:bottom w:w="0" w:type="dxa"/>
              <w:right w:w="108" w:type="dxa"/>
            </w:tcMar>
            <w:hideMark/>
          </w:tcPr>
          <w:p w14:paraId="2D1ACC76"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合计</w:t>
            </w:r>
          </w:p>
        </w:tc>
        <w:tc>
          <w:tcPr>
            <w:tcW w:w="777" w:type="pct"/>
            <w:tcMar>
              <w:top w:w="0" w:type="dxa"/>
              <w:left w:w="108" w:type="dxa"/>
              <w:bottom w:w="0" w:type="dxa"/>
              <w:right w:w="108" w:type="dxa"/>
            </w:tcMar>
            <w:hideMark/>
          </w:tcPr>
          <w:p w14:paraId="782284DC"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 xml:space="preserve">　</w:t>
            </w:r>
          </w:p>
        </w:tc>
        <w:tc>
          <w:tcPr>
            <w:tcW w:w="825" w:type="pct"/>
            <w:tcMar>
              <w:top w:w="0" w:type="dxa"/>
              <w:left w:w="108" w:type="dxa"/>
              <w:bottom w:w="0" w:type="dxa"/>
              <w:right w:w="108" w:type="dxa"/>
            </w:tcMar>
            <w:hideMark/>
          </w:tcPr>
          <w:p w14:paraId="5F4FDC63"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147,088.44</w:t>
            </w:r>
          </w:p>
        </w:tc>
        <w:tc>
          <w:tcPr>
            <w:tcW w:w="813" w:type="pct"/>
            <w:tcMar>
              <w:top w:w="0" w:type="dxa"/>
              <w:left w:w="108" w:type="dxa"/>
              <w:bottom w:w="0" w:type="dxa"/>
              <w:right w:w="108" w:type="dxa"/>
            </w:tcMar>
            <w:hideMark/>
          </w:tcPr>
          <w:p w14:paraId="15C6B488"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 xml:space="preserve">　</w:t>
            </w:r>
          </w:p>
        </w:tc>
        <w:tc>
          <w:tcPr>
            <w:tcW w:w="825" w:type="pct"/>
            <w:tcMar>
              <w:top w:w="0" w:type="dxa"/>
              <w:left w:w="108" w:type="dxa"/>
              <w:bottom w:w="0" w:type="dxa"/>
              <w:right w:w="108" w:type="dxa"/>
            </w:tcMar>
            <w:hideMark/>
          </w:tcPr>
          <w:p w14:paraId="030894D6"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219,801.96</w:t>
            </w:r>
          </w:p>
        </w:tc>
      </w:tr>
    </w:tbl>
    <w:p w14:paraId="3FF0998A"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rFonts w:ascii="Times New Roman" w:hAnsi="Times New Roman" w:cs="Times New Roman"/>
          <w:sz w:val="18"/>
          <w:szCs w:val="18"/>
        </w:rPr>
        <w:t>B</w:t>
      </w:r>
      <w:r w:rsidRPr="005B5EC1">
        <w:rPr>
          <w:rFonts w:ascii="Times New Roman" w:hAnsi="Times New Roman" w:cs="Times New Roman"/>
          <w:sz w:val="18"/>
          <w:szCs w:val="18"/>
        </w:rPr>
        <w:t>、</w:t>
      </w:r>
      <w:proofErr w:type="gramStart"/>
      <w:r w:rsidRPr="005B5EC1">
        <w:rPr>
          <w:rFonts w:ascii="Times New Roman" w:hAnsi="Times New Roman" w:cs="Times New Roman"/>
          <w:sz w:val="18"/>
          <w:szCs w:val="18"/>
        </w:rPr>
        <w:t>租赁收</w:t>
      </w:r>
      <w:proofErr w:type="gramEnd"/>
      <w:r w:rsidRPr="005B5EC1">
        <w:rPr>
          <w:rFonts w:ascii="Times New Roman" w:hAnsi="Times New Roman" w:cs="Times New Roman"/>
          <w:sz w:val="18"/>
          <w:szCs w:val="18"/>
        </w:rPr>
        <w:t>款额的收款情况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36"/>
        <w:gridCol w:w="3017"/>
      </w:tblGrid>
      <w:tr w:rsidR="00AF139E" w:rsidRPr="005B5EC1" w14:paraId="1A4CB8A9" w14:textId="77777777" w:rsidTr="005B5EC1">
        <w:trPr>
          <w:divId w:val="486676664"/>
          <w:trHeight w:val="444"/>
        </w:trPr>
        <w:tc>
          <w:tcPr>
            <w:tcW w:w="3469" w:type="pct"/>
            <w:tcMar>
              <w:top w:w="0" w:type="dxa"/>
              <w:left w:w="108" w:type="dxa"/>
              <w:bottom w:w="0" w:type="dxa"/>
              <w:right w:w="108" w:type="dxa"/>
            </w:tcMar>
            <w:vAlign w:val="center"/>
            <w:hideMark/>
          </w:tcPr>
          <w:p w14:paraId="0C3F1ABA"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期间</w:t>
            </w:r>
          </w:p>
        </w:tc>
        <w:tc>
          <w:tcPr>
            <w:tcW w:w="1531" w:type="pct"/>
            <w:tcMar>
              <w:top w:w="0" w:type="dxa"/>
              <w:left w:w="108" w:type="dxa"/>
              <w:bottom w:w="0" w:type="dxa"/>
              <w:right w:w="108" w:type="dxa"/>
            </w:tcMar>
            <w:vAlign w:val="center"/>
            <w:hideMark/>
          </w:tcPr>
          <w:p w14:paraId="6BF11202"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将收到的未折现</w:t>
            </w:r>
            <w:proofErr w:type="gramStart"/>
            <w:r w:rsidRPr="005B5EC1">
              <w:rPr>
                <w:rFonts w:ascii="Times New Roman" w:hAnsi="Times New Roman" w:cs="Times New Roman"/>
                <w:color w:val="000000"/>
                <w:sz w:val="18"/>
                <w:szCs w:val="18"/>
              </w:rPr>
              <w:t>租赁收</w:t>
            </w:r>
            <w:proofErr w:type="gramEnd"/>
            <w:r w:rsidRPr="005B5EC1">
              <w:rPr>
                <w:rFonts w:ascii="Times New Roman" w:hAnsi="Times New Roman" w:cs="Times New Roman"/>
                <w:color w:val="000000"/>
                <w:sz w:val="18"/>
                <w:szCs w:val="18"/>
              </w:rPr>
              <w:t>款额</w:t>
            </w:r>
          </w:p>
        </w:tc>
      </w:tr>
      <w:tr w:rsidR="00AF139E" w:rsidRPr="005B5EC1" w14:paraId="69993638" w14:textId="77777777" w:rsidTr="005B5EC1">
        <w:trPr>
          <w:divId w:val="486676664"/>
          <w:trHeight w:val="276"/>
        </w:trPr>
        <w:tc>
          <w:tcPr>
            <w:tcW w:w="3469" w:type="pct"/>
            <w:tcMar>
              <w:top w:w="0" w:type="dxa"/>
              <w:left w:w="108" w:type="dxa"/>
              <w:bottom w:w="0" w:type="dxa"/>
              <w:right w:w="108" w:type="dxa"/>
            </w:tcMar>
            <w:vAlign w:val="center"/>
            <w:hideMark/>
          </w:tcPr>
          <w:p w14:paraId="0C54EE75"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资产负债表日后第</w:t>
            </w:r>
            <w:r w:rsidRPr="005B5EC1">
              <w:rPr>
                <w:rFonts w:ascii="Times New Roman" w:hAnsi="Times New Roman" w:cs="Times New Roman"/>
                <w:color w:val="000000"/>
                <w:sz w:val="18"/>
                <w:szCs w:val="18"/>
              </w:rPr>
              <w:t>1</w:t>
            </w:r>
            <w:r w:rsidRPr="005B5EC1">
              <w:rPr>
                <w:rFonts w:ascii="Times New Roman" w:hAnsi="Times New Roman" w:cs="Times New Roman"/>
                <w:color w:val="000000"/>
                <w:sz w:val="18"/>
                <w:szCs w:val="18"/>
              </w:rPr>
              <w:t>年</w:t>
            </w:r>
          </w:p>
        </w:tc>
        <w:tc>
          <w:tcPr>
            <w:tcW w:w="1531" w:type="pct"/>
            <w:tcMar>
              <w:top w:w="0" w:type="dxa"/>
              <w:left w:w="108" w:type="dxa"/>
              <w:bottom w:w="0" w:type="dxa"/>
              <w:right w:w="108" w:type="dxa"/>
            </w:tcMar>
            <w:vAlign w:val="center"/>
            <w:hideMark/>
          </w:tcPr>
          <w:p w14:paraId="314CC7C9"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 </w:t>
            </w:r>
          </w:p>
        </w:tc>
      </w:tr>
      <w:tr w:rsidR="00AF139E" w:rsidRPr="005B5EC1" w14:paraId="094269FF" w14:textId="77777777" w:rsidTr="005B5EC1">
        <w:trPr>
          <w:divId w:val="486676664"/>
          <w:trHeight w:val="276"/>
        </w:trPr>
        <w:tc>
          <w:tcPr>
            <w:tcW w:w="3469" w:type="pct"/>
            <w:tcMar>
              <w:top w:w="0" w:type="dxa"/>
              <w:left w:w="108" w:type="dxa"/>
              <w:bottom w:w="0" w:type="dxa"/>
              <w:right w:w="108" w:type="dxa"/>
            </w:tcMar>
            <w:vAlign w:val="center"/>
            <w:hideMark/>
          </w:tcPr>
          <w:p w14:paraId="35C1F822"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资产负债表日后第</w:t>
            </w:r>
            <w:r w:rsidRPr="005B5EC1">
              <w:rPr>
                <w:rFonts w:ascii="Times New Roman" w:hAnsi="Times New Roman" w:cs="Times New Roman"/>
                <w:color w:val="000000"/>
                <w:sz w:val="18"/>
                <w:szCs w:val="18"/>
              </w:rPr>
              <w:t>2</w:t>
            </w:r>
            <w:r w:rsidRPr="005B5EC1">
              <w:rPr>
                <w:rFonts w:ascii="Times New Roman" w:hAnsi="Times New Roman" w:cs="Times New Roman"/>
                <w:color w:val="000000"/>
                <w:sz w:val="18"/>
                <w:szCs w:val="18"/>
              </w:rPr>
              <w:t>年</w:t>
            </w:r>
          </w:p>
        </w:tc>
        <w:tc>
          <w:tcPr>
            <w:tcW w:w="1531" w:type="pct"/>
            <w:tcMar>
              <w:top w:w="0" w:type="dxa"/>
              <w:left w:w="108" w:type="dxa"/>
              <w:bottom w:w="0" w:type="dxa"/>
              <w:right w:w="108" w:type="dxa"/>
            </w:tcMar>
            <w:vAlign w:val="center"/>
            <w:hideMark/>
          </w:tcPr>
          <w:p w14:paraId="6D58F881"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 </w:t>
            </w:r>
          </w:p>
        </w:tc>
      </w:tr>
      <w:tr w:rsidR="00AF139E" w:rsidRPr="005B5EC1" w14:paraId="7005A066" w14:textId="77777777" w:rsidTr="005B5EC1">
        <w:trPr>
          <w:divId w:val="486676664"/>
          <w:trHeight w:val="288"/>
        </w:trPr>
        <w:tc>
          <w:tcPr>
            <w:tcW w:w="3469" w:type="pct"/>
            <w:tcMar>
              <w:top w:w="0" w:type="dxa"/>
              <w:left w:w="108" w:type="dxa"/>
              <w:bottom w:w="0" w:type="dxa"/>
              <w:right w:w="108" w:type="dxa"/>
            </w:tcMar>
            <w:vAlign w:val="center"/>
            <w:hideMark/>
          </w:tcPr>
          <w:p w14:paraId="53E91C4D"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合计</w:t>
            </w:r>
          </w:p>
        </w:tc>
        <w:tc>
          <w:tcPr>
            <w:tcW w:w="1531" w:type="pct"/>
            <w:tcMar>
              <w:top w:w="0" w:type="dxa"/>
              <w:left w:w="108" w:type="dxa"/>
              <w:bottom w:w="0" w:type="dxa"/>
              <w:right w:w="108" w:type="dxa"/>
            </w:tcMar>
            <w:vAlign w:val="center"/>
            <w:hideMark/>
          </w:tcPr>
          <w:p w14:paraId="30EF8672" w14:textId="77777777" w:rsidR="00AF139E" w:rsidRPr="005B5EC1" w:rsidRDefault="00000000" w:rsidP="005B5EC1">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color w:val="000000"/>
                <w:sz w:val="18"/>
                <w:szCs w:val="18"/>
              </w:rPr>
              <w:t> </w:t>
            </w:r>
          </w:p>
        </w:tc>
      </w:tr>
    </w:tbl>
    <w:p w14:paraId="22E752DB"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rFonts w:ascii="Cambria Math" w:hAnsi="Cambria Math" w:cs="Cambria Math"/>
          <w:sz w:val="18"/>
          <w:szCs w:val="18"/>
        </w:rPr>
        <w:t>②</w:t>
      </w:r>
      <w:r w:rsidRPr="005B5EC1">
        <w:rPr>
          <w:sz w:val="18"/>
          <w:szCs w:val="18"/>
        </w:rPr>
        <w:t>其他信息</w:t>
      </w:r>
    </w:p>
    <w:p w14:paraId="1F626152" w14:textId="77777777" w:rsidR="00AF139E" w:rsidRPr="005B5EC1" w:rsidRDefault="00000000"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sz w:val="18"/>
          <w:szCs w:val="18"/>
        </w:rPr>
        <w:t>A、租赁活动的性质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8"/>
        <w:gridCol w:w="1531"/>
        <w:gridCol w:w="1626"/>
        <w:gridCol w:w="1602"/>
        <w:gridCol w:w="1626"/>
      </w:tblGrid>
      <w:tr w:rsidR="00AF139E" w:rsidRPr="005B5EC1" w14:paraId="281B15AF" w14:textId="77777777" w:rsidTr="005B5EC1">
        <w:trPr>
          <w:divId w:val="486676664"/>
          <w:trHeight w:val="444"/>
        </w:trPr>
        <w:tc>
          <w:tcPr>
            <w:tcW w:w="1760" w:type="pct"/>
            <w:tcMar>
              <w:top w:w="0" w:type="dxa"/>
              <w:left w:w="108" w:type="dxa"/>
              <w:bottom w:w="0" w:type="dxa"/>
              <w:right w:w="108" w:type="dxa"/>
            </w:tcMar>
            <w:vAlign w:val="center"/>
            <w:hideMark/>
          </w:tcPr>
          <w:p w14:paraId="1C3C3E63"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公司</w:t>
            </w:r>
          </w:p>
        </w:tc>
        <w:tc>
          <w:tcPr>
            <w:tcW w:w="777" w:type="pct"/>
            <w:tcMar>
              <w:top w:w="0" w:type="dxa"/>
              <w:left w:w="108" w:type="dxa"/>
              <w:bottom w:w="0" w:type="dxa"/>
              <w:right w:w="108" w:type="dxa"/>
            </w:tcMar>
            <w:vAlign w:val="center"/>
            <w:hideMark/>
          </w:tcPr>
          <w:p w14:paraId="4E322D43"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租出资产类别</w:t>
            </w:r>
          </w:p>
        </w:tc>
        <w:tc>
          <w:tcPr>
            <w:tcW w:w="825" w:type="pct"/>
            <w:tcMar>
              <w:top w:w="0" w:type="dxa"/>
              <w:left w:w="108" w:type="dxa"/>
              <w:bottom w:w="0" w:type="dxa"/>
              <w:right w:w="108" w:type="dxa"/>
            </w:tcMar>
            <w:vAlign w:val="center"/>
            <w:hideMark/>
          </w:tcPr>
          <w:p w14:paraId="75FF403F"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数量</w:t>
            </w:r>
          </w:p>
        </w:tc>
        <w:tc>
          <w:tcPr>
            <w:tcW w:w="813" w:type="pct"/>
            <w:tcMar>
              <w:top w:w="0" w:type="dxa"/>
              <w:left w:w="108" w:type="dxa"/>
              <w:bottom w:w="0" w:type="dxa"/>
              <w:right w:w="108" w:type="dxa"/>
            </w:tcMar>
            <w:vAlign w:val="center"/>
            <w:hideMark/>
          </w:tcPr>
          <w:p w14:paraId="5C50BA14"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租赁期</w:t>
            </w:r>
          </w:p>
        </w:tc>
        <w:tc>
          <w:tcPr>
            <w:tcW w:w="825" w:type="pct"/>
            <w:tcMar>
              <w:top w:w="0" w:type="dxa"/>
              <w:left w:w="108" w:type="dxa"/>
              <w:bottom w:w="0" w:type="dxa"/>
              <w:right w:w="108" w:type="dxa"/>
            </w:tcMar>
            <w:vAlign w:val="center"/>
            <w:hideMark/>
          </w:tcPr>
          <w:p w14:paraId="1FFF8196"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是否存在续租选择权</w:t>
            </w:r>
          </w:p>
        </w:tc>
      </w:tr>
      <w:tr w:rsidR="00AF139E" w:rsidRPr="005B5EC1" w14:paraId="22CFF08E" w14:textId="77777777" w:rsidTr="005B5EC1">
        <w:trPr>
          <w:divId w:val="486676664"/>
          <w:trHeight w:val="276"/>
        </w:trPr>
        <w:tc>
          <w:tcPr>
            <w:tcW w:w="1760" w:type="pct"/>
            <w:tcMar>
              <w:top w:w="0" w:type="dxa"/>
              <w:left w:w="108" w:type="dxa"/>
              <w:bottom w:w="0" w:type="dxa"/>
              <w:right w:w="108" w:type="dxa"/>
            </w:tcMar>
            <w:vAlign w:val="center"/>
            <w:hideMark/>
          </w:tcPr>
          <w:p w14:paraId="321BAB46"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本公司</w:t>
            </w:r>
          </w:p>
        </w:tc>
        <w:tc>
          <w:tcPr>
            <w:tcW w:w="777" w:type="pct"/>
            <w:tcMar>
              <w:top w:w="0" w:type="dxa"/>
              <w:left w:w="108" w:type="dxa"/>
              <w:bottom w:w="0" w:type="dxa"/>
              <w:right w:w="108" w:type="dxa"/>
            </w:tcMar>
            <w:vAlign w:val="center"/>
            <w:hideMark/>
          </w:tcPr>
          <w:p w14:paraId="6A8667F5"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房屋建筑物</w:t>
            </w:r>
          </w:p>
        </w:tc>
        <w:tc>
          <w:tcPr>
            <w:tcW w:w="825" w:type="pct"/>
            <w:tcMar>
              <w:top w:w="0" w:type="dxa"/>
              <w:left w:w="108" w:type="dxa"/>
              <w:bottom w:w="0" w:type="dxa"/>
              <w:right w:w="108" w:type="dxa"/>
            </w:tcMar>
            <w:vAlign w:val="center"/>
            <w:hideMark/>
          </w:tcPr>
          <w:p w14:paraId="414EFF71"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3</w:t>
            </w:r>
          </w:p>
        </w:tc>
        <w:tc>
          <w:tcPr>
            <w:tcW w:w="813" w:type="pct"/>
            <w:tcMar>
              <w:top w:w="0" w:type="dxa"/>
              <w:left w:w="108" w:type="dxa"/>
              <w:bottom w:w="0" w:type="dxa"/>
              <w:right w:w="108" w:type="dxa"/>
            </w:tcMar>
            <w:vAlign w:val="center"/>
            <w:hideMark/>
          </w:tcPr>
          <w:p w14:paraId="0EAA58F0"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1</w:t>
            </w:r>
            <w:r w:rsidRPr="005B5EC1">
              <w:rPr>
                <w:rFonts w:ascii="Times New Roman" w:hAnsi="Times New Roman" w:cs="Times New Roman"/>
                <w:color w:val="000000"/>
                <w:sz w:val="18"/>
                <w:szCs w:val="18"/>
              </w:rPr>
              <w:t>年</w:t>
            </w:r>
          </w:p>
        </w:tc>
        <w:tc>
          <w:tcPr>
            <w:tcW w:w="825" w:type="pct"/>
            <w:tcMar>
              <w:top w:w="0" w:type="dxa"/>
              <w:left w:w="108" w:type="dxa"/>
              <w:bottom w:w="0" w:type="dxa"/>
              <w:right w:w="108" w:type="dxa"/>
            </w:tcMar>
            <w:vAlign w:val="center"/>
            <w:hideMark/>
          </w:tcPr>
          <w:p w14:paraId="38229C38"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否</w:t>
            </w:r>
          </w:p>
        </w:tc>
      </w:tr>
      <w:tr w:rsidR="00AF139E" w:rsidRPr="005B5EC1" w14:paraId="6AFC4DDA" w14:textId="77777777" w:rsidTr="005B5EC1">
        <w:trPr>
          <w:divId w:val="486676664"/>
          <w:trHeight w:val="276"/>
        </w:trPr>
        <w:tc>
          <w:tcPr>
            <w:tcW w:w="1760" w:type="pct"/>
            <w:tcMar>
              <w:top w:w="0" w:type="dxa"/>
              <w:left w:w="108" w:type="dxa"/>
              <w:bottom w:w="0" w:type="dxa"/>
              <w:right w:w="108" w:type="dxa"/>
            </w:tcMar>
            <w:vAlign w:val="center"/>
            <w:hideMark/>
          </w:tcPr>
          <w:p w14:paraId="1E4C33C1"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本公司</w:t>
            </w:r>
          </w:p>
        </w:tc>
        <w:tc>
          <w:tcPr>
            <w:tcW w:w="777" w:type="pct"/>
            <w:tcMar>
              <w:top w:w="0" w:type="dxa"/>
              <w:left w:w="108" w:type="dxa"/>
              <w:bottom w:w="0" w:type="dxa"/>
              <w:right w:w="108" w:type="dxa"/>
            </w:tcMar>
            <w:vAlign w:val="center"/>
            <w:hideMark/>
          </w:tcPr>
          <w:p w14:paraId="6C6A477B"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机器设备</w:t>
            </w:r>
          </w:p>
        </w:tc>
        <w:tc>
          <w:tcPr>
            <w:tcW w:w="825" w:type="pct"/>
            <w:tcMar>
              <w:top w:w="0" w:type="dxa"/>
              <w:left w:w="108" w:type="dxa"/>
              <w:bottom w:w="0" w:type="dxa"/>
              <w:right w:w="108" w:type="dxa"/>
            </w:tcMar>
            <w:vAlign w:val="center"/>
            <w:hideMark/>
          </w:tcPr>
          <w:p w14:paraId="444527C1"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3</w:t>
            </w:r>
          </w:p>
        </w:tc>
        <w:tc>
          <w:tcPr>
            <w:tcW w:w="813" w:type="pct"/>
            <w:tcMar>
              <w:top w:w="0" w:type="dxa"/>
              <w:left w:w="108" w:type="dxa"/>
              <w:bottom w:w="0" w:type="dxa"/>
              <w:right w:w="108" w:type="dxa"/>
            </w:tcMar>
            <w:vAlign w:val="center"/>
            <w:hideMark/>
          </w:tcPr>
          <w:p w14:paraId="2C12EA83"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1</w:t>
            </w:r>
            <w:r w:rsidRPr="005B5EC1">
              <w:rPr>
                <w:rFonts w:ascii="Times New Roman" w:hAnsi="Times New Roman" w:cs="Times New Roman"/>
                <w:color w:val="000000"/>
                <w:sz w:val="18"/>
                <w:szCs w:val="18"/>
              </w:rPr>
              <w:t>年</w:t>
            </w:r>
          </w:p>
        </w:tc>
        <w:tc>
          <w:tcPr>
            <w:tcW w:w="825" w:type="pct"/>
            <w:tcMar>
              <w:top w:w="0" w:type="dxa"/>
              <w:left w:w="108" w:type="dxa"/>
              <w:bottom w:w="0" w:type="dxa"/>
              <w:right w:w="108" w:type="dxa"/>
            </w:tcMar>
            <w:vAlign w:val="center"/>
            <w:hideMark/>
          </w:tcPr>
          <w:p w14:paraId="6CBB5D6F"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否</w:t>
            </w:r>
          </w:p>
        </w:tc>
      </w:tr>
      <w:tr w:rsidR="00AF139E" w:rsidRPr="005B5EC1" w14:paraId="037ACFA3" w14:textId="77777777" w:rsidTr="005B5EC1">
        <w:trPr>
          <w:divId w:val="486676664"/>
          <w:trHeight w:val="288"/>
        </w:trPr>
        <w:tc>
          <w:tcPr>
            <w:tcW w:w="1760" w:type="pct"/>
            <w:tcMar>
              <w:top w:w="0" w:type="dxa"/>
              <w:left w:w="108" w:type="dxa"/>
              <w:bottom w:w="0" w:type="dxa"/>
              <w:right w:w="108" w:type="dxa"/>
            </w:tcMar>
            <w:vAlign w:val="center"/>
            <w:hideMark/>
          </w:tcPr>
          <w:p w14:paraId="6C439F00"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本公司</w:t>
            </w:r>
          </w:p>
        </w:tc>
        <w:tc>
          <w:tcPr>
            <w:tcW w:w="777" w:type="pct"/>
            <w:tcMar>
              <w:top w:w="0" w:type="dxa"/>
              <w:left w:w="108" w:type="dxa"/>
              <w:bottom w:w="0" w:type="dxa"/>
              <w:right w:w="108" w:type="dxa"/>
            </w:tcMar>
            <w:vAlign w:val="center"/>
            <w:hideMark/>
          </w:tcPr>
          <w:p w14:paraId="7937B81C" w14:textId="77777777" w:rsidR="00AF139E" w:rsidRPr="005B5EC1" w:rsidRDefault="00000000" w:rsidP="005B5EC1">
            <w:pPr>
              <w:pStyle w:val="a3"/>
              <w:spacing w:before="0" w:beforeAutospacing="0" w:after="0" w:afterAutospacing="0" w:line="276" w:lineRule="auto"/>
              <w:rPr>
                <w:rFonts w:ascii="Times New Roman" w:hAnsi="Times New Roman" w:cs="Times New Roman"/>
                <w:sz w:val="21"/>
                <w:szCs w:val="21"/>
              </w:rPr>
            </w:pPr>
            <w:r w:rsidRPr="005B5EC1">
              <w:rPr>
                <w:rFonts w:ascii="Times New Roman" w:hAnsi="Times New Roman" w:cs="Times New Roman"/>
                <w:color w:val="000000"/>
                <w:sz w:val="18"/>
                <w:szCs w:val="18"/>
              </w:rPr>
              <w:t>运输设备</w:t>
            </w:r>
          </w:p>
        </w:tc>
        <w:tc>
          <w:tcPr>
            <w:tcW w:w="825" w:type="pct"/>
            <w:tcMar>
              <w:top w:w="0" w:type="dxa"/>
              <w:left w:w="108" w:type="dxa"/>
              <w:bottom w:w="0" w:type="dxa"/>
              <w:right w:w="108" w:type="dxa"/>
            </w:tcMar>
            <w:vAlign w:val="center"/>
            <w:hideMark/>
          </w:tcPr>
          <w:p w14:paraId="699F06C7"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2</w:t>
            </w:r>
          </w:p>
        </w:tc>
        <w:tc>
          <w:tcPr>
            <w:tcW w:w="813" w:type="pct"/>
            <w:tcMar>
              <w:top w:w="0" w:type="dxa"/>
              <w:left w:w="108" w:type="dxa"/>
              <w:bottom w:w="0" w:type="dxa"/>
              <w:right w:w="108" w:type="dxa"/>
            </w:tcMar>
            <w:vAlign w:val="center"/>
            <w:hideMark/>
          </w:tcPr>
          <w:p w14:paraId="14D3DCD5"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1</w:t>
            </w:r>
            <w:r w:rsidRPr="005B5EC1">
              <w:rPr>
                <w:rFonts w:ascii="Times New Roman" w:hAnsi="Times New Roman" w:cs="Times New Roman"/>
                <w:color w:val="000000"/>
                <w:sz w:val="18"/>
                <w:szCs w:val="18"/>
              </w:rPr>
              <w:t>年</w:t>
            </w:r>
          </w:p>
        </w:tc>
        <w:tc>
          <w:tcPr>
            <w:tcW w:w="825" w:type="pct"/>
            <w:tcMar>
              <w:top w:w="0" w:type="dxa"/>
              <w:left w:w="108" w:type="dxa"/>
              <w:bottom w:w="0" w:type="dxa"/>
              <w:right w:w="108" w:type="dxa"/>
            </w:tcMar>
            <w:vAlign w:val="center"/>
            <w:hideMark/>
          </w:tcPr>
          <w:p w14:paraId="1ECB975F" w14:textId="77777777" w:rsidR="00AF139E" w:rsidRPr="005B5EC1" w:rsidRDefault="00000000" w:rsidP="005B5EC1">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color w:val="000000"/>
                <w:sz w:val="18"/>
                <w:szCs w:val="18"/>
              </w:rPr>
              <w:t>否</w:t>
            </w:r>
          </w:p>
        </w:tc>
      </w:tr>
    </w:tbl>
    <w:p w14:paraId="51EB5BBD" w14:textId="2AEC961A" w:rsidR="00AF139E" w:rsidRPr="005B5EC1" w:rsidRDefault="005B5EC1" w:rsidP="005B5EC1">
      <w:pPr>
        <w:pStyle w:val="15"/>
        <w:spacing w:before="0" w:beforeAutospacing="0" w:after="0" w:afterAutospacing="0" w:line="276" w:lineRule="auto"/>
        <w:ind w:firstLineChars="200" w:firstLine="360"/>
        <w:jc w:val="both"/>
        <w:divId w:val="486676664"/>
        <w:rPr>
          <w:rFonts w:ascii="Times New Roman" w:hAnsi="Times New Roman" w:cs="Times New Roman"/>
          <w:sz w:val="18"/>
          <w:szCs w:val="18"/>
        </w:rPr>
      </w:pPr>
      <w:r w:rsidRPr="005B5EC1">
        <w:rPr>
          <w:rFonts w:ascii="Times New Roman" w:hAnsi="Times New Roman" w:cs="Times New Roman" w:hint="eastAsia"/>
          <w:sz w:val="18"/>
          <w:szCs w:val="18"/>
        </w:rPr>
        <w:t>3</w:t>
      </w:r>
      <w:r w:rsidRPr="005B5EC1">
        <w:rPr>
          <w:rFonts w:ascii="Times New Roman" w:hAnsi="Times New Roman" w:cs="Times New Roman"/>
          <w:sz w:val="18"/>
          <w:szCs w:val="18"/>
        </w:rPr>
        <w:t>、</w:t>
      </w:r>
      <w:r w:rsidRPr="005B5EC1">
        <w:rPr>
          <w:rFonts w:ascii="Times New Roman" w:hAnsi="Times New Roman" w:cs="Times New Roman"/>
          <w:sz w:val="18"/>
          <w:szCs w:val="18"/>
        </w:rPr>
        <w:t> </w:t>
      </w:r>
      <w:r w:rsidRPr="005B5EC1">
        <w:rPr>
          <w:rFonts w:ascii="Times New Roman" w:hAnsi="Times New Roman" w:cs="Times New Roman"/>
          <w:sz w:val="18"/>
          <w:szCs w:val="18"/>
        </w:rPr>
        <w:t>主要股东持有公司股份质押、冻结情况</w:t>
      </w:r>
    </w:p>
    <w:p w14:paraId="4D2B471D" w14:textId="77777777" w:rsidR="00AF139E" w:rsidRPr="005B5EC1" w:rsidRDefault="00000000" w:rsidP="005B5EC1">
      <w:pPr>
        <w:pStyle w:val="a3"/>
        <w:spacing w:before="0" w:beforeAutospacing="0" w:after="0" w:afterAutospacing="0" w:line="276" w:lineRule="auto"/>
        <w:ind w:firstLineChars="200" w:firstLine="360"/>
        <w:jc w:val="both"/>
        <w:divId w:val="486676664"/>
        <w:rPr>
          <w:rFonts w:ascii="Times New Roman" w:hAnsi="Times New Roman" w:cs="Times New Roman"/>
          <w:sz w:val="21"/>
          <w:szCs w:val="21"/>
        </w:rPr>
      </w:pPr>
      <w:r w:rsidRPr="005B5EC1">
        <w:rPr>
          <w:rFonts w:ascii="Times New Roman" w:hAnsi="Times New Roman" w:cs="Times New Roman"/>
          <w:sz w:val="18"/>
          <w:szCs w:val="18"/>
        </w:rPr>
        <w:t>本公司控股股东蓝润发展控股集团有限公司将其持有的公司无限</w:t>
      </w:r>
      <w:proofErr w:type="gramStart"/>
      <w:r w:rsidRPr="005B5EC1">
        <w:rPr>
          <w:rFonts w:ascii="Times New Roman" w:hAnsi="Times New Roman" w:cs="Times New Roman"/>
          <w:sz w:val="18"/>
          <w:szCs w:val="18"/>
        </w:rPr>
        <w:t>售流通</w:t>
      </w:r>
      <w:proofErr w:type="gramEnd"/>
      <w:r w:rsidRPr="005B5EC1">
        <w:rPr>
          <w:rFonts w:ascii="Times New Roman" w:hAnsi="Times New Roman" w:cs="Times New Roman"/>
          <w:sz w:val="18"/>
          <w:szCs w:val="18"/>
        </w:rPr>
        <w:t>股</w:t>
      </w:r>
      <w:r w:rsidRPr="005B5EC1">
        <w:rPr>
          <w:rFonts w:ascii="Times New Roman" w:hAnsi="Times New Roman" w:cs="Times New Roman"/>
          <w:sz w:val="18"/>
          <w:szCs w:val="18"/>
        </w:rPr>
        <w:t>119,245,800</w:t>
      </w:r>
      <w:r w:rsidRPr="005B5EC1">
        <w:rPr>
          <w:rFonts w:ascii="Times New Roman" w:hAnsi="Times New Roman" w:cs="Times New Roman"/>
          <w:sz w:val="18"/>
          <w:szCs w:val="18"/>
        </w:rPr>
        <w:t>股质押给瑞</w:t>
      </w:r>
      <w:proofErr w:type="gramStart"/>
      <w:r w:rsidRPr="005B5EC1">
        <w:rPr>
          <w:rFonts w:ascii="Times New Roman" w:hAnsi="Times New Roman" w:cs="Times New Roman"/>
          <w:sz w:val="18"/>
          <w:szCs w:val="18"/>
        </w:rPr>
        <w:t>元资本</w:t>
      </w:r>
      <w:proofErr w:type="gramEnd"/>
      <w:r w:rsidRPr="005B5EC1">
        <w:rPr>
          <w:rFonts w:ascii="Times New Roman" w:hAnsi="Times New Roman" w:cs="Times New Roman"/>
          <w:sz w:val="18"/>
          <w:szCs w:val="18"/>
        </w:rPr>
        <w:t>管理有限公司、中信证券股份有限公司及中泰证券股份有限公司</w:t>
      </w:r>
      <w:r w:rsidRPr="005B5EC1">
        <w:rPr>
          <w:rFonts w:ascii="Times New Roman" w:hAnsi="Times New Roman" w:cs="Times New Roman"/>
          <w:sz w:val="18"/>
          <w:szCs w:val="18"/>
        </w:rPr>
        <w:t xml:space="preserve"> </w:t>
      </w:r>
      <w:r w:rsidRPr="005B5EC1">
        <w:rPr>
          <w:rFonts w:ascii="Times New Roman" w:hAnsi="Times New Roman" w:cs="Times New Roman"/>
          <w:sz w:val="18"/>
          <w:szCs w:val="18"/>
        </w:rPr>
        <w:t>，占本公司总股本的</w:t>
      </w:r>
      <w:r w:rsidRPr="005B5EC1">
        <w:rPr>
          <w:rFonts w:ascii="Times New Roman" w:hAnsi="Times New Roman" w:cs="Times New Roman"/>
          <w:sz w:val="18"/>
          <w:szCs w:val="18"/>
        </w:rPr>
        <w:t>11.05%</w:t>
      </w:r>
      <w:r w:rsidRPr="005B5EC1">
        <w:rPr>
          <w:rFonts w:ascii="Times New Roman" w:hAnsi="Times New Roman" w:cs="Times New Roman"/>
          <w:sz w:val="18"/>
          <w:szCs w:val="18"/>
        </w:rPr>
        <w:t>。</w:t>
      </w:r>
    </w:p>
    <w:p w14:paraId="1053FB21"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23" w:name="_Toc989351"/>
      <w:r w:rsidRPr="005B5EC1">
        <w:rPr>
          <w:rFonts w:ascii="Times New Roman" w:eastAsia="宋体" w:hAnsi="Times New Roman" w:cs="Times New Roman"/>
          <w:b/>
          <w:bCs/>
          <w:sz w:val="24"/>
          <w:szCs w:val="24"/>
        </w:rPr>
        <w:lastRenderedPageBreak/>
        <w:t>八、研发支出</w:t>
      </w:r>
      <w:bookmarkEnd w:id="423"/>
    </w:p>
    <w:p w14:paraId="6088D270" w14:textId="77777777" w:rsidR="00AF139E" w:rsidRPr="005B5EC1" w:rsidRDefault="00000000">
      <w:pPr>
        <w:pStyle w:val="a3"/>
        <w:divId w:val="682897365"/>
        <w:rPr>
          <w:rFonts w:ascii="Times New Roman" w:hAnsi="Times New Roman" w:cs="Times New Roman"/>
          <w:sz w:val="18"/>
          <w:szCs w:val="18"/>
        </w:rPr>
      </w:pPr>
      <w:r w:rsidRPr="005B5EC1">
        <w:rPr>
          <w:rFonts w:ascii="Times New Roman" w:hAnsi="Times New Roman" w:cs="Times New Roman"/>
          <w:sz w:val="18"/>
          <w:szCs w:val="18"/>
        </w:rPr>
        <w:t>无</w:t>
      </w:r>
    </w:p>
    <w:p w14:paraId="7BFDFD28"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24" w:name="_Toc989354"/>
      <w:r w:rsidRPr="005B5EC1">
        <w:rPr>
          <w:rFonts w:ascii="Times New Roman" w:eastAsia="宋体" w:hAnsi="Times New Roman" w:cs="Times New Roman"/>
          <w:b/>
          <w:bCs/>
          <w:sz w:val="24"/>
          <w:szCs w:val="24"/>
        </w:rPr>
        <w:t>九、合并范围的变更</w:t>
      </w:r>
      <w:bookmarkEnd w:id="424"/>
    </w:p>
    <w:p w14:paraId="59E5EC01" w14:textId="77777777" w:rsidR="00E32FE0" w:rsidRPr="005B5EC1" w:rsidRDefault="00000000">
      <w:pPr>
        <w:pStyle w:val="3"/>
        <w:spacing w:line="280" w:lineRule="exact"/>
        <w:jc w:val="left"/>
        <w:rPr>
          <w:rFonts w:ascii="Times New Roman" w:hAnsi="Times New Roman" w:cs="Times New Roman"/>
          <w:b/>
          <w:bCs/>
        </w:rPr>
      </w:pPr>
      <w:bookmarkStart w:id="425" w:name="_Toc989355"/>
      <w:r w:rsidRPr="005B5EC1">
        <w:rPr>
          <w:rFonts w:ascii="Times New Roman" w:hAnsi="Times New Roman" w:cs="Times New Roman"/>
          <w:b/>
          <w:bCs/>
        </w:rPr>
        <w:t>1</w:t>
      </w:r>
      <w:r w:rsidRPr="005B5EC1">
        <w:rPr>
          <w:rFonts w:ascii="Times New Roman" w:hAnsi="Times New Roman" w:cs="Times New Roman"/>
          <w:b/>
          <w:bCs/>
        </w:rPr>
        <w:t>、非同</w:t>
      </w:r>
      <w:proofErr w:type="gramStart"/>
      <w:r w:rsidRPr="005B5EC1">
        <w:rPr>
          <w:rFonts w:ascii="Times New Roman" w:hAnsi="Times New Roman" w:cs="Times New Roman"/>
          <w:b/>
          <w:bCs/>
        </w:rPr>
        <w:t>一控制</w:t>
      </w:r>
      <w:proofErr w:type="gramEnd"/>
      <w:r w:rsidRPr="005B5EC1">
        <w:rPr>
          <w:rFonts w:ascii="Times New Roman" w:hAnsi="Times New Roman" w:cs="Times New Roman"/>
          <w:b/>
          <w:bCs/>
        </w:rPr>
        <w:t>下企业合并</w:t>
      </w:r>
      <w:bookmarkEnd w:id="425"/>
    </w:p>
    <w:p w14:paraId="29041AB6" w14:textId="77777777" w:rsidR="00AF139E" w:rsidRPr="005B5EC1" w:rsidRDefault="00000000">
      <w:pPr>
        <w:pStyle w:val="a3"/>
        <w:divId w:val="1044019053"/>
        <w:rPr>
          <w:rFonts w:ascii="Times New Roman" w:hAnsi="Times New Roman" w:cs="Times New Roman"/>
          <w:sz w:val="18"/>
          <w:szCs w:val="18"/>
        </w:rPr>
      </w:pPr>
      <w:r w:rsidRPr="005B5EC1">
        <w:rPr>
          <w:rFonts w:ascii="Times New Roman" w:hAnsi="Times New Roman" w:cs="Times New Roman"/>
          <w:sz w:val="18"/>
          <w:szCs w:val="18"/>
        </w:rPr>
        <w:t>无</w:t>
      </w:r>
    </w:p>
    <w:p w14:paraId="1D8193AF" w14:textId="77777777" w:rsidR="00E32FE0" w:rsidRPr="005B5EC1" w:rsidRDefault="00000000">
      <w:pPr>
        <w:pStyle w:val="3"/>
        <w:spacing w:line="280" w:lineRule="exact"/>
        <w:jc w:val="left"/>
        <w:rPr>
          <w:rFonts w:ascii="Times New Roman" w:hAnsi="Times New Roman" w:cs="Times New Roman"/>
          <w:b/>
          <w:bCs/>
        </w:rPr>
      </w:pPr>
      <w:bookmarkStart w:id="426" w:name="_Toc989362"/>
      <w:r w:rsidRPr="005B5EC1">
        <w:rPr>
          <w:rFonts w:ascii="Times New Roman" w:hAnsi="Times New Roman" w:cs="Times New Roman"/>
          <w:b/>
          <w:bCs/>
        </w:rPr>
        <w:t>2</w:t>
      </w:r>
      <w:r w:rsidRPr="005B5EC1">
        <w:rPr>
          <w:rFonts w:ascii="Times New Roman" w:hAnsi="Times New Roman" w:cs="Times New Roman"/>
          <w:b/>
          <w:bCs/>
        </w:rPr>
        <w:t>、同</w:t>
      </w:r>
      <w:proofErr w:type="gramStart"/>
      <w:r w:rsidRPr="005B5EC1">
        <w:rPr>
          <w:rFonts w:ascii="Times New Roman" w:hAnsi="Times New Roman" w:cs="Times New Roman"/>
          <w:b/>
          <w:bCs/>
        </w:rPr>
        <w:t>一控制</w:t>
      </w:r>
      <w:proofErr w:type="gramEnd"/>
      <w:r w:rsidRPr="005B5EC1">
        <w:rPr>
          <w:rFonts w:ascii="Times New Roman" w:hAnsi="Times New Roman" w:cs="Times New Roman"/>
          <w:b/>
          <w:bCs/>
        </w:rPr>
        <w:t>下企业合并</w:t>
      </w:r>
      <w:bookmarkEnd w:id="426"/>
    </w:p>
    <w:p w14:paraId="0C15E769" w14:textId="77777777" w:rsidR="003C1792" w:rsidRPr="005B5EC1" w:rsidRDefault="003C1792" w:rsidP="003C1792">
      <w:pPr>
        <w:pStyle w:val="a3"/>
        <w:rPr>
          <w:rFonts w:ascii="Times New Roman" w:hAnsi="Times New Roman" w:cs="Times New Roman"/>
          <w:sz w:val="18"/>
          <w:szCs w:val="18"/>
        </w:rPr>
      </w:pPr>
      <w:bookmarkStart w:id="427" w:name="_Toc989366"/>
      <w:r w:rsidRPr="005B5EC1">
        <w:rPr>
          <w:rFonts w:ascii="Times New Roman" w:hAnsi="Times New Roman" w:cs="Times New Roman"/>
          <w:sz w:val="18"/>
          <w:szCs w:val="18"/>
        </w:rPr>
        <w:t>无</w:t>
      </w:r>
    </w:p>
    <w:p w14:paraId="5BCE81FB" w14:textId="77777777" w:rsidR="00E32FE0" w:rsidRPr="005B5EC1" w:rsidRDefault="00000000">
      <w:pPr>
        <w:pStyle w:val="3"/>
        <w:spacing w:line="280" w:lineRule="exact"/>
        <w:jc w:val="left"/>
        <w:rPr>
          <w:rFonts w:ascii="Times New Roman" w:hAnsi="Times New Roman" w:cs="Times New Roman"/>
          <w:b/>
          <w:bCs/>
        </w:rPr>
      </w:pPr>
      <w:r w:rsidRPr="005B5EC1">
        <w:rPr>
          <w:rFonts w:ascii="Times New Roman" w:hAnsi="Times New Roman" w:cs="Times New Roman"/>
          <w:b/>
          <w:bCs/>
        </w:rPr>
        <w:t>3</w:t>
      </w:r>
      <w:r w:rsidRPr="005B5EC1">
        <w:rPr>
          <w:rFonts w:ascii="Times New Roman" w:hAnsi="Times New Roman" w:cs="Times New Roman"/>
          <w:b/>
          <w:bCs/>
        </w:rPr>
        <w:t>、反向购买</w:t>
      </w:r>
      <w:bookmarkEnd w:id="427"/>
    </w:p>
    <w:p w14:paraId="43397E2E" w14:textId="77777777" w:rsidR="00AF139E" w:rsidRPr="005B5EC1" w:rsidRDefault="00000000">
      <w:pPr>
        <w:pStyle w:val="a3"/>
        <w:divId w:val="628784418"/>
        <w:rPr>
          <w:rFonts w:ascii="Times New Roman" w:hAnsi="Times New Roman" w:cs="Times New Roman"/>
          <w:sz w:val="18"/>
          <w:szCs w:val="18"/>
        </w:rPr>
      </w:pPr>
      <w:r w:rsidRPr="005B5EC1">
        <w:rPr>
          <w:rFonts w:ascii="Times New Roman" w:hAnsi="Times New Roman" w:cs="Times New Roman"/>
          <w:sz w:val="18"/>
          <w:szCs w:val="18"/>
        </w:rPr>
        <w:t>无</w:t>
      </w:r>
    </w:p>
    <w:p w14:paraId="0FAA818E" w14:textId="77777777" w:rsidR="00E32FE0" w:rsidRPr="005B5EC1" w:rsidRDefault="00000000">
      <w:pPr>
        <w:pStyle w:val="3"/>
        <w:spacing w:line="280" w:lineRule="exact"/>
        <w:jc w:val="left"/>
        <w:rPr>
          <w:rFonts w:ascii="Times New Roman" w:hAnsi="Times New Roman" w:cs="Times New Roman"/>
          <w:b/>
          <w:bCs/>
        </w:rPr>
      </w:pPr>
      <w:bookmarkStart w:id="428" w:name="_Toc989367"/>
      <w:r w:rsidRPr="005B5EC1">
        <w:rPr>
          <w:rFonts w:ascii="Times New Roman" w:hAnsi="Times New Roman" w:cs="Times New Roman"/>
          <w:b/>
          <w:bCs/>
        </w:rPr>
        <w:t>4</w:t>
      </w:r>
      <w:r w:rsidRPr="005B5EC1">
        <w:rPr>
          <w:rFonts w:ascii="Times New Roman" w:hAnsi="Times New Roman" w:cs="Times New Roman"/>
          <w:b/>
          <w:bCs/>
        </w:rPr>
        <w:t>、处置子公司</w:t>
      </w:r>
      <w:bookmarkEnd w:id="428"/>
    </w:p>
    <w:p w14:paraId="1B38EC1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本期是否存在丧失子公司控制权的交易或事项</w:t>
      </w:r>
    </w:p>
    <w:p w14:paraId="71C52CF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否</w:t>
      </w:r>
    </w:p>
    <w:p w14:paraId="345A723F"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34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796"/>
        <w:gridCol w:w="796"/>
        <w:gridCol w:w="796"/>
        <w:gridCol w:w="796"/>
        <w:gridCol w:w="796"/>
        <w:gridCol w:w="796"/>
        <w:gridCol w:w="795"/>
        <w:gridCol w:w="795"/>
        <w:gridCol w:w="795"/>
        <w:gridCol w:w="795"/>
        <w:gridCol w:w="795"/>
        <w:gridCol w:w="795"/>
        <w:gridCol w:w="795"/>
      </w:tblGrid>
      <w:tr w:rsidR="005B5EC1" w:rsidRPr="005B5EC1" w14:paraId="58C7EA95" w14:textId="77777777" w:rsidTr="005B5EC1">
        <w:trPr>
          <w:trHeight w:val="239"/>
          <w:jc w:val="center"/>
        </w:trPr>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0CDD9A0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子公司名称</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2C6BC34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丧失控制权时点的处置价款</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3D2F83D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丧失控制权时点的处置比例</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62E18B0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丧失控制权时点的处置方式</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01A0313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丧失控制权的时点</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798BD28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丧失控制权时点的判断依据</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0417976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处置价款与处置投资对应的合并财务报表层面享有该子公司净资产份额的差额</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1818F9A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丧失控制权之日剩余股权的比例</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112E595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丧失控制权之日合并财务报表层面剩余股权的账面价值</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3A25C74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丧失控制权之日合并财务报表层面剩余股权的公允价值</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565BC25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按照公允价值重新计量剩余股权产生的利得或损失</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193C717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丧失控制权之日合并财务报表层面剩余股权公允价值的确定方法及主要假设</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3EDA53A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与原子公司股权投资相关的其他综合收益转入投资损益或留存收益的金额</w:t>
            </w:r>
          </w:p>
        </w:tc>
      </w:tr>
      <w:tr w:rsidR="00E32FE0" w:rsidRPr="005B5EC1" w14:paraId="56F5663D" w14:textId="77777777" w:rsidTr="005B5EC1">
        <w:trPr>
          <w:trHeight w:val="239"/>
          <w:jc w:val="center"/>
        </w:trPr>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087F49D2" w14:textId="77777777" w:rsidR="00E32FE0" w:rsidRPr="005B5EC1" w:rsidRDefault="00000000">
            <w:pPr>
              <w:spacing w:after="0" w:line="240" w:lineRule="exact"/>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通辽金泉食品</w:t>
            </w:r>
            <w:proofErr w:type="gramEnd"/>
            <w:r w:rsidRPr="005B5EC1">
              <w:rPr>
                <w:rFonts w:ascii="Times New Roman" w:eastAsia="宋体" w:hAnsi="Times New Roman" w:cs="Times New Roman"/>
                <w:sz w:val="18"/>
                <w:szCs w:val="18"/>
              </w:rPr>
              <w:t>有限责任公司</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163FC22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79,200,000.00</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270802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7963016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股权转让</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66397E7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w:t>
            </w:r>
          </w:p>
        </w:tc>
        <w:tc>
          <w:tcPr>
            <w:tcW w:w="796" w:type="dxa"/>
            <w:tcBorders>
              <w:top w:val="single" w:sz="2" w:space="0" w:color="auto"/>
              <w:left w:val="single" w:sz="2" w:space="0" w:color="auto"/>
              <w:bottom w:val="single" w:sz="2" w:space="0" w:color="auto"/>
              <w:right w:val="single" w:sz="2" w:space="0" w:color="auto"/>
            </w:tcBorders>
            <w:shd w:val="clear" w:color="auto" w:fill="auto"/>
            <w:vAlign w:val="center"/>
          </w:tcPr>
          <w:p w14:paraId="46B5A8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控制权变更</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42072C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62,977,269.86</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284CAF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20EADF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6D9290C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2AC952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087580C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不适用</w:t>
            </w:r>
          </w:p>
        </w:tc>
        <w:tc>
          <w:tcPr>
            <w:tcW w:w="795" w:type="dxa"/>
            <w:tcBorders>
              <w:top w:val="single" w:sz="2" w:space="0" w:color="auto"/>
              <w:left w:val="single" w:sz="2" w:space="0" w:color="auto"/>
              <w:bottom w:val="single" w:sz="2" w:space="0" w:color="auto"/>
              <w:right w:val="single" w:sz="2" w:space="0" w:color="auto"/>
            </w:tcBorders>
            <w:shd w:val="clear" w:color="auto" w:fill="auto"/>
            <w:vAlign w:val="center"/>
          </w:tcPr>
          <w:p w14:paraId="1EDB1D07"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4653E428" w14:textId="7D62F173" w:rsidR="00E32FE0" w:rsidRPr="005B5EC1" w:rsidRDefault="00000000" w:rsidP="005B5EC1">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1B64BFC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是否存在通过多次交易分步处置对子公司投资且在本期丧失控制权的情形</w:t>
      </w:r>
    </w:p>
    <w:p w14:paraId="031E08B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是</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否</w:t>
      </w:r>
    </w:p>
    <w:p w14:paraId="32402826" w14:textId="77777777" w:rsidR="00E32FE0" w:rsidRPr="005B5EC1" w:rsidRDefault="00000000">
      <w:pPr>
        <w:pStyle w:val="3"/>
        <w:spacing w:line="280" w:lineRule="exact"/>
        <w:jc w:val="left"/>
        <w:rPr>
          <w:rFonts w:ascii="Times New Roman" w:hAnsi="Times New Roman" w:cs="Times New Roman"/>
          <w:b/>
          <w:bCs/>
        </w:rPr>
      </w:pPr>
      <w:bookmarkStart w:id="429" w:name="_Toc989368"/>
      <w:r w:rsidRPr="005B5EC1">
        <w:rPr>
          <w:rFonts w:ascii="Times New Roman" w:hAnsi="Times New Roman" w:cs="Times New Roman"/>
          <w:b/>
          <w:bCs/>
        </w:rPr>
        <w:t>5</w:t>
      </w:r>
      <w:r w:rsidRPr="005B5EC1">
        <w:rPr>
          <w:rFonts w:ascii="Times New Roman" w:hAnsi="Times New Roman" w:cs="Times New Roman"/>
          <w:b/>
          <w:bCs/>
        </w:rPr>
        <w:t>、其他原因的合并范围变动</w:t>
      </w:r>
      <w:bookmarkEnd w:id="429"/>
    </w:p>
    <w:p w14:paraId="6250F5F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说明其他原因导致的合并范围变动（如，新设子公司、清算子公司等）及其相关情况：</w:t>
      </w:r>
    </w:p>
    <w:p w14:paraId="56F93CD4" w14:textId="77777777" w:rsidR="00AF139E" w:rsidRPr="005B5EC1" w:rsidRDefault="00000000">
      <w:pPr>
        <w:pStyle w:val="a3"/>
        <w:divId w:val="416245601"/>
        <w:rPr>
          <w:rFonts w:ascii="Times New Roman" w:hAnsi="Times New Roman" w:cs="Times New Roman"/>
          <w:sz w:val="18"/>
          <w:szCs w:val="18"/>
        </w:rPr>
      </w:pPr>
      <w:r w:rsidRPr="005B5EC1">
        <w:rPr>
          <w:rFonts w:ascii="Times New Roman" w:hAnsi="Times New Roman" w:cs="Times New Roman"/>
          <w:sz w:val="18"/>
          <w:szCs w:val="18"/>
        </w:rPr>
        <w:t>新设主体</w:t>
      </w:r>
    </w:p>
    <w:tbl>
      <w:tblPr>
        <w:tblW w:w="10440" w:type="dxa"/>
        <w:jc w:val="center"/>
        <w:tblCellMar>
          <w:left w:w="0" w:type="dxa"/>
          <w:right w:w="0" w:type="dxa"/>
        </w:tblCellMar>
        <w:tblLook w:val="04A0" w:firstRow="1" w:lastRow="0" w:firstColumn="1" w:lastColumn="0" w:noHBand="0" w:noVBand="1"/>
      </w:tblPr>
      <w:tblGrid>
        <w:gridCol w:w="4398"/>
        <w:gridCol w:w="1426"/>
        <w:gridCol w:w="2108"/>
        <w:gridCol w:w="2508"/>
      </w:tblGrid>
      <w:tr w:rsidR="00AF139E" w:rsidRPr="005B5EC1" w14:paraId="44F6028C" w14:textId="77777777" w:rsidTr="005B5EC1">
        <w:trPr>
          <w:divId w:val="416245601"/>
          <w:trHeight w:val="180"/>
          <w:jc w:val="center"/>
        </w:trPr>
        <w:tc>
          <w:tcPr>
            <w:tcW w:w="439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29F7605" w14:textId="77777777" w:rsidR="00AF139E" w:rsidRPr="005B5EC1" w:rsidRDefault="00000000" w:rsidP="005B5EC1">
            <w:pPr>
              <w:spacing w:after="0" w:line="276" w:lineRule="auto"/>
              <w:rPr>
                <w:rFonts w:ascii="Times New Roman" w:eastAsia="宋体" w:hAnsi="Times New Roman" w:cs="Times New Roman"/>
                <w:color w:val="000000"/>
                <w:szCs w:val="22"/>
              </w:rPr>
            </w:pPr>
            <w:r w:rsidRPr="005B5EC1">
              <w:rPr>
                <w:rFonts w:ascii="Times New Roman" w:eastAsia="宋体" w:hAnsi="Times New Roman" w:cs="Times New Roman"/>
                <w:color w:val="000000"/>
                <w:sz w:val="18"/>
                <w:szCs w:val="18"/>
              </w:rPr>
              <w:lastRenderedPageBreak/>
              <w:t>名称</w:t>
            </w: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A7F71F6" w14:textId="77777777" w:rsidR="00AF139E" w:rsidRPr="005B5EC1" w:rsidRDefault="00000000" w:rsidP="005B5EC1">
            <w:pPr>
              <w:spacing w:after="0" w:line="276" w:lineRule="auto"/>
              <w:rPr>
                <w:rFonts w:ascii="Times New Roman" w:eastAsia="宋体" w:hAnsi="Times New Roman" w:cs="Times New Roman"/>
                <w:color w:val="000000"/>
                <w:szCs w:val="22"/>
              </w:rPr>
            </w:pPr>
            <w:r w:rsidRPr="005B5EC1">
              <w:rPr>
                <w:rFonts w:ascii="Times New Roman" w:eastAsia="宋体" w:hAnsi="Times New Roman" w:cs="Times New Roman"/>
                <w:color w:val="000000"/>
                <w:sz w:val="18"/>
                <w:szCs w:val="18"/>
              </w:rPr>
              <w:t>设立时间</w:t>
            </w:r>
          </w:p>
        </w:tc>
        <w:tc>
          <w:tcPr>
            <w:tcW w:w="210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643C387" w14:textId="77777777" w:rsidR="00AF139E" w:rsidRPr="005B5EC1" w:rsidRDefault="00000000" w:rsidP="005B5EC1">
            <w:pPr>
              <w:spacing w:after="0" w:line="276" w:lineRule="auto"/>
              <w:rPr>
                <w:rFonts w:ascii="Times New Roman" w:eastAsia="宋体" w:hAnsi="Times New Roman" w:cs="Times New Roman"/>
                <w:color w:val="000000"/>
                <w:szCs w:val="22"/>
              </w:rPr>
            </w:pPr>
            <w:r w:rsidRPr="005B5EC1">
              <w:rPr>
                <w:rFonts w:ascii="Times New Roman" w:eastAsia="宋体" w:hAnsi="Times New Roman" w:cs="Times New Roman"/>
                <w:color w:val="000000"/>
                <w:sz w:val="18"/>
                <w:szCs w:val="18"/>
              </w:rPr>
              <w:t> </w:t>
            </w:r>
            <w:r w:rsidRPr="005B5EC1">
              <w:rPr>
                <w:rFonts w:ascii="Times New Roman" w:eastAsia="宋体" w:hAnsi="Times New Roman" w:cs="Times New Roman"/>
                <w:color w:val="000000"/>
                <w:sz w:val="18"/>
                <w:szCs w:val="18"/>
              </w:rPr>
              <w:t>期末净资产</w:t>
            </w:r>
            <w:r w:rsidRPr="005B5EC1">
              <w:rPr>
                <w:rFonts w:ascii="Times New Roman" w:eastAsia="宋体" w:hAnsi="Times New Roman" w:cs="Times New Roman"/>
                <w:color w:val="000000"/>
                <w:sz w:val="18"/>
                <w:szCs w:val="18"/>
              </w:rPr>
              <w:t> </w:t>
            </w:r>
          </w:p>
        </w:tc>
        <w:tc>
          <w:tcPr>
            <w:tcW w:w="250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0B11818" w14:textId="77777777" w:rsidR="00AF139E" w:rsidRPr="005B5EC1" w:rsidRDefault="00000000" w:rsidP="005B5EC1">
            <w:pPr>
              <w:spacing w:after="0" w:line="276" w:lineRule="auto"/>
              <w:rPr>
                <w:rFonts w:ascii="Times New Roman" w:eastAsia="宋体" w:hAnsi="Times New Roman" w:cs="Times New Roman"/>
                <w:color w:val="000000"/>
                <w:szCs w:val="22"/>
              </w:rPr>
            </w:pPr>
            <w:r w:rsidRPr="005B5EC1">
              <w:rPr>
                <w:rFonts w:ascii="Times New Roman" w:eastAsia="宋体" w:hAnsi="Times New Roman" w:cs="Times New Roman"/>
                <w:color w:val="000000"/>
                <w:sz w:val="18"/>
                <w:szCs w:val="18"/>
              </w:rPr>
              <w:t> </w:t>
            </w:r>
            <w:r w:rsidRPr="005B5EC1">
              <w:rPr>
                <w:rFonts w:ascii="Times New Roman" w:eastAsia="宋体" w:hAnsi="Times New Roman" w:cs="Times New Roman"/>
                <w:color w:val="000000"/>
                <w:sz w:val="18"/>
                <w:szCs w:val="18"/>
              </w:rPr>
              <w:t>合并日至期末净资产</w:t>
            </w:r>
            <w:r w:rsidRPr="005B5EC1">
              <w:rPr>
                <w:rFonts w:ascii="Times New Roman" w:eastAsia="宋体" w:hAnsi="Times New Roman" w:cs="Times New Roman"/>
                <w:color w:val="000000"/>
                <w:sz w:val="18"/>
                <w:szCs w:val="18"/>
              </w:rPr>
              <w:t> </w:t>
            </w:r>
          </w:p>
        </w:tc>
      </w:tr>
      <w:tr w:rsidR="00AF139E" w:rsidRPr="005B5EC1" w14:paraId="3364CF5A" w14:textId="77777777" w:rsidTr="005B5EC1">
        <w:trPr>
          <w:divId w:val="416245601"/>
          <w:trHeight w:val="180"/>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CCC86AF" w14:textId="77777777" w:rsidR="00AF139E" w:rsidRPr="005B5EC1" w:rsidRDefault="00000000" w:rsidP="005B5EC1">
            <w:pPr>
              <w:spacing w:after="0" w:line="276" w:lineRule="auto"/>
              <w:rPr>
                <w:rFonts w:ascii="Times New Roman" w:eastAsia="宋体" w:hAnsi="Times New Roman" w:cs="Times New Roman"/>
                <w:color w:val="000000"/>
                <w:szCs w:val="22"/>
              </w:rPr>
            </w:pPr>
            <w:r w:rsidRPr="005B5EC1">
              <w:rPr>
                <w:rFonts w:ascii="Times New Roman" w:eastAsia="宋体" w:hAnsi="Times New Roman" w:cs="Times New Roman"/>
                <w:color w:val="000000"/>
                <w:sz w:val="18"/>
                <w:szCs w:val="18"/>
              </w:rPr>
              <w:t>巴中龙大肉食品贸易有限公司</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D57A88A" w14:textId="77777777" w:rsidR="00AF139E" w:rsidRPr="005B5EC1" w:rsidRDefault="00000000" w:rsidP="005B5EC1">
            <w:pPr>
              <w:spacing w:after="0" w:line="276" w:lineRule="auto"/>
              <w:rPr>
                <w:rFonts w:ascii="Times New Roman" w:eastAsia="宋体" w:hAnsi="Times New Roman" w:cs="Times New Roman"/>
                <w:color w:val="000000"/>
                <w:szCs w:val="22"/>
              </w:rPr>
            </w:pPr>
            <w:r w:rsidRPr="005B5EC1">
              <w:rPr>
                <w:rFonts w:ascii="Times New Roman" w:eastAsia="宋体" w:hAnsi="Times New Roman" w:cs="Times New Roman"/>
                <w:color w:val="000000"/>
                <w:sz w:val="18"/>
                <w:szCs w:val="18"/>
              </w:rPr>
              <w:t>2024-11-01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6E97C1D" w14:textId="77777777" w:rsidR="00AF139E" w:rsidRPr="005B5EC1" w:rsidRDefault="00000000" w:rsidP="005B5EC1">
            <w:pPr>
              <w:spacing w:after="0" w:line="276" w:lineRule="auto"/>
              <w:jc w:val="right"/>
              <w:rPr>
                <w:rFonts w:ascii="Times New Roman" w:eastAsia="宋体" w:hAnsi="Times New Roman" w:cs="Times New Roman"/>
                <w:color w:val="000000"/>
                <w:szCs w:val="22"/>
              </w:rPr>
            </w:pPr>
            <w:r w:rsidRPr="005B5EC1">
              <w:rPr>
                <w:rFonts w:ascii="Times New Roman" w:eastAsia="宋体" w:hAnsi="Times New Roman" w:cs="Times New Roman"/>
                <w:color w:val="000000"/>
                <w:sz w:val="18"/>
                <w:szCs w:val="18"/>
              </w:rPr>
              <w:t>0.00 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64B5767" w14:textId="77777777" w:rsidR="00AF139E" w:rsidRPr="005B5EC1" w:rsidRDefault="00000000" w:rsidP="005B5EC1">
            <w:pPr>
              <w:spacing w:after="0" w:line="276" w:lineRule="auto"/>
              <w:jc w:val="right"/>
              <w:rPr>
                <w:rFonts w:ascii="Times New Roman" w:eastAsia="宋体" w:hAnsi="Times New Roman" w:cs="Times New Roman"/>
                <w:color w:val="000000"/>
                <w:szCs w:val="22"/>
              </w:rPr>
            </w:pPr>
            <w:r w:rsidRPr="005B5EC1">
              <w:rPr>
                <w:rFonts w:ascii="Times New Roman" w:eastAsia="宋体" w:hAnsi="Times New Roman" w:cs="Times New Roman"/>
                <w:color w:val="000000"/>
                <w:sz w:val="18"/>
                <w:szCs w:val="18"/>
              </w:rPr>
              <w:t>0.00 </w:t>
            </w:r>
          </w:p>
        </w:tc>
      </w:tr>
    </w:tbl>
    <w:p w14:paraId="3D738DBB" w14:textId="77777777" w:rsidR="00AF139E" w:rsidRPr="005B5EC1" w:rsidRDefault="00000000">
      <w:pPr>
        <w:pStyle w:val="a3"/>
        <w:divId w:val="416245601"/>
        <w:rPr>
          <w:rFonts w:ascii="Times New Roman" w:hAnsi="Times New Roman" w:cs="Times New Roman"/>
          <w:sz w:val="18"/>
          <w:szCs w:val="18"/>
        </w:rPr>
      </w:pPr>
      <w:r w:rsidRPr="005B5EC1">
        <w:rPr>
          <w:rFonts w:ascii="Times New Roman" w:hAnsi="Times New Roman" w:cs="Times New Roman"/>
          <w:sz w:val="18"/>
          <w:szCs w:val="18"/>
        </w:rPr>
        <w:t>注销子公司</w:t>
      </w:r>
    </w:p>
    <w:tbl>
      <w:tblPr>
        <w:tblW w:w="10440" w:type="dxa"/>
        <w:jc w:val="center"/>
        <w:tblCellMar>
          <w:left w:w="0" w:type="dxa"/>
          <w:right w:w="0" w:type="dxa"/>
        </w:tblCellMar>
        <w:tblLook w:val="04A0" w:firstRow="1" w:lastRow="0" w:firstColumn="1" w:lastColumn="0" w:noHBand="0" w:noVBand="1"/>
      </w:tblPr>
      <w:tblGrid>
        <w:gridCol w:w="4401"/>
        <w:gridCol w:w="1427"/>
        <w:gridCol w:w="2103"/>
        <w:gridCol w:w="2509"/>
      </w:tblGrid>
      <w:tr w:rsidR="00AF139E" w:rsidRPr="005B5EC1" w14:paraId="34CF8799" w14:textId="77777777" w:rsidTr="005B5EC1">
        <w:trPr>
          <w:divId w:val="416245601"/>
          <w:trHeight w:val="180"/>
          <w:jc w:val="center"/>
        </w:trPr>
        <w:tc>
          <w:tcPr>
            <w:tcW w:w="439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5111734"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名称</w:t>
            </w: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BB3D851"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注销时间</w:t>
            </w:r>
          </w:p>
        </w:tc>
        <w:tc>
          <w:tcPr>
            <w:tcW w:w="21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D7E7EA1" w14:textId="77777777" w:rsidR="00AF139E" w:rsidRPr="005B5EC1" w:rsidRDefault="00000000" w:rsidP="005B5EC1">
            <w:pPr>
              <w:spacing w:after="0" w:line="276" w:lineRule="auto"/>
              <w:rPr>
                <w:rFonts w:ascii="Times New Roman" w:eastAsia="宋体" w:hAnsi="Times New Roman" w:cs="Times New Roman"/>
                <w:color w:val="000000"/>
                <w:sz w:val="18"/>
                <w:szCs w:val="18"/>
              </w:rPr>
            </w:pPr>
            <w:proofErr w:type="gramStart"/>
            <w:r w:rsidRPr="005B5EC1">
              <w:rPr>
                <w:rFonts w:ascii="Times New Roman" w:eastAsia="宋体" w:hAnsi="Times New Roman" w:cs="Times New Roman"/>
                <w:color w:val="000000"/>
                <w:sz w:val="18"/>
                <w:szCs w:val="18"/>
              </w:rPr>
              <w:t>处置日</w:t>
            </w:r>
            <w:proofErr w:type="gramEnd"/>
            <w:r w:rsidRPr="005B5EC1">
              <w:rPr>
                <w:rFonts w:ascii="Times New Roman" w:eastAsia="宋体" w:hAnsi="Times New Roman" w:cs="Times New Roman"/>
                <w:color w:val="000000"/>
                <w:sz w:val="18"/>
                <w:szCs w:val="18"/>
              </w:rPr>
              <w:t>净资产</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8CCD337"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期初至</w:t>
            </w:r>
            <w:proofErr w:type="gramStart"/>
            <w:r w:rsidRPr="005B5EC1">
              <w:rPr>
                <w:rFonts w:ascii="Times New Roman" w:eastAsia="宋体" w:hAnsi="Times New Roman" w:cs="Times New Roman"/>
                <w:color w:val="000000"/>
                <w:sz w:val="18"/>
                <w:szCs w:val="18"/>
              </w:rPr>
              <w:t>处置日净</w:t>
            </w:r>
            <w:proofErr w:type="gramEnd"/>
            <w:r w:rsidRPr="005B5EC1">
              <w:rPr>
                <w:rFonts w:ascii="Times New Roman" w:eastAsia="宋体" w:hAnsi="Times New Roman" w:cs="Times New Roman"/>
                <w:color w:val="000000"/>
                <w:sz w:val="18"/>
                <w:szCs w:val="18"/>
              </w:rPr>
              <w:t>利润</w:t>
            </w:r>
          </w:p>
        </w:tc>
      </w:tr>
      <w:tr w:rsidR="00AF139E" w:rsidRPr="005B5EC1" w14:paraId="6827375F" w14:textId="77777777" w:rsidTr="005B5EC1">
        <w:trPr>
          <w:divId w:val="416245601"/>
          <w:trHeight w:val="180"/>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891CF47" w14:textId="77777777" w:rsidR="00AF139E" w:rsidRPr="005B5EC1" w:rsidRDefault="00000000" w:rsidP="005B5EC1">
            <w:pPr>
              <w:spacing w:after="0" w:line="276" w:lineRule="auto"/>
              <w:rPr>
                <w:rFonts w:ascii="Times New Roman" w:eastAsia="宋体" w:hAnsi="Times New Roman" w:cs="Times New Roman"/>
                <w:color w:val="000000"/>
                <w:sz w:val="18"/>
                <w:szCs w:val="18"/>
              </w:rPr>
            </w:pPr>
            <w:proofErr w:type="gramStart"/>
            <w:r w:rsidRPr="005B5EC1">
              <w:rPr>
                <w:rFonts w:ascii="Times New Roman" w:eastAsia="宋体" w:hAnsi="Times New Roman" w:cs="Times New Roman"/>
                <w:color w:val="000000"/>
                <w:sz w:val="18"/>
                <w:szCs w:val="18"/>
              </w:rPr>
              <w:t>莒</w:t>
            </w:r>
            <w:proofErr w:type="gramEnd"/>
            <w:r w:rsidRPr="005B5EC1">
              <w:rPr>
                <w:rFonts w:ascii="Times New Roman" w:eastAsia="宋体" w:hAnsi="Times New Roman" w:cs="Times New Roman"/>
                <w:color w:val="000000"/>
                <w:sz w:val="18"/>
                <w:szCs w:val="18"/>
              </w:rPr>
              <w:t>南龙大肉食品有限公司</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CC99057"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2024-02-19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BB32043"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0.00 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1E98F32"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0.00 </w:t>
            </w:r>
          </w:p>
        </w:tc>
      </w:tr>
      <w:tr w:rsidR="00AF139E" w:rsidRPr="005B5EC1" w14:paraId="47D6A771" w14:textId="77777777" w:rsidTr="005B5EC1">
        <w:trPr>
          <w:divId w:val="416245601"/>
          <w:trHeight w:val="180"/>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38418EB"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北京晓食探科技有限公司</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DBCCE4E"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2024-02-27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F436580"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0.00 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79986D7"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0.00 </w:t>
            </w:r>
          </w:p>
        </w:tc>
      </w:tr>
      <w:tr w:rsidR="00AF139E" w:rsidRPr="005B5EC1" w14:paraId="01FDE9A4" w14:textId="77777777" w:rsidTr="005B5EC1">
        <w:trPr>
          <w:divId w:val="416245601"/>
          <w:trHeight w:val="180"/>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0E282E1"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乳山龙大养殖有限公司</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CC3A9A2"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2024-09-23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94F9905"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0.00 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DAE479B"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0.00 </w:t>
            </w:r>
          </w:p>
        </w:tc>
      </w:tr>
      <w:tr w:rsidR="00AF139E" w:rsidRPr="005B5EC1" w14:paraId="3FAB2555" w14:textId="77777777" w:rsidTr="005B5EC1">
        <w:trPr>
          <w:divId w:val="416245601"/>
          <w:trHeight w:val="180"/>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4F8F460"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龙大美食（广东）食品科技有限公司</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DC3B867"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2024-12-25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8863AB9"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0.00 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087AAAB"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0.00 </w:t>
            </w:r>
          </w:p>
        </w:tc>
      </w:tr>
    </w:tbl>
    <w:p w14:paraId="23C40519" w14:textId="77777777" w:rsidR="00AF139E" w:rsidRPr="005B5EC1" w:rsidRDefault="00000000" w:rsidP="005B5EC1">
      <w:pPr>
        <w:pStyle w:val="a3"/>
        <w:divId w:val="416245601"/>
        <w:rPr>
          <w:rFonts w:ascii="Times New Roman" w:hAnsi="Times New Roman" w:cs="Times New Roman"/>
          <w:sz w:val="18"/>
          <w:szCs w:val="18"/>
        </w:rPr>
      </w:pPr>
      <w:r w:rsidRPr="005B5EC1">
        <w:rPr>
          <w:rFonts w:ascii="Times New Roman" w:hAnsi="Times New Roman" w:cs="Times New Roman"/>
          <w:sz w:val="18"/>
          <w:szCs w:val="18"/>
        </w:rPr>
        <w:t>出售子公司</w:t>
      </w:r>
    </w:p>
    <w:tbl>
      <w:tblPr>
        <w:tblW w:w="10440" w:type="dxa"/>
        <w:jc w:val="center"/>
        <w:tblCellMar>
          <w:left w:w="0" w:type="dxa"/>
          <w:right w:w="0" w:type="dxa"/>
        </w:tblCellMar>
        <w:tblLook w:val="04A0" w:firstRow="1" w:lastRow="0" w:firstColumn="1" w:lastColumn="0" w:noHBand="0" w:noVBand="1"/>
      </w:tblPr>
      <w:tblGrid>
        <w:gridCol w:w="4401"/>
        <w:gridCol w:w="1427"/>
        <w:gridCol w:w="2103"/>
        <w:gridCol w:w="2509"/>
      </w:tblGrid>
      <w:tr w:rsidR="00AF139E" w:rsidRPr="005B5EC1" w14:paraId="0099F47F" w14:textId="77777777" w:rsidTr="005B5EC1">
        <w:trPr>
          <w:divId w:val="416245601"/>
          <w:trHeight w:val="180"/>
          <w:jc w:val="center"/>
        </w:trPr>
        <w:tc>
          <w:tcPr>
            <w:tcW w:w="439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204540B"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名称</w:t>
            </w: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B18FA2B"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丧失控制权时点</w:t>
            </w:r>
          </w:p>
        </w:tc>
        <w:tc>
          <w:tcPr>
            <w:tcW w:w="210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8422B19" w14:textId="77777777" w:rsidR="00AF139E" w:rsidRPr="005B5EC1" w:rsidRDefault="00000000" w:rsidP="005B5EC1">
            <w:pPr>
              <w:spacing w:after="0" w:line="276" w:lineRule="auto"/>
              <w:rPr>
                <w:rFonts w:ascii="Times New Roman" w:eastAsia="宋体" w:hAnsi="Times New Roman" w:cs="Times New Roman"/>
                <w:color w:val="000000"/>
                <w:sz w:val="18"/>
                <w:szCs w:val="18"/>
              </w:rPr>
            </w:pPr>
            <w:proofErr w:type="gramStart"/>
            <w:r w:rsidRPr="005B5EC1">
              <w:rPr>
                <w:rFonts w:ascii="Times New Roman" w:eastAsia="宋体" w:hAnsi="Times New Roman" w:cs="Times New Roman"/>
                <w:color w:val="000000"/>
                <w:sz w:val="18"/>
                <w:szCs w:val="18"/>
              </w:rPr>
              <w:t>处置日</w:t>
            </w:r>
            <w:proofErr w:type="gramEnd"/>
            <w:r w:rsidRPr="005B5EC1">
              <w:rPr>
                <w:rFonts w:ascii="Times New Roman" w:eastAsia="宋体" w:hAnsi="Times New Roman" w:cs="Times New Roman"/>
                <w:color w:val="000000"/>
                <w:sz w:val="18"/>
                <w:szCs w:val="18"/>
              </w:rPr>
              <w:t>净资产</w:t>
            </w:r>
          </w:p>
        </w:tc>
        <w:tc>
          <w:tcPr>
            <w:tcW w:w="250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D7C3213"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期初至</w:t>
            </w:r>
            <w:proofErr w:type="gramStart"/>
            <w:r w:rsidRPr="005B5EC1">
              <w:rPr>
                <w:rFonts w:ascii="Times New Roman" w:eastAsia="宋体" w:hAnsi="Times New Roman" w:cs="Times New Roman"/>
                <w:color w:val="000000"/>
                <w:sz w:val="18"/>
                <w:szCs w:val="18"/>
              </w:rPr>
              <w:t>处置日净</w:t>
            </w:r>
            <w:proofErr w:type="gramEnd"/>
            <w:r w:rsidRPr="005B5EC1">
              <w:rPr>
                <w:rFonts w:ascii="Times New Roman" w:eastAsia="宋体" w:hAnsi="Times New Roman" w:cs="Times New Roman"/>
                <w:color w:val="000000"/>
                <w:sz w:val="18"/>
                <w:szCs w:val="18"/>
              </w:rPr>
              <w:t>利润</w:t>
            </w:r>
          </w:p>
        </w:tc>
      </w:tr>
      <w:tr w:rsidR="00AF139E" w:rsidRPr="005B5EC1" w14:paraId="76E7A065" w14:textId="77777777" w:rsidTr="005B5EC1">
        <w:trPr>
          <w:divId w:val="416245601"/>
          <w:trHeight w:val="180"/>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D456DB3" w14:textId="77777777" w:rsidR="00AF139E" w:rsidRPr="005B5EC1" w:rsidRDefault="00000000" w:rsidP="005B5EC1">
            <w:pPr>
              <w:spacing w:after="0" w:line="276" w:lineRule="auto"/>
              <w:rPr>
                <w:rFonts w:ascii="Times New Roman" w:eastAsia="宋体" w:hAnsi="Times New Roman" w:cs="Times New Roman"/>
                <w:color w:val="000000"/>
                <w:sz w:val="18"/>
                <w:szCs w:val="18"/>
              </w:rPr>
            </w:pPr>
            <w:proofErr w:type="gramStart"/>
            <w:r w:rsidRPr="005B5EC1">
              <w:rPr>
                <w:rFonts w:ascii="Times New Roman" w:eastAsia="宋体" w:hAnsi="Times New Roman" w:cs="Times New Roman"/>
                <w:color w:val="000000"/>
                <w:sz w:val="18"/>
                <w:szCs w:val="18"/>
              </w:rPr>
              <w:t>通辽金泉食品</w:t>
            </w:r>
            <w:proofErr w:type="gramEnd"/>
            <w:r w:rsidRPr="005B5EC1">
              <w:rPr>
                <w:rFonts w:ascii="Times New Roman" w:eastAsia="宋体" w:hAnsi="Times New Roman" w:cs="Times New Roman"/>
                <w:color w:val="000000"/>
                <w:sz w:val="18"/>
                <w:szCs w:val="18"/>
              </w:rPr>
              <w:t>有限责任公司</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B8E4365" w14:textId="77777777" w:rsidR="00AF139E" w:rsidRPr="005B5EC1" w:rsidRDefault="00000000" w:rsidP="005B5EC1">
            <w:pPr>
              <w:spacing w:after="0" w:line="276" w:lineRule="auto"/>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2024-12-31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BBC5716"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 16,264,005.84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365E3FA" w14:textId="77777777" w:rsidR="00AF139E" w:rsidRPr="005B5EC1" w:rsidRDefault="00000000" w:rsidP="005B5EC1">
            <w:pPr>
              <w:spacing w:after="0" w:line="276" w:lineRule="auto"/>
              <w:jc w:val="right"/>
              <w:rPr>
                <w:rFonts w:ascii="Times New Roman" w:eastAsia="宋体" w:hAnsi="Times New Roman" w:cs="Times New Roman"/>
                <w:color w:val="000000"/>
                <w:sz w:val="18"/>
                <w:szCs w:val="18"/>
              </w:rPr>
            </w:pPr>
            <w:r w:rsidRPr="005B5EC1">
              <w:rPr>
                <w:rFonts w:ascii="Times New Roman" w:eastAsia="宋体" w:hAnsi="Times New Roman" w:cs="Times New Roman"/>
                <w:color w:val="000000"/>
                <w:sz w:val="18"/>
                <w:szCs w:val="18"/>
              </w:rPr>
              <w:t> -3,606,356.22 </w:t>
            </w:r>
          </w:p>
        </w:tc>
      </w:tr>
    </w:tbl>
    <w:p w14:paraId="5C2E5702" w14:textId="77777777" w:rsidR="00E32FE0" w:rsidRPr="005B5EC1" w:rsidRDefault="00000000">
      <w:pPr>
        <w:pStyle w:val="3"/>
        <w:spacing w:line="280" w:lineRule="exact"/>
        <w:jc w:val="left"/>
        <w:rPr>
          <w:rFonts w:ascii="Times New Roman" w:hAnsi="Times New Roman" w:cs="Times New Roman"/>
          <w:b/>
          <w:bCs/>
        </w:rPr>
      </w:pPr>
      <w:bookmarkStart w:id="430" w:name="_Toc989369"/>
      <w:r w:rsidRPr="005B5EC1">
        <w:rPr>
          <w:rFonts w:ascii="Times New Roman" w:hAnsi="Times New Roman" w:cs="Times New Roman"/>
          <w:b/>
          <w:bCs/>
        </w:rPr>
        <w:t>6</w:t>
      </w:r>
      <w:r w:rsidRPr="005B5EC1">
        <w:rPr>
          <w:rFonts w:ascii="Times New Roman" w:hAnsi="Times New Roman" w:cs="Times New Roman"/>
          <w:b/>
          <w:bCs/>
        </w:rPr>
        <w:t>、其他</w:t>
      </w:r>
      <w:bookmarkEnd w:id="430"/>
    </w:p>
    <w:p w14:paraId="78CCBF64" w14:textId="77777777" w:rsidR="00AF139E" w:rsidRPr="005B5EC1" w:rsidRDefault="00000000">
      <w:pPr>
        <w:pStyle w:val="a3"/>
        <w:divId w:val="1790051085"/>
        <w:rPr>
          <w:rFonts w:ascii="Times New Roman" w:hAnsi="Times New Roman" w:cs="Times New Roman"/>
          <w:sz w:val="18"/>
          <w:szCs w:val="18"/>
        </w:rPr>
      </w:pPr>
      <w:r w:rsidRPr="005B5EC1">
        <w:rPr>
          <w:rFonts w:ascii="Times New Roman" w:hAnsi="Times New Roman" w:cs="Times New Roman"/>
          <w:sz w:val="18"/>
          <w:szCs w:val="18"/>
        </w:rPr>
        <w:t>无</w:t>
      </w:r>
    </w:p>
    <w:p w14:paraId="61D74D19"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31" w:name="_Toc989370"/>
      <w:r w:rsidRPr="005B5EC1">
        <w:rPr>
          <w:rFonts w:ascii="Times New Roman" w:eastAsia="宋体" w:hAnsi="Times New Roman" w:cs="Times New Roman"/>
          <w:b/>
          <w:bCs/>
          <w:sz w:val="24"/>
          <w:szCs w:val="24"/>
        </w:rPr>
        <w:t>十、在其他主体中的权益</w:t>
      </w:r>
      <w:bookmarkEnd w:id="431"/>
    </w:p>
    <w:p w14:paraId="1BB595F8" w14:textId="77777777" w:rsidR="00E32FE0" w:rsidRPr="005B5EC1" w:rsidRDefault="00000000">
      <w:pPr>
        <w:pStyle w:val="3"/>
        <w:spacing w:line="280" w:lineRule="exact"/>
        <w:jc w:val="left"/>
        <w:rPr>
          <w:rFonts w:ascii="Times New Roman" w:hAnsi="Times New Roman" w:cs="Times New Roman"/>
          <w:b/>
          <w:bCs/>
        </w:rPr>
      </w:pPr>
      <w:bookmarkStart w:id="432" w:name="_Toc989371"/>
      <w:r w:rsidRPr="005B5EC1">
        <w:rPr>
          <w:rFonts w:ascii="Times New Roman" w:hAnsi="Times New Roman" w:cs="Times New Roman"/>
          <w:b/>
          <w:bCs/>
        </w:rPr>
        <w:t>1</w:t>
      </w:r>
      <w:r w:rsidRPr="005B5EC1">
        <w:rPr>
          <w:rFonts w:ascii="Times New Roman" w:hAnsi="Times New Roman" w:cs="Times New Roman"/>
          <w:b/>
          <w:bCs/>
        </w:rPr>
        <w:t>、在子公司中的权益</w:t>
      </w:r>
      <w:bookmarkEnd w:id="432"/>
    </w:p>
    <w:p w14:paraId="2047156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33" w:name="_Toc989372"/>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企业集团的构成</w:t>
      </w:r>
      <w:bookmarkEnd w:id="433"/>
    </w:p>
    <w:p w14:paraId="620DB144"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17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1271"/>
        <w:gridCol w:w="1272"/>
        <w:gridCol w:w="1272"/>
        <w:gridCol w:w="1522"/>
        <w:gridCol w:w="1022"/>
        <w:gridCol w:w="1272"/>
        <w:gridCol w:w="1272"/>
        <w:gridCol w:w="1272"/>
      </w:tblGrid>
      <w:tr w:rsidR="00E32FE0" w:rsidRPr="005B5EC1" w14:paraId="3093EEF8" w14:textId="77777777" w:rsidTr="005B5EC1">
        <w:trPr>
          <w:trHeight w:val="240"/>
          <w:jc w:val="center"/>
        </w:trPr>
        <w:tc>
          <w:tcPr>
            <w:tcW w:w="1271"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256602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子公司名称</w:t>
            </w:r>
          </w:p>
        </w:tc>
        <w:tc>
          <w:tcPr>
            <w:tcW w:w="127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6B3D24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注册资本</w:t>
            </w:r>
          </w:p>
        </w:tc>
        <w:tc>
          <w:tcPr>
            <w:tcW w:w="127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B97797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主要经营地</w:t>
            </w:r>
          </w:p>
        </w:tc>
        <w:tc>
          <w:tcPr>
            <w:tcW w:w="152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D1A90A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注册地</w:t>
            </w:r>
          </w:p>
        </w:tc>
        <w:tc>
          <w:tcPr>
            <w:tcW w:w="102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F2B739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业务性质</w:t>
            </w:r>
          </w:p>
        </w:tc>
        <w:tc>
          <w:tcPr>
            <w:tcW w:w="25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0FF22E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持股比例</w:t>
            </w:r>
          </w:p>
        </w:tc>
        <w:tc>
          <w:tcPr>
            <w:tcW w:w="127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6EBD69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取得方式</w:t>
            </w:r>
          </w:p>
        </w:tc>
      </w:tr>
      <w:tr w:rsidR="00E32FE0" w:rsidRPr="005B5EC1" w14:paraId="39F916DB" w14:textId="77777777" w:rsidTr="005B5EC1">
        <w:trPr>
          <w:trHeight w:val="240"/>
          <w:jc w:val="center"/>
        </w:trPr>
        <w:tc>
          <w:tcPr>
            <w:tcW w:w="127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643610F" w14:textId="77777777" w:rsidR="00E32FE0" w:rsidRPr="005B5EC1" w:rsidRDefault="00E32FE0">
            <w:pPr>
              <w:rPr>
                <w:rFonts w:ascii="Times New Roman" w:hAnsi="Times New Roman" w:cs="Times New Roman"/>
              </w:rPr>
            </w:pPr>
          </w:p>
        </w:tc>
        <w:tc>
          <w:tcPr>
            <w:tcW w:w="1272" w:type="dxa"/>
            <w:vMerge/>
            <w:tcBorders>
              <w:top w:val="single" w:sz="2" w:space="0" w:color="auto"/>
              <w:left w:val="single" w:sz="2" w:space="0" w:color="auto"/>
              <w:bottom w:val="single" w:sz="2" w:space="0" w:color="auto"/>
              <w:right w:val="single" w:sz="2" w:space="0" w:color="auto"/>
            </w:tcBorders>
            <w:shd w:val="clear" w:color="auto" w:fill="auto"/>
            <w:vAlign w:val="center"/>
          </w:tcPr>
          <w:p w14:paraId="51EF426E" w14:textId="77777777" w:rsidR="00E32FE0" w:rsidRPr="005B5EC1" w:rsidRDefault="00E32FE0">
            <w:pPr>
              <w:rPr>
                <w:rFonts w:ascii="Times New Roman" w:hAnsi="Times New Roman" w:cs="Times New Roman"/>
              </w:rPr>
            </w:pPr>
          </w:p>
        </w:tc>
        <w:tc>
          <w:tcPr>
            <w:tcW w:w="1272"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2D468D3" w14:textId="77777777" w:rsidR="00E32FE0" w:rsidRPr="005B5EC1" w:rsidRDefault="00E32FE0">
            <w:pPr>
              <w:rPr>
                <w:rFonts w:ascii="Times New Roman" w:hAnsi="Times New Roman" w:cs="Times New Roman"/>
              </w:rPr>
            </w:pPr>
          </w:p>
        </w:tc>
        <w:tc>
          <w:tcPr>
            <w:tcW w:w="1522"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9C651F4" w14:textId="77777777" w:rsidR="00E32FE0" w:rsidRPr="005B5EC1" w:rsidRDefault="00E32FE0">
            <w:pPr>
              <w:rPr>
                <w:rFonts w:ascii="Times New Roman" w:hAnsi="Times New Roman" w:cs="Times New Roman"/>
              </w:rPr>
            </w:pPr>
          </w:p>
        </w:tc>
        <w:tc>
          <w:tcPr>
            <w:tcW w:w="1022"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842B551" w14:textId="77777777" w:rsidR="00E32FE0" w:rsidRPr="005B5EC1" w:rsidRDefault="00E32FE0">
            <w:pPr>
              <w:rPr>
                <w:rFonts w:ascii="Times New Roman" w:hAnsi="Times New Roman" w:cs="Times New Roman"/>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232965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直接</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9BDED4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间接</w:t>
            </w:r>
          </w:p>
        </w:tc>
        <w:tc>
          <w:tcPr>
            <w:tcW w:w="1272"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645AC8B" w14:textId="77777777" w:rsidR="00E32FE0" w:rsidRPr="005B5EC1" w:rsidRDefault="00E32FE0">
            <w:pPr>
              <w:rPr>
                <w:rFonts w:ascii="Times New Roman" w:hAnsi="Times New Roman" w:cs="Times New Roman"/>
              </w:rPr>
            </w:pPr>
          </w:p>
        </w:tc>
      </w:tr>
      <w:tr w:rsidR="00E32FE0" w:rsidRPr="005B5EC1" w14:paraId="417A0578"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23EE988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烟台龙大养殖有限公司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35EBCD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47ECA9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7F2DBCF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山东省莱阳市龙旺庄街道办事处乔家泊村</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18B75AF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畜禽</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养殖</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D28E2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48B503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F9064D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同</w:t>
            </w:r>
            <w:proofErr w:type="gramStart"/>
            <w:r w:rsidRPr="005B5EC1">
              <w:rPr>
                <w:rFonts w:ascii="Times New Roman" w:eastAsia="宋体" w:hAnsi="Times New Roman" w:cs="Times New Roman"/>
                <w:sz w:val="18"/>
                <w:szCs w:val="18"/>
              </w:rPr>
              <w:t>一控制</w:t>
            </w:r>
            <w:proofErr w:type="gramEnd"/>
            <w:r w:rsidRPr="005B5EC1">
              <w:rPr>
                <w:rFonts w:ascii="Times New Roman" w:eastAsia="宋体" w:hAnsi="Times New Roman" w:cs="Times New Roman"/>
                <w:sz w:val="18"/>
                <w:szCs w:val="18"/>
              </w:rPr>
              <w:t>下企业合并</w:t>
            </w:r>
          </w:p>
        </w:tc>
      </w:tr>
      <w:tr w:rsidR="00E32FE0" w:rsidRPr="005B5EC1" w14:paraId="5E26C991"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0130934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烟台龙大饲料有限公司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F8DE3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14E49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73540B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山东省莱阳市龙旺庄街道办事处乔家泊村</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7A43461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饲料生产</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1E3EEF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05440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B40C0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同</w:t>
            </w:r>
            <w:proofErr w:type="gramStart"/>
            <w:r w:rsidRPr="005B5EC1">
              <w:rPr>
                <w:rFonts w:ascii="Times New Roman" w:eastAsia="宋体" w:hAnsi="Times New Roman" w:cs="Times New Roman"/>
                <w:sz w:val="18"/>
                <w:szCs w:val="18"/>
              </w:rPr>
              <w:t>一控制</w:t>
            </w:r>
            <w:proofErr w:type="gramEnd"/>
            <w:r w:rsidRPr="005B5EC1">
              <w:rPr>
                <w:rFonts w:ascii="Times New Roman" w:eastAsia="宋体" w:hAnsi="Times New Roman" w:cs="Times New Roman"/>
                <w:sz w:val="18"/>
                <w:szCs w:val="18"/>
              </w:rPr>
              <w:t>下企业合并</w:t>
            </w:r>
          </w:p>
        </w:tc>
      </w:tr>
      <w:tr w:rsidR="00E32FE0" w:rsidRPr="005B5EC1" w14:paraId="219DAC6A"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110FA74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09216D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F82A56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河南省内乡县</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7210007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内乡县灌涨镇前湾村</w:t>
            </w:r>
            <w:r w:rsidRPr="005B5EC1">
              <w:rPr>
                <w:rFonts w:ascii="Times New Roman" w:eastAsia="宋体" w:hAnsi="Times New Roman" w:cs="Times New Roman"/>
                <w:sz w:val="18"/>
                <w:szCs w:val="18"/>
              </w:rPr>
              <w:t>312</w:t>
            </w:r>
            <w:r w:rsidRPr="005B5EC1">
              <w:rPr>
                <w:rFonts w:ascii="Times New Roman" w:eastAsia="宋体" w:hAnsi="Times New Roman" w:cs="Times New Roman"/>
                <w:sz w:val="18"/>
                <w:szCs w:val="18"/>
              </w:rPr>
              <w:t>国道</w:t>
            </w:r>
            <w:proofErr w:type="gramStart"/>
            <w:r w:rsidRPr="005B5EC1">
              <w:rPr>
                <w:rFonts w:ascii="Times New Roman" w:eastAsia="宋体" w:hAnsi="Times New Roman" w:cs="Times New Roman"/>
                <w:sz w:val="18"/>
                <w:szCs w:val="18"/>
              </w:rPr>
              <w:t>与默河交叉口</w:t>
            </w:r>
            <w:proofErr w:type="gramEnd"/>
            <w:r w:rsidRPr="005B5EC1">
              <w:rPr>
                <w:rFonts w:ascii="Times New Roman" w:eastAsia="宋体" w:hAnsi="Times New Roman" w:cs="Times New Roman"/>
                <w:sz w:val="18"/>
                <w:szCs w:val="18"/>
              </w:rPr>
              <w:t>西北角</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6AEF8B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2C21B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B95428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82514D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374F8FD5"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38EC215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5C807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5DC835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山东省聊城市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27A6AF1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聊城市东昌府区嘉明工业园嘉明北路</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4097D82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C4C1E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F4DD36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7B4348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1271B7B0"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024DBD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烟台杰科检测服务有限公司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B5BE5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F846BB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662608F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山东省烟台市莱阳市龙门东路</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0027</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5C3243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食品及添加剂检测</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F5704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844CE3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2A797A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同</w:t>
            </w:r>
            <w:proofErr w:type="gramStart"/>
            <w:r w:rsidRPr="005B5EC1">
              <w:rPr>
                <w:rFonts w:ascii="Times New Roman" w:eastAsia="宋体" w:hAnsi="Times New Roman" w:cs="Times New Roman"/>
                <w:sz w:val="18"/>
                <w:szCs w:val="18"/>
              </w:rPr>
              <w:t>一控制</w:t>
            </w:r>
            <w:proofErr w:type="gramEnd"/>
            <w:r w:rsidRPr="005B5EC1">
              <w:rPr>
                <w:rFonts w:ascii="Times New Roman" w:eastAsia="宋体" w:hAnsi="Times New Roman" w:cs="Times New Roman"/>
                <w:sz w:val="18"/>
                <w:szCs w:val="18"/>
              </w:rPr>
              <w:t>下企业合并</w:t>
            </w:r>
          </w:p>
        </w:tc>
      </w:tr>
      <w:tr w:rsidR="00E32FE0" w:rsidRPr="005B5EC1" w14:paraId="0AA40A12"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2FA0A27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蓬莱富龙肉食品有限公司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086A7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8D57AC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山东省蓬莱市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00D4CA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山东省蓬莱区</w:t>
            </w:r>
            <w:proofErr w:type="gramStart"/>
            <w:r w:rsidRPr="005B5EC1">
              <w:rPr>
                <w:rFonts w:ascii="Times New Roman" w:eastAsia="宋体" w:hAnsi="Times New Roman" w:cs="Times New Roman"/>
                <w:sz w:val="18"/>
                <w:szCs w:val="18"/>
              </w:rPr>
              <w:t>小门家</w:t>
            </w:r>
            <w:proofErr w:type="gramEnd"/>
            <w:r w:rsidRPr="005B5EC1">
              <w:rPr>
                <w:rFonts w:ascii="Times New Roman" w:eastAsia="宋体" w:hAnsi="Times New Roman" w:cs="Times New Roman"/>
                <w:sz w:val="18"/>
                <w:szCs w:val="18"/>
              </w:rPr>
              <w:t>镇吕家洼村西</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7E56B0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EAFB0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57.14%</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502458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332459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1678D606"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52231D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北京快厨帮科技有限公司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81F0E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A87074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北京市朝阳区</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392F8CA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北京市朝阳区八里庄北里</w:t>
            </w:r>
            <w:r w:rsidRPr="005B5EC1">
              <w:rPr>
                <w:rFonts w:ascii="Times New Roman" w:eastAsia="宋体" w:hAnsi="Times New Roman" w:cs="Times New Roman"/>
                <w:sz w:val="18"/>
                <w:szCs w:val="18"/>
              </w:rPr>
              <w:t>129</w:t>
            </w:r>
            <w:r w:rsidRPr="005B5EC1">
              <w:rPr>
                <w:rFonts w:ascii="Times New Roman" w:eastAsia="宋体" w:hAnsi="Times New Roman" w:cs="Times New Roman"/>
                <w:sz w:val="18"/>
                <w:szCs w:val="18"/>
              </w:rPr>
              <w:t>号院</w:t>
            </w:r>
            <w:r w:rsidRPr="005B5EC1">
              <w:rPr>
                <w:rFonts w:ascii="Times New Roman" w:eastAsia="宋体" w:hAnsi="Times New Roman" w:cs="Times New Roman"/>
                <w:sz w:val="18"/>
                <w:szCs w:val="18"/>
              </w:rPr>
              <w:t>9</w:t>
            </w:r>
            <w:r w:rsidRPr="005B5EC1">
              <w:rPr>
                <w:rFonts w:ascii="Times New Roman" w:eastAsia="宋体" w:hAnsi="Times New Roman" w:cs="Times New Roman"/>
                <w:sz w:val="18"/>
                <w:szCs w:val="18"/>
              </w:rPr>
              <w:t>号楼</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单元</w:t>
            </w:r>
            <w:r w:rsidRPr="005B5EC1">
              <w:rPr>
                <w:rFonts w:ascii="Times New Roman" w:eastAsia="宋体" w:hAnsi="Times New Roman" w:cs="Times New Roman"/>
                <w:sz w:val="18"/>
                <w:szCs w:val="18"/>
              </w:rPr>
              <w:lastRenderedPageBreak/>
              <w:t>1402</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7033DCA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0A4C16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B9CFC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080C0F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1BEED435"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34B7607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山东龙大生猪产品工程技术研究有限公司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9FDCA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84C36E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3EE229E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山东省烟台市莱阳市食品工业园</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056D9C4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畜禽领域内的技术开发、技术转让、技术服务</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910BC6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217FA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CE1C27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3A15604E"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344FC1D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莱阳龙瑞食品有限公司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2CBD44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09BA8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3E8B932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山东省烟台市莱阳市龙门东路</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0027</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0028</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0B9A20F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生产、加工各种肉制品、速冻食品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2F00B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E00E6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38E02F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3819D497"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611C53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泰麟食品（烟台）有限责任公司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6B279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7EF90A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1C8D986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山东省烟台市莱阳市龙门东路</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0027</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0028</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7F1DA98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食品生产销售</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FFD534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47147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8CC13A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0237319E"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51FD7B2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四川龙炸餐饮管理有限公司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46B2A6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E46FF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四川省成都市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24CF0B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四川天府新区华阳街道华府大道一段</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栋</w:t>
            </w:r>
            <w:r w:rsidRPr="005B5EC1">
              <w:rPr>
                <w:rFonts w:ascii="Times New Roman" w:eastAsia="宋体" w:hAnsi="Times New Roman" w:cs="Times New Roman"/>
                <w:sz w:val="18"/>
                <w:szCs w:val="18"/>
              </w:rPr>
              <w:t>35</w:t>
            </w:r>
            <w:r w:rsidRPr="005B5EC1">
              <w:rPr>
                <w:rFonts w:ascii="Times New Roman" w:eastAsia="宋体" w:hAnsi="Times New Roman" w:cs="Times New Roman"/>
                <w:sz w:val="18"/>
                <w:szCs w:val="18"/>
              </w:rPr>
              <w:t>层</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号</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35FAD1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餐饮服务</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24AAF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62FC0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0F3C0C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30ABF167"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1A772B0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青岛中和盛杰食品有限公司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8BA80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5F250E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4C16B1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山东省青岛市崂山区科苑</w:t>
            </w:r>
            <w:proofErr w:type="gramStart"/>
            <w:r w:rsidRPr="005B5EC1">
              <w:rPr>
                <w:rFonts w:ascii="Times New Roman" w:eastAsia="宋体" w:hAnsi="Times New Roman" w:cs="Times New Roman"/>
                <w:sz w:val="18"/>
                <w:szCs w:val="18"/>
              </w:rPr>
              <w:t>纬</w:t>
            </w:r>
            <w:proofErr w:type="gramEnd"/>
            <w:r w:rsidRPr="005B5EC1">
              <w:rPr>
                <w:rFonts w:ascii="Times New Roman" w:eastAsia="宋体" w:hAnsi="Times New Roman" w:cs="Times New Roman"/>
                <w:sz w:val="18"/>
                <w:szCs w:val="18"/>
              </w:rPr>
              <w:t>一路</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B</w:t>
            </w:r>
            <w:r w:rsidRPr="005B5EC1">
              <w:rPr>
                <w:rFonts w:ascii="Times New Roman" w:eastAsia="宋体" w:hAnsi="Times New Roman" w:cs="Times New Roman"/>
                <w:sz w:val="18"/>
                <w:szCs w:val="18"/>
              </w:rPr>
              <w:t>座</w:t>
            </w:r>
            <w:r w:rsidRPr="005B5EC1">
              <w:rPr>
                <w:rFonts w:ascii="Times New Roman" w:eastAsia="宋体" w:hAnsi="Times New Roman" w:cs="Times New Roman"/>
                <w:sz w:val="18"/>
                <w:szCs w:val="18"/>
              </w:rPr>
              <w:t>21</w:t>
            </w:r>
            <w:r w:rsidRPr="005B5EC1">
              <w:rPr>
                <w:rFonts w:ascii="Times New Roman" w:eastAsia="宋体" w:hAnsi="Times New Roman" w:cs="Times New Roman"/>
                <w:sz w:val="18"/>
                <w:szCs w:val="18"/>
              </w:rPr>
              <w:t>层</w:t>
            </w:r>
            <w:r w:rsidRPr="005B5EC1">
              <w:rPr>
                <w:rFonts w:ascii="Times New Roman" w:eastAsia="宋体" w:hAnsi="Times New Roman" w:cs="Times New Roman"/>
                <w:sz w:val="18"/>
                <w:szCs w:val="18"/>
              </w:rPr>
              <w:t>2103</w:t>
            </w:r>
            <w:r w:rsidRPr="005B5EC1">
              <w:rPr>
                <w:rFonts w:ascii="Times New Roman" w:eastAsia="宋体" w:hAnsi="Times New Roman" w:cs="Times New Roman"/>
                <w:sz w:val="18"/>
                <w:szCs w:val="18"/>
              </w:rPr>
              <w:t>房间</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1DA6E6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6F82D3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9EA438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B2DA1F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7AAD16F6"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F58C06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青岛新胜</w:t>
            </w:r>
            <w:proofErr w:type="gramStart"/>
            <w:r w:rsidRPr="005B5EC1">
              <w:rPr>
                <w:rFonts w:ascii="Times New Roman" w:eastAsia="宋体" w:hAnsi="Times New Roman" w:cs="Times New Roman"/>
                <w:sz w:val="18"/>
                <w:szCs w:val="18"/>
              </w:rPr>
              <w:t>锦食品</w:t>
            </w:r>
            <w:proofErr w:type="gramEnd"/>
            <w:r w:rsidRPr="005B5EC1">
              <w:rPr>
                <w:rFonts w:ascii="Times New Roman" w:eastAsia="宋体" w:hAnsi="Times New Roman" w:cs="Times New Roman"/>
                <w:sz w:val="18"/>
                <w:szCs w:val="18"/>
              </w:rPr>
              <w:t>商贸有限公司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AD919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5B0B8A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37A77F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山东省青岛市崂山区科苑</w:t>
            </w:r>
            <w:proofErr w:type="gramStart"/>
            <w:r w:rsidRPr="005B5EC1">
              <w:rPr>
                <w:rFonts w:ascii="Times New Roman" w:eastAsia="宋体" w:hAnsi="Times New Roman" w:cs="Times New Roman"/>
                <w:sz w:val="18"/>
                <w:szCs w:val="18"/>
              </w:rPr>
              <w:t>纬</w:t>
            </w:r>
            <w:proofErr w:type="gramEnd"/>
            <w:r w:rsidRPr="005B5EC1">
              <w:rPr>
                <w:rFonts w:ascii="Times New Roman" w:eastAsia="宋体" w:hAnsi="Times New Roman" w:cs="Times New Roman"/>
                <w:sz w:val="18"/>
                <w:szCs w:val="18"/>
              </w:rPr>
              <w:t>一路</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B</w:t>
            </w:r>
            <w:r w:rsidRPr="005B5EC1">
              <w:rPr>
                <w:rFonts w:ascii="Times New Roman" w:eastAsia="宋体" w:hAnsi="Times New Roman" w:cs="Times New Roman"/>
                <w:sz w:val="18"/>
                <w:szCs w:val="18"/>
              </w:rPr>
              <w:t>座</w:t>
            </w:r>
            <w:r w:rsidRPr="005B5EC1">
              <w:rPr>
                <w:rFonts w:ascii="Times New Roman" w:eastAsia="宋体" w:hAnsi="Times New Roman" w:cs="Times New Roman"/>
                <w:sz w:val="18"/>
                <w:szCs w:val="18"/>
              </w:rPr>
              <w:t>21</w:t>
            </w:r>
            <w:r w:rsidRPr="005B5EC1">
              <w:rPr>
                <w:rFonts w:ascii="Times New Roman" w:eastAsia="宋体" w:hAnsi="Times New Roman" w:cs="Times New Roman"/>
                <w:sz w:val="18"/>
                <w:szCs w:val="18"/>
              </w:rPr>
              <w:t>层</w:t>
            </w:r>
            <w:r w:rsidRPr="005B5EC1">
              <w:rPr>
                <w:rFonts w:ascii="Times New Roman" w:eastAsia="宋体" w:hAnsi="Times New Roman" w:cs="Times New Roman"/>
                <w:sz w:val="18"/>
                <w:szCs w:val="18"/>
              </w:rPr>
              <w:t>2103</w:t>
            </w:r>
            <w:r w:rsidRPr="005B5EC1">
              <w:rPr>
                <w:rFonts w:ascii="Times New Roman" w:eastAsia="宋体" w:hAnsi="Times New Roman" w:cs="Times New Roman"/>
                <w:sz w:val="18"/>
                <w:szCs w:val="18"/>
              </w:rPr>
              <w:t>房间</w:t>
            </w:r>
            <w:r w:rsidRPr="005B5EC1">
              <w:rPr>
                <w:rFonts w:ascii="Times New Roman" w:eastAsia="宋体" w:hAnsi="Times New Roman" w:cs="Times New Roman"/>
                <w:sz w:val="18"/>
                <w:szCs w:val="18"/>
              </w:rPr>
              <w:t>-E</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2FDA20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E2A776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E3467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B76E14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69694D53"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5D56E8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乳山中和盛杰食品有限公司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A124C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B048FF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山东省乳山市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5914BB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山东省威海市乳山经济开发区科技创业中心</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0B5A6DE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737C7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1E4F91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8358CD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5483FD09"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07C869F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w:t>
            </w:r>
            <w:proofErr w:type="gramStart"/>
            <w:r w:rsidRPr="005B5EC1">
              <w:rPr>
                <w:rFonts w:ascii="Times New Roman" w:eastAsia="宋体" w:hAnsi="Times New Roman" w:cs="Times New Roman"/>
                <w:sz w:val="18"/>
                <w:szCs w:val="18"/>
              </w:rPr>
              <w:t>祥</w:t>
            </w:r>
            <w:proofErr w:type="gramEnd"/>
            <w:r w:rsidRPr="005B5EC1">
              <w:rPr>
                <w:rFonts w:ascii="Times New Roman" w:eastAsia="宋体" w:hAnsi="Times New Roman" w:cs="Times New Roman"/>
                <w:sz w:val="18"/>
                <w:szCs w:val="18"/>
              </w:rPr>
              <w:t>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E9598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C0FC37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山东省潍坊市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43C9E4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山东省潍坊市安丘市景芝镇驻地</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333CA9F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95069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CEC435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EE14E4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非同</w:t>
            </w:r>
            <w:proofErr w:type="gramStart"/>
            <w:r w:rsidRPr="005B5EC1">
              <w:rPr>
                <w:rFonts w:ascii="Times New Roman" w:eastAsia="宋体" w:hAnsi="Times New Roman" w:cs="Times New Roman"/>
                <w:sz w:val="18"/>
                <w:szCs w:val="18"/>
              </w:rPr>
              <w:t>一控制</w:t>
            </w:r>
            <w:proofErr w:type="gramEnd"/>
            <w:r w:rsidRPr="005B5EC1">
              <w:rPr>
                <w:rFonts w:ascii="Times New Roman" w:eastAsia="宋体" w:hAnsi="Times New Roman" w:cs="Times New Roman"/>
                <w:sz w:val="18"/>
                <w:szCs w:val="18"/>
              </w:rPr>
              <w:t>下企业合并</w:t>
            </w:r>
          </w:p>
        </w:tc>
      </w:tr>
      <w:tr w:rsidR="00E32FE0" w:rsidRPr="005B5EC1" w14:paraId="21752F00"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668F31F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云南福照食品有限公司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E7D8A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46,530,612.00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12712E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云南省曲靖市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630E235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云南省曲靖市宣威市西宁街道花椒水库东侧</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306F2D4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火腿加工</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429DB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4DAB41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53B5D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1304238C"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2798E92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香港龙大发展有限公司（注册资本</w:t>
            </w:r>
            <w:r w:rsidRPr="005B5EC1">
              <w:rPr>
                <w:rFonts w:ascii="Times New Roman" w:eastAsia="宋体" w:hAnsi="Times New Roman" w:cs="Times New Roman"/>
                <w:sz w:val="18"/>
                <w:szCs w:val="18"/>
              </w:rPr>
              <w:t>200</w:t>
            </w:r>
            <w:r w:rsidRPr="005B5EC1">
              <w:rPr>
                <w:rFonts w:ascii="Times New Roman" w:eastAsia="宋体" w:hAnsi="Times New Roman" w:cs="Times New Roman"/>
                <w:sz w:val="18"/>
                <w:szCs w:val="18"/>
              </w:rPr>
              <w:t>万港币）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035EC1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FAFF80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香港</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3CCB79D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RM4,16/FHOKINGCOMMCTR,2-16</w:t>
            </w:r>
            <w:proofErr w:type="gramStart"/>
            <w:r w:rsidRPr="005B5EC1">
              <w:rPr>
                <w:rFonts w:ascii="Times New Roman" w:eastAsia="宋体" w:hAnsi="Times New Roman" w:cs="Times New Roman"/>
                <w:sz w:val="18"/>
                <w:szCs w:val="18"/>
              </w:rPr>
              <w:t>FAYUENST,MONGKOKKOWLOON</w:t>
            </w:r>
            <w:proofErr w:type="gramEnd"/>
            <w:r w:rsidRPr="005B5EC1">
              <w:rPr>
                <w:rFonts w:ascii="Times New Roman" w:eastAsia="宋体" w:hAnsi="Times New Roman" w:cs="Times New Roman"/>
                <w:sz w:val="18"/>
                <w:szCs w:val="18"/>
              </w:rPr>
              <w:t>,HONGKONG</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650EF22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国际贸易、咨询</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96C4D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AEB11A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711DAC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3738DFFC"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20D47E5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山东龙大美食贸易有限公司（原烟台龙骧进出口有限公司）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3007A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470C2E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44F10A0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山东省烟台市莱阳市龙旺庄街道办事处龙门东路</w:t>
            </w:r>
            <w:r w:rsidRPr="005B5EC1">
              <w:rPr>
                <w:rFonts w:ascii="Times New Roman" w:eastAsia="宋体" w:hAnsi="Times New Roman" w:cs="Times New Roman"/>
                <w:sz w:val="18"/>
                <w:szCs w:val="18"/>
              </w:rPr>
              <w:t>99</w:t>
            </w:r>
            <w:r w:rsidRPr="005B5EC1">
              <w:rPr>
                <w:rFonts w:ascii="Times New Roman" w:eastAsia="宋体" w:hAnsi="Times New Roman" w:cs="Times New Roman"/>
                <w:sz w:val="18"/>
                <w:szCs w:val="18"/>
              </w:rPr>
              <w:t>号</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6E19A12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84838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5A7813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615A3C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5007A5FA"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1BF5A68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黑龙江龙大养殖有限公司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A027D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C837CA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黑龙江省绥化市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2B5166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黑龙江省绥化市安达市朝阳街</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委</w:t>
            </w:r>
            <w:r w:rsidRPr="005B5EC1">
              <w:rPr>
                <w:rFonts w:ascii="Times New Roman" w:eastAsia="宋体" w:hAnsi="Times New Roman" w:cs="Times New Roman"/>
                <w:sz w:val="18"/>
                <w:szCs w:val="18"/>
              </w:rPr>
              <w:t>8-538</w:t>
            </w:r>
            <w:r w:rsidRPr="005B5EC1">
              <w:rPr>
                <w:rFonts w:ascii="Times New Roman" w:eastAsia="宋体" w:hAnsi="Times New Roman" w:cs="Times New Roman"/>
                <w:sz w:val="18"/>
                <w:szCs w:val="18"/>
              </w:rPr>
              <w:t>幢融府上城</w:t>
            </w:r>
            <w:r w:rsidRPr="005B5EC1">
              <w:rPr>
                <w:rFonts w:ascii="Times New Roman" w:eastAsia="宋体" w:hAnsi="Times New Roman" w:cs="Times New Roman"/>
                <w:sz w:val="18"/>
                <w:szCs w:val="18"/>
              </w:rPr>
              <w:t>13#2</w:t>
            </w:r>
            <w:r w:rsidRPr="005B5EC1">
              <w:rPr>
                <w:rFonts w:ascii="Times New Roman" w:eastAsia="宋体" w:hAnsi="Times New Roman" w:cs="Times New Roman"/>
                <w:sz w:val="18"/>
                <w:szCs w:val="18"/>
              </w:rPr>
              <w:t>号</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6CC910C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畜禽</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养殖</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89592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D34AE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91A46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252D0520"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507755E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安丘龙大养殖有限公司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D26DF2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74B8E0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山东省安丘市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189522A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山东省潍坊市安丘市石</w:t>
            </w:r>
            <w:proofErr w:type="gramStart"/>
            <w:r w:rsidRPr="005B5EC1">
              <w:rPr>
                <w:rFonts w:ascii="Times New Roman" w:eastAsia="宋体" w:hAnsi="Times New Roman" w:cs="Times New Roman"/>
                <w:sz w:val="18"/>
                <w:szCs w:val="18"/>
              </w:rPr>
              <w:t>埠子镇晏</w:t>
            </w:r>
            <w:proofErr w:type="gramEnd"/>
            <w:r w:rsidRPr="005B5EC1">
              <w:rPr>
                <w:rFonts w:ascii="Times New Roman" w:eastAsia="宋体" w:hAnsi="Times New Roman" w:cs="Times New Roman"/>
                <w:sz w:val="18"/>
                <w:szCs w:val="18"/>
              </w:rPr>
              <w:t>峪村北</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2C5F0E4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畜禽</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养殖</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5B46B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5816B7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104188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67F8FAF3"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B2A648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莱阳龙大养殖有限公司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46083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5AD8F7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山东省莱阳市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1E64A37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山东省烟台市莱阳市大</w:t>
            </w:r>
            <w:proofErr w:type="gramStart"/>
            <w:r w:rsidRPr="005B5EC1">
              <w:rPr>
                <w:rFonts w:ascii="Times New Roman" w:eastAsia="宋体" w:hAnsi="Times New Roman" w:cs="Times New Roman"/>
                <w:sz w:val="18"/>
                <w:szCs w:val="18"/>
              </w:rPr>
              <w:t>夼</w:t>
            </w:r>
            <w:proofErr w:type="gramEnd"/>
            <w:r w:rsidRPr="005B5EC1">
              <w:rPr>
                <w:rFonts w:ascii="Times New Roman" w:eastAsia="宋体" w:hAnsi="Times New Roman" w:cs="Times New Roman"/>
                <w:sz w:val="18"/>
                <w:szCs w:val="18"/>
              </w:rPr>
              <w:t>镇北苟格庄村</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15DFD5B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畜禽</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养殖</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7176E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8F34E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9247D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40508FA0"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55C0321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莱州龙大养殖有限公司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94D7E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CF459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山东省莱州市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051FF5D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山东省烟台市莱州市郭家店镇马台石村</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36263BD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畜禽</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养殖</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3D1F2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85F8AC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45C34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3ABB5929"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6DA2B26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青岛龙大管理咨询服务有限公司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5A426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572C9C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2FB33ED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山东省青岛市崂山区</w:t>
            </w:r>
            <w:proofErr w:type="gramStart"/>
            <w:r w:rsidRPr="005B5EC1">
              <w:rPr>
                <w:rFonts w:ascii="Times New Roman" w:eastAsia="宋体" w:hAnsi="Times New Roman" w:cs="Times New Roman"/>
                <w:sz w:val="18"/>
                <w:szCs w:val="18"/>
              </w:rPr>
              <w:t>株洲路</w:t>
            </w:r>
            <w:proofErr w:type="gramEnd"/>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号海</w:t>
            </w:r>
            <w:proofErr w:type="gramStart"/>
            <w:r w:rsidRPr="005B5EC1">
              <w:rPr>
                <w:rFonts w:ascii="Times New Roman" w:eastAsia="宋体" w:hAnsi="Times New Roman" w:cs="Times New Roman"/>
                <w:sz w:val="18"/>
                <w:szCs w:val="18"/>
              </w:rPr>
              <w:t>信创智谷</w:t>
            </w:r>
            <w:proofErr w:type="gramEnd"/>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号楼</w:t>
            </w:r>
            <w:r w:rsidRPr="005B5EC1">
              <w:rPr>
                <w:rFonts w:ascii="Times New Roman" w:eastAsia="宋体" w:hAnsi="Times New Roman" w:cs="Times New Roman"/>
                <w:sz w:val="18"/>
                <w:szCs w:val="18"/>
              </w:rPr>
              <w:t>A</w:t>
            </w:r>
            <w:r w:rsidRPr="005B5EC1">
              <w:rPr>
                <w:rFonts w:ascii="Times New Roman" w:eastAsia="宋体" w:hAnsi="Times New Roman" w:cs="Times New Roman"/>
                <w:sz w:val="18"/>
                <w:szCs w:val="18"/>
              </w:rPr>
              <w:t>座</w:t>
            </w:r>
            <w:r w:rsidRPr="005B5EC1">
              <w:rPr>
                <w:rFonts w:ascii="Times New Roman" w:eastAsia="宋体" w:hAnsi="Times New Roman" w:cs="Times New Roman"/>
                <w:sz w:val="18"/>
                <w:szCs w:val="18"/>
              </w:rPr>
              <w:t>2502A</w:t>
            </w:r>
            <w:r w:rsidRPr="005B5EC1">
              <w:rPr>
                <w:rFonts w:ascii="Times New Roman" w:eastAsia="宋体" w:hAnsi="Times New Roman" w:cs="Times New Roman"/>
                <w:sz w:val="18"/>
                <w:szCs w:val="18"/>
              </w:rPr>
              <w:t>室</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0A7F9C4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管理咨询</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C99EF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87E7C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769A3B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1EFC25ED"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05849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江苏龙大沁侬食品有限公司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5F617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CEEF1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连云港市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15A4F14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连云港市灌云县经济开发区水利南路</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号</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73C9016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1482A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8909F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F4757B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335EEE67"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A47BC0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湖北龙大肉食品有限公司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D063F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3BCFAD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湖北省黄冈市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73F0D33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湖北省黄冈市武穴市石佛寺镇</w:t>
            </w:r>
            <w:proofErr w:type="gramStart"/>
            <w:r w:rsidRPr="005B5EC1">
              <w:rPr>
                <w:rFonts w:ascii="Times New Roman" w:eastAsia="宋体" w:hAnsi="Times New Roman" w:cs="Times New Roman"/>
                <w:sz w:val="18"/>
                <w:szCs w:val="18"/>
              </w:rPr>
              <w:t>农产品加工园武湖</w:t>
            </w:r>
            <w:proofErr w:type="gramEnd"/>
            <w:r w:rsidRPr="005B5EC1">
              <w:rPr>
                <w:rFonts w:ascii="Times New Roman" w:eastAsia="宋体" w:hAnsi="Times New Roman" w:cs="Times New Roman"/>
                <w:sz w:val="18"/>
                <w:szCs w:val="18"/>
              </w:rPr>
              <w:t>大道</w:t>
            </w:r>
            <w:proofErr w:type="gramStart"/>
            <w:r w:rsidRPr="005B5EC1">
              <w:rPr>
                <w:rFonts w:ascii="Times New Roman" w:eastAsia="宋体" w:hAnsi="Times New Roman" w:cs="Times New Roman"/>
                <w:sz w:val="18"/>
                <w:szCs w:val="18"/>
              </w:rPr>
              <w:t>69</w:t>
            </w:r>
            <w:r w:rsidRPr="005B5EC1">
              <w:rPr>
                <w:rFonts w:ascii="Times New Roman" w:eastAsia="宋体" w:hAnsi="Times New Roman" w:cs="Times New Roman"/>
                <w:sz w:val="18"/>
                <w:szCs w:val="18"/>
              </w:rPr>
              <w:t>号襄大园区</w:t>
            </w:r>
            <w:proofErr w:type="gramEnd"/>
            <w:r w:rsidRPr="005B5EC1">
              <w:rPr>
                <w:rFonts w:ascii="Times New Roman" w:eastAsia="宋体" w:hAnsi="Times New Roman" w:cs="Times New Roman"/>
                <w:sz w:val="18"/>
                <w:szCs w:val="18"/>
              </w:rPr>
              <w:t>办公区域</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78E2CF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044ECD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F3EF6B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D8B483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7BB4F128"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5BECBFA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48078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F88832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四川省成都市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631C18E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四川省成都市</w:t>
            </w:r>
            <w:proofErr w:type="gramStart"/>
            <w:r w:rsidRPr="005B5EC1">
              <w:rPr>
                <w:rFonts w:ascii="Times New Roman" w:eastAsia="宋体" w:hAnsi="Times New Roman" w:cs="Times New Roman"/>
                <w:sz w:val="18"/>
                <w:szCs w:val="18"/>
              </w:rPr>
              <w:t>蒲江县寿安街道</w:t>
            </w:r>
            <w:proofErr w:type="gramEnd"/>
            <w:r w:rsidRPr="005B5EC1">
              <w:rPr>
                <w:rFonts w:ascii="Times New Roman" w:eastAsia="宋体" w:hAnsi="Times New Roman" w:cs="Times New Roman"/>
                <w:sz w:val="18"/>
                <w:szCs w:val="18"/>
              </w:rPr>
              <w:t>迎宾大道</w:t>
            </w:r>
            <w:r w:rsidRPr="005B5EC1">
              <w:rPr>
                <w:rFonts w:ascii="Times New Roman" w:eastAsia="宋体" w:hAnsi="Times New Roman" w:cs="Times New Roman"/>
                <w:sz w:val="18"/>
                <w:szCs w:val="18"/>
              </w:rPr>
              <w:t>774</w:t>
            </w:r>
            <w:r w:rsidRPr="005B5EC1">
              <w:rPr>
                <w:rFonts w:ascii="Times New Roman" w:eastAsia="宋体" w:hAnsi="Times New Roman" w:cs="Times New Roman"/>
                <w:sz w:val="18"/>
                <w:szCs w:val="18"/>
              </w:rPr>
              <w:t>号</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47F4368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EDBAB8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C4F80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0FBECB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428695EB"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679493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9DB30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8DB78A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黑龙江省绥化市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16AFF4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黑龙江省绥化市安达市高新化工材料产业园区</w:t>
            </w:r>
            <w:r w:rsidRPr="005B5EC1">
              <w:rPr>
                <w:rFonts w:ascii="Times New Roman" w:eastAsia="宋体" w:hAnsi="Times New Roman" w:cs="Times New Roman"/>
                <w:sz w:val="18"/>
                <w:szCs w:val="18"/>
              </w:rPr>
              <w:t>A-12</w:t>
            </w:r>
            <w:r w:rsidRPr="005B5EC1">
              <w:rPr>
                <w:rFonts w:ascii="Times New Roman" w:eastAsia="宋体" w:hAnsi="Times New Roman" w:cs="Times New Roman"/>
                <w:sz w:val="18"/>
                <w:szCs w:val="18"/>
              </w:rPr>
              <w:t>地块</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7731C99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生猪屠宰</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C10B61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827A9B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4A5AA6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1D8CF327"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0323F2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四川龙鲜活供应链管理有限公司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2AE5C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62F66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四川省成都市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737699B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四川省成都市天府新区华阳街道华府大道一段</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栋</w:t>
            </w:r>
            <w:r w:rsidRPr="005B5EC1">
              <w:rPr>
                <w:rFonts w:ascii="Times New Roman" w:eastAsia="宋体" w:hAnsi="Times New Roman" w:cs="Times New Roman"/>
                <w:sz w:val="18"/>
                <w:szCs w:val="18"/>
              </w:rPr>
              <w:t>35</w:t>
            </w:r>
            <w:r w:rsidRPr="005B5EC1">
              <w:rPr>
                <w:rFonts w:ascii="Times New Roman" w:eastAsia="宋体" w:hAnsi="Times New Roman" w:cs="Times New Roman"/>
                <w:sz w:val="18"/>
                <w:szCs w:val="18"/>
              </w:rPr>
              <w:t>层</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号</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27F4919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供应链管理服务</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C834FC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499AA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624D1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774C1848"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358EB1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53EEB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9DB99C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四川省巴中市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18A762E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四川省巴中市恩阳区柳林镇盐井村食品工业园一号楼</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688AECB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4A757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2CB5CB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EB094E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7D4260CB"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3D4C8A3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C5FA78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CAA41A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海南省洋浦经济开发区</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6AA48C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海南省洋浦经济开发区</w:t>
            </w:r>
            <w:proofErr w:type="gramStart"/>
            <w:r w:rsidRPr="005B5EC1">
              <w:rPr>
                <w:rFonts w:ascii="Times New Roman" w:eastAsia="宋体" w:hAnsi="Times New Roman" w:cs="Times New Roman"/>
                <w:sz w:val="18"/>
                <w:szCs w:val="18"/>
              </w:rPr>
              <w:t>新英湾区</w:t>
            </w:r>
            <w:proofErr w:type="gramEnd"/>
            <w:r w:rsidRPr="005B5EC1">
              <w:rPr>
                <w:rFonts w:ascii="Times New Roman" w:eastAsia="宋体" w:hAnsi="Times New Roman" w:cs="Times New Roman"/>
                <w:sz w:val="18"/>
                <w:szCs w:val="18"/>
              </w:rPr>
              <w:t>保税港区</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号办公楼</w:t>
            </w:r>
            <w:r w:rsidRPr="005B5EC1">
              <w:rPr>
                <w:rFonts w:ascii="Times New Roman" w:eastAsia="宋体" w:hAnsi="Times New Roman" w:cs="Times New Roman"/>
                <w:sz w:val="18"/>
                <w:szCs w:val="18"/>
              </w:rPr>
              <w:t>D608</w:t>
            </w:r>
            <w:r w:rsidRPr="005B5EC1">
              <w:rPr>
                <w:rFonts w:ascii="Times New Roman" w:eastAsia="宋体" w:hAnsi="Times New Roman" w:cs="Times New Roman"/>
                <w:sz w:val="18"/>
                <w:szCs w:val="18"/>
              </w:rPr>
              <w:t>室</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45B6158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生产、销售食品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565A5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785537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0DF300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4AFF25B0"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76884D4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w:t>
            </w:r>
            <w:proofErr w:type="gramStart"/>
            <w:r w:rsidRPr="005B5EC1">
              <w:rPr>
                <w:rFonts w:ascii="Times New Roman" w:eastAsia="宋体" w:hAnsi="Times New Roman" w:cs="Times New Roman"/>
                <w:sz w:val="18"/>
                <w:szCs w:val="18"/>
              </w:rPr>
              <w:t>龙鲜生供应</w:t>
            </w:r>
            <w:proofErr w:type="gramEnd"/>
            <w:r w:rsidRPr="005B5EC1">
              <w:rPr>
                <w:rFonts w:ascii="Times New Roman" w:eastAsia="宋体" w:hAnsi="Times New Roman" w:cs="Times New Roman"/>
                <w:sz w:val="18"/>
                <w:szCs w:val="18"/>
              </w:rPr>
              <w:t>链管理有限公司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60A38B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12DE7A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491C7CC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山东省青岛市崂山区</w:t>
            </w:r>
            <w:proofErr w:type="gramStart"/>
            <w:r w:rsidRPr="005B5EC1">
              <w:rPr>
                <w:rFonts w:ascii="Times New Roman" w:eastAsia="宋体" w:hAnsi="Times New Roman" w:cs="Times New Roman"/>
                <w:sz w:val="18"/>
                <w:szCs w:val="18"/>
              </w:rPr>
              <w:t>株洲路</w:t>
            </w:r>
            <w:proofErr w:type="gramEnd"/>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号海</w:t>
            </w:r>
            <w:proofErr w:type="gramStart"/>
            <w:r w:rsidRPr="005B5EC1">
              <w:rPr>
                <w:rFonts w:ascii="Times New Roman" w:eastAsia="宋体" w:hAnsi="Times New Roman" w:cs="Times New Roman"/>
                <w:sz w:val="18"/>
                <w:szCs w:val="18"/>
              </w:rPr>
              <w:t>信创智谷</w:t>
            </w:r>
            <w:proofErr w:type="gramEnd"/>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号楼</w:t>
            </w:r>
            <w:r w:rsidRPr="005B5EC1">
              <w:rPr>
                <w:rFonts w:ascii="Times New Roman" w:eastAsia="宋体" w:hAnsi="Times New Roman" w:cs="Times New Roman"/>
                <w:sz w:val="18"/>
                <w:szCs w:val="18"/>
              </w:rPr>
              <w:t>A</w:t>
            </w:r>
            <w:r w:rsidRPr="005B5EC1">
              <w:rPr>
                <w:rFonts w:ascii="Times New Roman" w:eastAsia="宋体" w:hAnsi="Times New Roman" w:cs="Times New Roman"/>
                <w:sz w:val="18"/>
                <w:szCs w:val="18"/>
              </w:rPr>
              <w:t>座第</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层</w:t>
            </w:r>
            <w:r w:rsidRPr="005B5EC1">
              <w:rPr>
                <w:rFonts w:ascii="Times New Roman" w:eastAsia="宋体" w:hAnsi="Times New Roman" w:cs="Times New Roman"/>
                <w:sz w:val="18"/>
                <w:szCs w:val="18"/>
              </w:rPr>
              <w:t>2502</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64EAF3D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供应链管理服务</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49894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C9380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1A391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2F9D7BB2"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3955A59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青岛龙大鲜</w:t>
            </w:r>
            <w:proofErr w:type="gramStart"/>
            <w:r w:rsidRPr="005B5EC1">
              <w:rPr>
                <w:rFonts w:ascii="Times New Roman" w:eastAsia="宋体" w:hAnsi="Times New Roman" w:cs="Times New Roman"/>
                <w:sz w:val="18"/>
                <w:szCs w:val="18"/>
              </w:rPr>
              <w:t>生供应</w:t>
            </w:r>
            <w:proofErr w:type="gramEnd"/>
            <w:r w:rsidRPr="005B5EC1">
              <w:rPr>
                <w:rFonts w:ascii="Times New Roman" w:eastAsia="宋体" w:hAnsi="Times New Roman" w:cs="Times New Roman"/>
                <w:sz w:val="18"/>
                <w:szCs w:val="18"/>
              </w:rPr>
              <w:t>链有限公司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5BF0E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DAB03A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14B86B8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山东省青岛市李沧区金水路</w:t>
            </w:r>
            <w:r w:rsidRPr="005B5EC1">
              <w:rPr>
                <w:rFonts w:ascii="Times New Roman" w:eastAsia="宋体" w:hAnsi="Times New Roman" w:cs="Times New Roman"/>
                <w:sz w:val="18"/>
                <w:szCs w:val="18"/>
              </w:rPr>
              <w:t>670</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号楼</w:t>
            </w:r>
            <w:r w:rsidRPr="005B5EC1">
              <w:rPr>
                <w:rFonts w:ascii="Times New Roman" w:eastAsia="宋体" w:hAnsi="Times New Roman" w:cs="Times New Roman"/>
                <w:sz w:val="18"/>
                <w:szCs w:val="18"/>
              </w:rPr>
              <w:t>901</w:t>
            </w:r>
            <w:r w:rsidRPr="005B5EC1">
              <w:rPr>
                <w:rFonts w:ascii="Times New Roman" w:eastAsia="宋体" w:hAnsi="Times New Roman" w:cs="Times New Roman"/>
                <w:sz w:val="18"/>
                <w:szCs w:val="18"/>
              </w:rPr>
              <w:t>户</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0200BFB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1C72A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0BD9B0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4F1141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72F08268"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79F34D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成都龙大科技有限公司（原名成都</w:t>
            </w:r>
            <w:proofErr w:type="gramStart"/>
            <w:r w:rsidRPr="005B5EC1">
              <w:rPr>
                <w:rFonts w:ascii="Times New Roman" w:eastAsia="宋体" w:hAnsi="Times New Roman" w:cs="Times New Roman"/>
                <w:sz w:val="18"/>
                <w:szCs w:val="18"/>
              </w:rPr>
              <w:t>逸享潮代供应</w:t>
            </w:r>
            <w:proofErr w:type="gramEnd"/>
            <w:r w:rsidRPr="005B5EC1">
              <w:rPr>
                <w:rFonts w:ascii="Times New Roman" w:eastAsia="宋体" w:hAnsi="Times New Roman" w:cs="Times New Roman"/>
                <w:sz w:val="18"/>
                <w:szCs w:val="18"/>
              </w:rPr>
              <w:t>链管理有限公司）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1BBCAA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C59577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四川省成都市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6A7CFC9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四川省成都市天府新区华阳街道华府大道</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段</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栋</w:t>
            </w:r>
            <w:r w:rsidRPr="005B5EC1">
              <w:rPr>
                <w:rFonts w:ascii="Times New Roman" w:eastAsia="宋体" w:hAnsi="Times New Roman" w:cs="Times New Roman"/>
                <w:sz w:val="18"/>
                <w:szCs w:val="18"/>
              </w:rPr>
              <w:t>35</w:t>
            </w:r>
            <w:r w:rsidRPr="005B5EC1">
              <w:rPr>
                <w:rFonts w:ascii="Times New Roman" w:eastAsia="宋体" w:hAnsi="Times New Roman" w:cs="Times New Roman"/>
                <w:sz w:val="18"/>
                <w:szCs w:val="18"/>
              </w:rPr>
              <w:t>层</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号</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57F32BE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供应链管理服务</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6E94C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F17CC4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F0521D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3653C613"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0FC7C44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w:t>
            </w:r>
            <w:proofErr w:type="gramStart"/>
            <w:r w:rsidRPr="005B5EC1">
              <w:rPr>
                <w:rFonts w:ascii="Times New Roman" w:eastAsia="宋体" w:hAnsi="Times New Roman" w:cs="Times New Roman"/>
                <w:sz w:val="18"/>
                <w:szCs w:val="18"/>
              </w:rPr>
              <w:t>祥</w:t>
            </w:r>
            <w:proofErr w:type="gramEnd"/>
            <w:r w:rsidRPr="005B5EC1">
              <w:rPr>
                <w:rFonts w:ascii="Times New Roman" w:eastAsia="宋体" w:hAnsi="Times New Roman" w:cs="Times New Roman"/>
                <w:sz w:val="18"/>
                <w:szCs w:val="18"/>
              </w:rPr>
              <w:t>食品销售有限公司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DC25C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24623EA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山东省潍坊市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680AB5E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山东省潍坊市安丘市景芝镇淮安路</w:t>
            </w:r>
            <w:r w:rsidRPr="005B5EC1">
              <w:rPr>
                <w:rFonts w:ascii="Times New Roman" w:eastAsia="宋体" w:hAnsi="Times New Roman" w:cs="Times New Roman"/>
                <w:sz w:val="18"/>
                <w:szCs w:val="18"/>
              </w:rPr>
              <w:t>239</w:t>
            </w:r>
            <w:r w:rsidRPr="005B5EC1">
              <w:rPr>
                <w:rFonts w:ascii="Times New Roman" w:eastAsia="宋体" w:hAnsi="Times New Roman" w:cs="Times New Roman"/>
                <w:sz w:val="18"/>
                <w:szCs w:val="18"/>
              </w:rPr>
              <w:t>号振</w:t>
            </w:r>
            <w:proofErr w:type="gramStart"/>
            <w:r w:rsidRPr="005B5EC1">
              <w:rPr>
                <w:rFonts w:ascii="Times New Roman" w:eastAsia="宋体" w:hAnsi="Times New Roman" w:cs="Times New Roman"/>
                <w:sz w:val="18"/>
                <w:szCs w:val="18"/>
              </w:rPr>
              <w:t>祥</w:t>
            </w:r>
            <w:proofErr w:type="gramEnd"/>
            <w:r w:rsidRPr="005B5EC1">
              <w:rPr>
                <w:rFonts w:ascii="Times New Roman" w:eastAsia="宋体" w:hAnsi="Times New Roman" w:cs="Times New Roman"/>
                <w:sz w:val="18"/>
                <w:szCs w:val="18"/>
              </w:rPr>
              <w:t>食品</w:t>
            </w:r>
            <w:proofErr w:type="gramStart"/>
            <w:r w:rsidRPr="005B5EC1">
              <w:rPr>
                <w:rFonts w:ascii="Times New Roman" w:eastAsia="宋体" w:hAnsi="Times New Roman" w:cs="Times New Roman"/>
                <w:sz w:val="18"/>
                <w:szCs w:val="18"/>
              </w:rPr>
              <w:t>大门北</w:t>
            </w:r>
            <w:proofErr w:type="gramEnd"/>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米</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7DF251C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销售食品</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43977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B98E32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34EEFD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1DF0E3AD"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6E29EF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龙大美食</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北京</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食品科技有限公司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EF86D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B991AA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北京市经济技术开发区</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5BA14A8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北京市北京经济技术开发区文化园西路</w:t>
            </w:r>
            <w:r w:rsidRPr="005B5EC1">
              <w:rPr>
                <w:rFonts w:ascii="Times New Roman" w:eastAsia="宋体" w:hAnsi="Times New Roman" w:cs="Times New Roman"/>
                <w:sz w:val="18"/>
                <w:szCs w:val="18"/>
              </w:rPr>
              <w:t>8</w:t>
            </w:r>
            <w:r w:rsidRPr="005B5EC1">
              <w:rPr>
                <w:rFonts w:ascii="Times New Roman" w:eastAsia="宋体" w:hAnsi="Times New Roman" w:cs="Times New Roman"/>
                <w:sz w:val="18"/>
                <w:szCs w:val="18"/>
              </w:rPr>
              <w:t>号院</w:t>
            </w:r>
            <w:r w:rsidRPr="005B5EC1">
              <w:rPr>
                <w:rFonts w:ascii="Times New Roman" w:eastAsia="宋体" w:hAnsi="Times New Roman" w:cs="Times New Roman"/>
                <w:sz w:val="18"/>
                <w:szCs w:val="18"/>
              </w:rPr>
              <w:t>41</w:t>
            </w:r>
            <w:r w:rsidRPr="005B5EC1">
              <w:rPr>
                <w:rFonts w:ascii="Times New Roman" w:eastAsia="宋体" w:hAnsi="Times New Roman" w:cs="Times New Roman"/>
                <w:sz w:val="18"/>
                <w:szCs w:val="18"/>
              </w:rPr>
              <w:t>号楼</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层</w:t>
            </w:r>
            <w:r w:rsidRPr="005B5EC1">
              <w:rPr>
                <w:rFonts w:ascii="Times New Roman" w:eastAsia="宋体" w:hAnsi="Times New Roman" w:cs="Times New Roman"/>
                <w:sz w:val="18"/>
                <w:szCs w:val="18"/>
              </w:rPr>
              <w:t>102</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55B4AAD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食品销售</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F0A710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E9F67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44AA03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06CB4EFB"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3D5B363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龙大美食</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上海</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食品科技有限公司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6F3AE7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1D18EF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上海市青浦区</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1F679BD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上海市闵行区江月路</w:t>
            </w:r>
            <w:r w:rsidRPr="005B5EC1">
              <w:rPr>
                <w:rFonts w:ascii="Times New Roman" w:eastAsia="宋体" w:hAnsi="Times New Roman" w:cs="Times New Roman"/>
                <w:sz w:val="18"/>
                <w:szCs w:val="18"/>
              </w:rPr>
              <w:t>999</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幢</w:t>
            </w:r>
            <w:r w:rsidRPr="005B5EC1">
              <w:rPr>
                <w:rFonts w:ascii="Times New Roman" w:eastAsia="宋体" w:hAnsi="Times New Roman" w:cs="Times New Roman"/>
                <w:sz w:val="18"/>
                <w:szCs w:val="18"/>
              </w:rPr>
              <w:t>309-A</w:t>
            </w:r>
            <w:r w:rsidRPr="005B5EC1">
              <w:rPr>
                <w:rFonts w:ascii="Times New Roman" w:eastAsia="宋体" w:hAnsi="Times New Roman" w:cs="Times New Roman"/>
                <w:sz w:val="18"/>
                <w:szCs w:val="18"/>
              </w:rPr>
              <w:t>室</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64D23A5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食品销售</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7015983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077C4F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46F6D80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r w:rsidR="00E32FE0" w:rsidRPr="005B5EC1" w14:paraId="169C5513" w14:textId="77777777" w:rsidTr="005B5EC1">
        <w:trPr>
          <w:trHeight w:val="240"/>
          <w:jc w:val="center"/>
        </w:trPr>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0A1A80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巴中龙大肉食品贸易有限公</w:t>
            </w:r>
            <w:r w:rsidRPr="005B5EC1">
              <w:rPr>
                <w:rFonts w:ascii="Times New Roman" w:eastAsia="宋体" w:hAnsi="Times New Roman" w:cs="Times New Roman"/>
                <w:sz w:val="18"/>
                <w:szCs w:val="18"/>
              </w:rPr>
              <w:lastRenderedPageBreak/>
              <w:t>司</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14B730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10,000,000.00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52D59E9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四川省巴中市</w:t>
            </w:r>
          </w:p>
        </w:tc>
        <w:tc>
          <w:tcPr>
            <w:tcW w:w="1522" w:type="dxa"/>
            <w:tcBorders>
              <w:top w:val="single" w:sz="2" w:space="0" w:color="auto"/>
              <w:left w:val="single" w:sz="2" w:space="0" w:color="auto"/>
              <w:bottom w:val="single" w:sz="2" w:space="0" w:color="auto"/>
              <w:right w:val="single" w:sz="2" w:space="0" w:color="auto"/>
            </w:tcBorders>
            <w:shd w:val="clear" w:color="auto" w:fill="auto"/>
            <w:vAlign w:val="center"/>
          </w:tcPr>
          <w:p w14:paraId="6832288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四川省巴中市恩阳区柳林镇盐井</w:t>
            </w:r>
            <w:r w:rsidRPr="005B5EC1">
              <w:rPr>
                <w:rFonts w:ascii="Times New Roman" w:eastAsia="宋体" w:hAnsi="Times New Roman" w:cs="Times New Roman"/>
                <w:sz w:val="18"/>
                <w:szCs w:val="18"/>
              </w:rPr>
              <w:lastRenderedPageBreak/>
              <w:t>村食品工业园一号楼</w:t>
            </w:r>
          </w:p>
        </w:tc>
        <w:tc>
          <w:tcPr>
            <w:tcW w:w="1022" w:type="dxa"/>
            <w:tcBorders>
              <w:top w:val="single" w:sz="2" w:space="0" w:color="auto"/>
              <w:left w:val="single" w:sz="2" w:space="0" w:color="auto"/>
              <w:bottom w:val="single" w:sz="2" w:space="0" w:color="auto"/>
              <w:right w:val="single" w:sz="2" w:space="0" w:color="auto"/>
            </w:tcBorders>
            <w:shd w:val="clear" w:color="auto" w:fill="auto"/>
            <w:vAlign w:val="center"/>
          </w:tcPr>
          <w:p w14:paraId="674A824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食品销售</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0760FC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C4821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14:paraId="363B28E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设立</w:t>
            </w:r>
          </w:p>
        </w:tc>
      </w:tr>
    </w:tbl>
    <w:p w14:paraId="06786DC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在子公司的持股比例不同于表决权比例的说明：</w:t>
      </w:r>
    </w:p>
    <w:p w14:paraId="55175343" w14:textId="77777777" w:rsidR="00AF139E" w:rsidRPr="005B5EC1" w:rsidRDefault="00000000">
      <w:pPr>
        <w:pStyle w:val="a3"/>
        <w:divId w:val="1419601326"/>
        <w:rPr>
          <w:rFonts w:ascii="Times New Roman" w:hAnsi="Times New Roman" w:cs="Times New Roman"/>
          <w:sz w:val="18"/>
          <w:szCs w:val="18"/>
        </w:rPr>
      </w:pPr>
      <w:r w:rsidRPr="005B5EC1">
        <w:rPr>
          <w:rFonts w:ascii="Times New Roman" w:hAnsi="Times New Roman" w:cs="Times New Roman"/>
          <w:sz w:val="18"/>
          <w:szCs w:val="18"/>
        </w:rPr>
        <w:t>无</w:t>
      </w:r>
    </w:p>
    <w:p w14:paraId="7AE21C7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持有半数或以下表决权但仍控制被投资单位、以及持有半数以上表决权但不控制被投资单位的依据：</w:t>
      </w:r>
    </w:p>
    <w:p w14:paraId="4F6BB782" w14:textId="77777777" w:rsidR="00AF139E" w:rsidRPr="005B5EC1" w:rsidRDefault="00000000">
      <w:pPr>
        <w:pStyle w:val="a3"/>
        <w:divId w:val="487939973"/>
        <w:rPr>
          <w:rFonts w:ascii="Times New Roman" w:hAnsi="Times New Roman" w:cs="Times New Roman"/>
          <w:sz w:val="18"/>
          <w:szCs w:val="18"/>
        </w:rPr>
      </w:pPr>
      <w:r w:rsidRPr="005B5EC1">
        <w:rPr>
          <w:rFonts w:ascii="Times New Roman" w:hAnsi="Times New Roman" w:cs="Times New Roman"/>
          <w:sz w:val="18"/>
          <w:szCs w:val="18"/>
        </w:rPr>
        <w:t>无</w:t>
      </w:r>
    </w:p>
    <w:p w14:paraId="726BD6C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对于纳入合并范围的重要的结构化主体，控制的依据：</w:t>
      </w:r>
    </w:p>
    <w:p w14:paraId="2E1CA236" w14:textId="77777777" w:rsidR="00AF139E" w:rsidRPr="005B5EC1" w:rsidRDefault="00000000">
      <w:pPr>
        <w:pStyle w:val="a3"/>
        <w:divId w:val="1062677700"/>
        <w:rPr>
          <w:rFonts w:ascii="Times New Roman" w:hAnsi="Times New Roman" w:cs="Times New Roman"/>
          <w:sz w:val="18"/>
          <w:szCs w:val="18"/>
        </w:rPr>
      </w:pPr>
      <w:r w:rsidRPr="005B5EC1">
        <w:rPr>
          <w:rFonts w:ascii="Times New Roman" w:hAnsi="Times New Roman" w:cs="Times New Roman"/>
          <w:sz w:val="18"/>
          <w:szCs w:val="18"/>
        </w:rPr>
        <w:t>无</w:t>
      </w:r>
    </w:p>
    <w:p w14:paraId="1B87B16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确定公司是代理人还是委托人的依据：</w:t>
      </w:r>
    </w:p>
    <w:p w14:paraId="3FACC62E" w14:textId="77777777" w:rsidR="00AF139E" w:rsidRPr="005B5EC1" w:rsidRDefault="00000000">
      <w:pPr>
        <w:pStyle w:val="a3"/>
        <w:divId w:val="592280270"/>
        <w:rPr>
          <w:rFonts w:ascii="Times New Roman" w:hAnsi="Times New Roman" w:cs="Times New Roman"/>
          <w:sz w:val="18"/>
          <w:szCs w:val="18"/>
        </w:rPr>
      </w:pPr>
      <w:r w:rsidRPr="005B5EC1">
        <w:rPr>
          <w:rFonts w:ascii="Times New Roman" w:hAnsi="Times New Roman" w:cs="Times New Roman"/>
          <w:sz w:val="18"/>
          <w:szCs w:val="18"/>
        </w:rPr>
        <w:t>无</w:t>
      </w:r>
    </w:p>
    <w:p w14:paraId="623BBAC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8799653" w14:textId="77777777" w:rsidR="00AF139E" w:rsidRPr="005B5EC1" w:rsidRDefault="00000000">
      <w:pPr>
        <w:pStyle w:val="a3"/>
        <w:divId w:val="1364599106"/>
        <w:rPr>
          <w:rFonts w:ascii="Times New Roman" w:hAnsi="Times New Roman" w:cs="Times New Roman"/>
          <w:sz w:val="18"/>
          <w:szCs w:val="18"/>
        </w:rPr>
      </w:pPr>
      <w:r w:rsidRPr="005B5EC1">
        <w:rPr>
          <w:rFonts w:ascii="Times New Roman" w:hAnsi="Times New Roman" w:cs="Times New Roman"/>
          <w:sz w:val="18"/>
          <w:szCs w:val="18"/>
        </w:rPr>
        <w:t>无</w:t>
      </w:r>
    </w:p>
    <w:p w14:paraId="5B88B7CE"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34" w:name="_Toc989373"/>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重要的非全资子公司</w:t>
      </w:r>
      <w:bookmarkEnd w:id="434"/>
    </w:p>
    <w:p w14:paraId="270048E2"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57EC79BE"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0F8C0E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20DE7C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A810F5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4372F6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423AE8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期末少数股东权益余额</w:t>
            </w:r>
          </w:p>
        </w:tc>
      </w:tr>
      <w:tr w:rsidR="00E32FE0" w:rsidRPr="005B5EC1" w14:paraId="45D8CFCD"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607470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03D1C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37695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2,799,929.65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755D8B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366B2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122,766,947.40</w:t>
            </w:r>
          </w:p>
        </w:tc>
      </w:tr>
      <w:tr w:rsidR="00E32FE0" w:rsidRPr="005B5EC1" w14:paraId="30AC82F2" w14:textId="77777777" w:rsidTr="005B5EC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9A8C63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w:t>
            </w:r>
            <w:proofErr w:type="gramStart"/>
            <w:r w:rsidRPr="005B5EC1">
              <w:rPr>
                <w:rFonts w:ascii="Times New Roman" w:eastAsia="宋体" w:hAnsi="Times New Roman" w:cs="Times New Roman"/>
                <w:sz w:val="18"/>
                <w:szCs w:val="18"/>
              </w:rPr>
              <w:t>祥</w:t>
            </w:r>
            <w:proofErr w:type="gramEnd"/>
            <w:r w:rsidRPr="005B5EC1">
              <w:rPr>
                <w:rFonts w:ascii="Times New Roman" w:eastAsia="宋体" w:hAnsi="Times New Roman" w:cs="Times New Roman"/>
                <w:sz w:val="18"/>
                <w:szCs w:val="18"/>
              </w:rPr>
              <w:t>食品有限公司</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AC8DE2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7007F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-7,220,324.22</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92358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C0AAD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29,119,296.80</w:t>
            </w:r>
          </w:p>
        </w:tc>
      </w:tr>
    </w:tbl>
    <w:p w14:paraId="65284EE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子公司少数股东的持股比例不同于表决权比例的说明：</w:t>
      </w:r>
    </w:p>
    <w:p w14:paraId="5668280B" w14:textId="77777777" w:rsidR="00AF139E" w:rsidRPr="005B5EC1" w:rsidRDefault="00000000">
      <w:pPr>
        <w:pStyle w:val="a3"/>
        <w:divId w:val="1184201634"/>
        <w:rPr>
          <w:rFonts w:ascii="Times New Roman" w:hAnsi="Times New Roman" w:cs="Times New Roman"/>
          <w:sz w:val="18"/>
          <w:szCs w:val="18"/>
        </w:rPr>
      </w:pPr>
      <w:r w:rsidRPr="005B5EC1">
        <w:rPr>
          <w:rFonts w:ascii="Times New Roman" w:hAnsi="Times New Roman" w:cs="Times New Roman"/>
          <w:sz w:val="18"/>
          <w:szCs w:val="18"/>
        </w:rPr>
        <w:t>无</w:t>
      </w:r>
    </w:p>
    <w:p w14:paraId="74D5214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F6BC272" w14:textId="77777777" w:rsidR="00AF139E" w:rsidRPr="005B5EC1" w:rsidRDefault="00000000">
      <w:pPr>
        <w:pStyle w:val="a3"/>
        <w:divId w:val="2062826597"/>
        <w:rPr>
          <w:rFonts w:ascii="Times New Roman" w:hAnsi="Times New Roman" w:cs="Times New Roman"/>
          <w:sz w:val="18"/>
          <w:szCs w:val="18"/>
        </w:rPr>
      </w:pPr>
      <w:r w:rsidRPr="005B5EC1">
        <w:rPr>
          <w:rFonts w:ascii="Times New Roman" w:hAnsi="Times New Roman" w:cs="Times New Roman"/>
          <w:sz w:val="18"/>
          <w:szCs w:val="18"/>
        </w:rPr>
        <w:t>无</w:t>
      </w:r>
    </w:p>
    <w:p w14:paraId="540F54D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35" w:name="_Toc989374"/>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重要非全资子公司的主要财务信息</w:t>
      </w:r>
      <w:bookmarkEnd w:id="435"/>
    </w:p>
    <w:p w14:paraId="6B37D77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1103" w:type="dxa"/>
        <w:tblInd w:w="-7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558"/>
        <w:gridCol w:w="836"/>
        <w:gridCol w:w="789"/>
        <w:gridCol w:w="790"/>
        <w:gridCol w:w="790"/>
        <w:gridCol w:w="790"/>
        <w:gridCol w:w="798"/>
        <w:gridCol w:w="790"/>
        <w:gridCol w:w="790"/>
        <w:gridCol w:w="790"/>
        <w:gridCol w:w="790"/>
        <w:gridCol w:w="790"/>
        <w:gridCol w:w="794"/>
        <w:gridCol w:w="8"/>
      </w:tblGrid>
      <w:tr w:rsidR="00E32FE0" w:rsidRPr="005B5EC1" w14:paraId="0DB97586" w14:textId="77777777" w:rsidTr="005B5EC1">
        <w:trPr>
          <w:trHeight w:val="251"/>
        </w:trPr>
        <w:tc>
          <w:tcPr>
            <w:tcW w:w="156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851ABA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子公司名称</w:t>
            </w:r>
          </w:p>
        </w:tc>
        <w:tc>
          <w:tcPr>
            <w:tcW w:w="4795"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5032DAC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4748" w:type="dxa"/>
            <w:gridSpan w:val="7"/>
            <w:tcBorders>
              <w:top w:val="single" w:sz="2" w:space="0" w:color="auto"/>
              <w:left w:val="single" w:sz="2" w:space="0" w:color="auto"/>
              <w:bottom w:val="single" w:sz="2" w:space="0" w:color="auto"/>
              <w:right w:val="single" w:sz="2" w:space="0" w:color="auto"/>
            </w:tcBorders>
            <w:shd w:val="clear" w:color="auto" w:fill="auto"/>
            <w:vAlign w:val="center"/>
          </w:tcPr>
          <w:p w14:paraId="4A006F4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5B5EC1" w:rsidRPr="005B5EC1" w14:paraId="14EAC634" w14:textId="77777777" w:rsidTr="005B5EC1">
        <w:trPr>
          <w:gridAfter w:val="1"/>
          <w:wAfter w:w="8" w:type="dxa"/>
          <w:trHeight w:val="251"/>
        </w:trPr>
        <w:tc>
          <w:tcPr>
            <w:tcW w:w="156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EDE45C9" w14:textId="77777777" w:rsidR="00E32FE0" w:rsidRPr="005B5EC1" w:rsidRDefault="00E32FE0">
            <w:pPr>
              <w:rPr>
                <w:rFonts w:ascii="Times New Roman" w:hAnsi="Times New Roman" w:cs="Times New Roman"/>
              </w:rPr>
            </w:pPr>
          </w:p>
        </w:tc>
        <w:tc>
          <w:tcPr>
            <w:tcW w:w="837" w:type="dxa"/>
            <w:tcBorders>
              <w:top w:val="single" w:sz="2" w:space="0" w:color="auto"/>
              <w:left w:val="single" w:sz="2" w:space="0" w:color="auto"/>
              <w:bottom w:val="single" w:sz="2" w:space="0" w:color="auto"/>
              <w:right w:val="single" w:sz="2" w:space="0" w:color="auto"/>
            </w:tcBorders>
            <w:shd w:val="clear" w:color="auto" w:fill="auto"/>
            <w:vAlign w:val="center"/>
          </w:tcPr>
          <w:p w14:paraId="5027FB0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流动资产</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28D5E83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非流动资产</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3139D04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资产合计</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11F744C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流动负债</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56154C3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非流动负债</w:t>
            </w:r>
          </w:p>
        </w:tc>
        <w:tc>
          <w:tcPr>
            <w:tcW w:w="794" w:type="dxa"/>
            <w:tcBorders>
              <w:top w:val="single" w:sz="2" w:space="0" w:color="auto"/>
              <w:left w:val="single" w:sz="2" w:space="0" w:color="auto"/>
              <w:bottom w:val="single" w:sz="2" w:space="0" w:color="auto"/>
              <w:right w:val="single" w:sz="2" w:space="0" w:color="auto"/>
            </w:tcBorders>
            <w:shd w:val="clear" w:color="auto" w:fill="auto"/>
            <w:vAlign w:val="center"/>
          </w:tcPr>
          <w:p w14:paraId="0A1AE63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负债合计</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44FE202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流动资产</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642421A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非流动资产</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592CDBD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资产合计</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28F99EF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流动负债</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0B5452D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非流动负债</w:t>
            </w:r>
          </w:p>
        </w:tc>
        <w:tc>
          <w:tcPr>
            <w:tcW w:w="794" w:type="dxa"/>
            <w:tcBorders>
              <w:top w:val="single" w:sz="2" w:space="0" w:color="auto"/>
              <w:left w:val="single" w:sz="2" w:space="0" w:color="auto"/>
              <w:bottom w:val="single" w:sz="2" w:space="0" w:color="auto"/>
              <w:right w:val="single" w:sz="2" w:space="0" w:color="auto"/>
            </w:tcBorders>
            <w:shd w:val="clear" w:color="auto" w:fill="auto"/>
            <w:vAlign w:val="center"/>
          </w:tcPr>
          <w:p w14:paraId="3CFB6F5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负债合计</w:t>
            </w:r>
          </w:p>
        </w:tc>
      </w:tr>
      <w:tr w:rsidR="00E32FE0" w:rsidRPr="005B5EC1" w14:paraId="17A4F000" w14:textId="77777777" w:rsidTr="005B5EC1">
        <w:trPr>
          <w:gridAfter w:val="1"/>
          <w:wAfter w:w="8" w:type="dxa"/>
          <w:trHeight w:val="251"/>
        </w:trPr>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0DC286D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837" w:type="dxa"/>
            <w:tcBorders>
              <w:top w:val="single" w:sz="2" w:space="0" w:color="auto"/>
              <w:left w:val="single" w:sz="2" w:space="0" w:color="auto"/>
              <w:bottom w:val="single" w:sz="2" w:space="0" w:color="auto"/>
              <w:right w:val="single" w:sz="2" w:space="0" w:color="auto"/>
            </w:tcBorders>
            <w:shd w:val="clear" w:color="auto" w:fill="auto"/>
            <w:vAlign w:val="center"/>
          </w:tcPr>
          <w:p w14:paraId="7ABAD6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479,191,953.55</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6CB70C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202,137,824.11</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455761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681,329,777.66</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4437528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373,379,802.53</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196545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810,078.81</w:t>
            </w:r>
          </w:p>
        </w:tc>
        <w:tc>
          <w:tcPr>
            <w:tcW w:w="794" w:type="dxa"/>
            <w:tcBorders>
              <w:top w:val="single" w:sz="2" w:space="0" w:color="auto"/>
              <w:left w:val="single" w:sz="2" w:space="0" w:color="auto"/>
              <w:bottom w:val="single" w:sz="2" w:space="0" w:color="auto"/>
              <w:right w:val="single" w:sz="2" w:space="0" w:color="auto"/>
            </w:tcBorders>
            <w:shd w:val="clear" w:color="auto" w:fill="auto"/>
            <w:vAlign w:val="center"/>
          </w:tcPr>
          <w:p w14:paraId="5D2DFE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374,189,881.34</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487F83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434,157,947.28</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5EF477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195,307,692.38</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6393C5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629,465,639.66</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3710CC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327,665,367.87</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1A8470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1,515,026.33</w:t>
            </w:r>
          </w:p>
        </w:tc>
        <w:tc>
          <w:tcPr>
            <w:tcW w:w="794" w:type="dxa"/>
            <w:tcBorders>
              <w:top w:val="single" w:sz="2" w:space="0" w:color="auto"/>
              <w:left w:val="single" w:sz="2" w:space="0" w:color="auto"/>
              <w:bottom w:val="single" w:sz="2" w:space="0" w:color="auto"/>
              <w:right w:val="single" w:sz="2" w:space="0" w:color="auto"/>
            </w:tcBorders>
            <w:shd w:val="clear" w:color="auto" w:fill="auto"/>
            <w:vAlign w:val="center"/>
          </w:tcPr>
          <w:p w14:paraId="65DAD8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329,180,394.20</w:t>
            </w:r>
          </w:p>
        </w:tc>
      </w:tr>
      <w:tr w:rsidR="00E32FE0" w:rsidRPr="005B5EC1" w14:paraId="1762AA0C" w14:textId="77777777" w:rsidTr="005B5EC1">
        <w:trPr>
          <w:gridAfter w:val="1"/>
          <w:wAfter w:w="8" w:type="dxa"/>
          <w:trHeight w:val="251"/>
        </w:trPr>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2D97F0D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w:t>
            </w:r>
            <w:proofErr w:type="gramStart"/>
            <w:r w:rsidRPr="005B5EC1">
              <w:rPr>
                <w:rFonts w:ascii="Times New Roman" w:eastAsia="宋体" w:hAnsi="Times New Roman" w:cs="Times New Roman"/>
                <w:sz w:val="18"/>
                <w:szCs w:val="18"/>
              </w:rPr>
              <w:t>祥</w:t>
            </w:r>
            <w:proofErr w:type="gramEnd"/>
            <w:r w:rsidRPr="005B5EC1">
              <w:rPr>
                <w:rFonts w:ascii="Times New Roman" w:eastAsia="宋体" w:hAnsi="Times New Roman" w:cs="Times New Roman"/>
                <w:sz w:val="18"/>
                <w:szCs w:val="18"/>
              </w:rPr>
              <w:t>食品有限公司</w:t>
            </w:r>
          </w:p>
        </w:tc>
        <w:tc>
          <w:tcPr>
            <w:tcW w:w="837" w:type="dxa"/>
            <w:tcBorders>
              <w:top w:val="single" w:sz="2" w:space="0" w:color="auto"/>
              <w:left w:val="single" w:sz="2" w:space="0" w:color="auto"/>
              <w:bottom w:val="single" w:sz="2" w:space="0" w:color="auto"/>
              <w:right w:val="single" w:sz="2" w:space="0" w:color="auto"/>
            </w:tcBorders>
            <w:shd w:val="clear" w:color="auto" w:fill="auto"/>
            <w:vAlign w:val="center"/>
          </w:tcPr>
          <w:p w14:paraId="38FE39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289,610,153.00</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0C02DA3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279,458,608.08</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6479C11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569,068,761.08</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2DF0DA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431,979,961.51</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0C0DAA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36,603,420.43</w:t>
            </w:r>
          </w:p>
        </w:tc>
        <w:tc>
          <w:tcPr>
            <w:tcW w:w="794" w:type="dxa"/>
            <w:tcBorders>
              <w:top w:val="single" w:sz="2" w:space="0" w:color="auto"/>
              <w:left w:val="single" w:sz="2" w:space="0" w:color="auto"/>
              <w:bottom w:val="single" w:sz="2" w:space="0" w:color="auto"/>
              <w:right w:val="single" w:sz="2" w:space="0" w:color="auto"/>
            </w:tcBorders>
            <w:shd w:val="clear" w:color="auto" w:fill="auto"/>
            <w:vAlign w:val="center"/>
          </w:tcPr>
          <w:p w14:paraId="034AFA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468,583,381.94</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6E7EB8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322,602,550.60</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0E818C2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285,870,160.93</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1AEB1A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608,472,711.53</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4872C14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450,293,798.72</w:t>
            </w:r>
          </w:p>
        </w:tc>
        <w:tc>
          <w:tcPr>
            <w:tcW w:w="790" w:type="dxa"/>
            <w:tcBorders>
              <w:top w:val="single" w:sz="2" w:space="0" w:color="auto"/>
              <w:left w:val="single" w:sz="2" w:space="0" w:color="auto"/>
              <w:bottom w:val="single" w:sz="2" w:space="0" w:color="auto"/>
              <w:right w:val="single" w:sz="2" w:space="0" w:color="auto"/>
            </w:tcBorders>
            <w:shd w:val="clear" w:color="auto" w:fill="auto"/>
            <w:vAlign w:val="center"/>
          </w:tcPr>
          <w:p w14:paraId="756D28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37,018,783.67</w:t>
            </w:r>
          </w:p>
        </w:tc>
        <w:tc>
          <w:tcPr>
            <w:tcW w:w="794" w:type="dxa"/>
            <w:tcBorders>
              <w:top w:val="single" w:sz="2" w:space="0" w:color="auto"/>
              <w:left w:val="single" w:sz="2" w:space="0" w:color="auto"/>
              <w:bottom w:val="single" w:sz="2" w:space="0" w:color="auto"/>
              <w:right w:val="single" w:sz="2" w:space="0" w:color="auto"/>
            </w:tcBorders>
            <w:shd w:val="clear" w:color="auto" w:fill="auto"/>
            <w:vAlign w:val="center"/>
          </w:tcPr>
          <w:p w14:paraId="77C68ED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487,312,582.39</w:t>
            </w:r>
          </w:p>
        </w:tc>
      </w:tr>
    </w:tbl>
    <w:p w14:paraId="3F223D0A"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1104" w:type="dxa"/>
        <w:tblInd w:w="-7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560"/>
        <w:gridCol w:w="1417"/>
        <w:gridCol w:w="1134"/>
        <w:gridCol w:w="1134"/>
        <w:gridCol w:w="1134"/>
        <w:gridCol w:w="1296"/>
        <w:gridCol w:w="1143"/>
        <w:gridCol w:w="1143"/>
        <w:gridCol w:w="1143"/>
      </w:tblGrid>
      <w:tr w:rsidR="00E32FE0" w:rsidRPr="005B5EC1" w14:paraId="015350CC" w14:textId="77777777" w:rsidTr="005B5EC1">
        <w:trPr>
          <w:trHeight w:val="250"/>
        </w:trPr>
        <w:tc>
          <w:tcPr>
            <w:tcW w:w="156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F8C88B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子公司名称</w:t>
            </w:r>
          </w:p>
        </w:tc>
        <w:tc>
          <w:tcPr>
            <w:tcW w:w="481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D64C2E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47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D95A7C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5B5EC1" w:rsidRPr="005B5EC1" w14:paraId="6455879B" w14:textId="77777777" w:rsidTr="005B5EC1">
        <w:trPr>
          <w:trHeight w:val="250"/>
        </w:trPr>
        <w:tc>
          <w:tcPr>
            <w:tcW w:w="156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44F561B" w14:textId="77777777" w:rsidR="00E32FE0" w:rsidRPr="005B5EC1" w:rsidRDefault="00E32FE0">
            <w:pPr>
              <w:rPr>
                <w:rFonts w:ascii="Times New Roman" w:hAnsi="Times New Roman" w:cs="Times New Roman"/>
              </w:rPr>
            </w:pP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22A74C4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7256E8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净利润</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20CD4E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综合收益总额</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15088C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经营活动现金流量</w:t>
            </w:r>
          </w:p>
        </w:tc>
        <w:tc>
          <w:tcPr>
            <w:tcW w:w="1296" w:type="dxa"/>
            <w:tcBorders>
              <w:top w:val="single" w:sz="2" w:space="0" w:color="auto"/>
              <w:left w:val="single" w:sz="2" w:space="0" w:color="auto"/>
              <w:bottom w:val="single" w:sz="2" w:space="0" w:color="auto"/>
              <w:right w:val="single" w:sz="2" w:space="0" w:color="auto"/>
            </w:tcBorders>
            <w:shd w:val="clear" w:color="auto" w:fill="auto"/>
            <w:vAlign w:val="center"/>
          </w:tcPr>
          <w:p w14:paraId="099CBCA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营业收入</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5CFDEB2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净利润</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433C52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综合收益总额</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120046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经营活动现金流量</w:t>
            </w:r>
          </w:p>
        </w:tc>
      </w:tr>
      <w:tr w:rsidR="00E32FE0" w:rsidRPr="005B5EC1" w14:paraId="5D484F3F" w14:textId="77777777" w:rsidTr="005B5EC1">
        <w:trPr>
          <w:trHeight w:val="250"/>
        </w:trPr>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40403B3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B2DB5F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2,431,900,903.36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3AB2CB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6,854,650.86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8DF03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6,854,650.86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E91821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-3,198,172.63</w:t>
            </w:r>
          </w:p>
        </w:tc>
        <w:tc>
          <w:tcPr>
            <w:tcW w:w="1296" w:type="dxa"/>
            <w:tcBorders>
              <w:top w:val="single" w:sz="2" w:space="0" w:color="auto"/>
              <w:left w:val="single" w:sz="2" w:space="0" w:color="auto"/>
              <w:bottom w:val="single" w:sz="2" w:space="0" w:color="auto"/>
              <w:right w:val="single" w:sz="2" w:space="0" w:color="auto"/>
            </w:tcBorders>
            <w:shd w:val="clear" w:color="auto" w:fill="auto"/>
            <w:vAlign w:val="center"/>
          </w:tcPr>
          <w:p w14:paraId="4F38B5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2,478,990,188.50</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4D8E2C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-27,890,108.49</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625297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-27,890,108.49</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1589A9E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415,845.41</w:t>
            </w:r>
          </w:p>
        </w:tc>
      </w:tr>
      <w:tr w:rsidR="00E32FE0" w:rsidRPr="005B5EC1" w14:paraId="21E23CBC" w14:textId="77777777" w:rsidTr="005B5EC1">
        <w:trPr>
          <w:trHeight w:val="250"/>
        </w:trPr>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3A150A8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w:t>
            </w:r>
            <w:proofErr w:type="gramStart"/>
            <w:r w:rsidRPr="005B5EC1">
              <w:rPr>
                <w:rFonts w:ascii="Times New Roman" w:eastAsia="宋体" w:hAnsi="Times New Roman" w:cs="Times New Roman"/>
                <w:sz w:val="18"/>
                <w:szCs w:val="18"/>
              </w:rPr>
              <w:t>祥</w:t>
            </w:r>
            <w:proofErr w:type="gramEnd"/>
            <w:r w:rsidRPr="005B5EC1">
              <w:rPr>
                <w:rFonts w:ascii="Times New Roman" w:eastAsia="宋体" w:hAnsi="Times New Roman" w:cs="Times New Roman"/>
                <w:sz w:val="18"/>
                <w:szCs w:val="18"/>
              </w:rPr>
              <w:t>食品有限公司</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544224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2,009,642,047.73</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870D1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-20,774,750.00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B1712E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-20,774,750.00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F3D25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-77,834,776.43</w:t>
            </w:r>
          </w:p>
        </w:tc>
        <w:tc>
          <w:tcPr>
            <w:tcW w:w="1296" w:type="dxa"/>
            <w:tcBorders>
              <w:top w:val="single" w:sz="2" w:space="0" w:color="auto"/>
              <w:left w:val="single" w:sz="2" w:space="0" w:color="auto"/>
              <w:bottom w:val="single" w:sz="2" w:space="0" w:color="auto"/>
              <w:right w:val="single" w:sz="2" w:space="0" w:color="auto"/>
            </w:tcBorders>
            <w:shd w:val="clear" w:color="auto" w:fill="auto"/>
            <w:vAlign w:val="center"/>
          </w:tcPr>
          <w:p w14:paraId="17DA23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2,580,817,778.87</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68B09A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-53,387,255.56</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3EFD99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-53,387,255.56</w:t>
            </w:r>
          </w:p>
        </w:tc>
        <w:tc>
          <w:tcPr>
            <w:tcW w:w="1143" w:type="dxa"/>
            <w:tcBorders>
              <w:top w:val="single" w:sz="2" w:space="0" w:color="auto"/>
              <w:left w:val="single" w:sz="2" w:space="0" w:color="auto"/>
              <w:bottom w:val="single" w:sz="2" w:space="0" w:color="auto"/>
              <w:right w:val="single" w:sz="2" w:space="0" w:color="auto"/>
            </w:tcBorders>
            <w:shd w:val="clear" w:color="auto" w:fill="auto"/>
            <w:vAlign w:val="center"/>
          </w:tcPr>
          <w:p w14:paraId="21E9D0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-18,061,411.83</w:t>
            </w:r>
          </w:p>
        </w:tc>
      </w:tr>
    </w:tbl>
    <w:p w14:paraId="7F40BB5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716081B3" w14:textId="77777777" w:rsidR="00AF139E" w:rsidRPr="005B5EC1" w:rsidRDefault="00000000" w:rsidP="005B5EC1">
      <w:pPr>
        <w:pStyle w:val="a3"/>
        <w:spacing w:before="0" w:beforeAutospacing="0" w:after="0" w:afterAutospacing="0" w:line="276" w:lineRule="auto"/>
        <w:ind w:firstLineChars="200" w:firstLine="360"/>
        <w:jc w:val="both"/>
        <w:divId w:val="575356964"/>
        <w:rPr>
          <w:rFonts w:ascii="Times New Roman" w:hAnsi="Times New Roman" w:cs="Times New Roman"/>
          <w:sz w:val="21"/>
          <w:szCs w:val="21"/>
        </w:rPr>
      </w:pPr>
      <w:r w:rsidRPr="005B5EC1">
        <w:rPr>
          <w:rFonts w:ascii="Times New Roman" w:hAnsi="Times New Roman" w:cs="Times New Roman"/>
          <w:sz w:val="18"/>
          <w:szCs w:val="18"/>
        </w:rPr>
        <w:t>潍坊振</w:t>
      </w:r>
      <w:proofErr w:type="gramStart"/>
      <w:r w:rsidRPr="005B5EC1">
        <w:rPr>
          <w:rFonts w:ascii="Times New Roman" w:hAnsi="Times New Roman" w:cs="Times New Roman"/>
          <w:sz w:val="18"/>
          <w:szCs w:val="18"/>
        </w:rPr>
        <w:t>祥</w:t>
      </w:r>
      <w:proofErr w:type="gramEnd"/>
      <w:r w:rsidRPr="005B5EC1">
        <w:rPr>
          <w:rFonts w:ascii="Times New Roman" w:hAnsi="Times New Roman" w:cs="Times New Roman"/>
          <w:sz w:val="18"/>
          <w:szCs w:val="18"/>
        </w:rPr>
        <w:t>子公司系</w:t>
      </w:r>
      <w:r w:rsidRPr="005B5EC1">
        <w:rPr>
          <w:rFonts w:ascii="Times New Roman" w:hAnsi="Times New Roman" w:cs="Times New Roman"/>
          <w:sz w:val="18"/>
          <w:szCs w:val="18"/>
        </w:rPr>
        <w:t>2018</w:t>
      </w:r>
      <w:r w:rsidRPr="005B5EC1">
        <w:rPr>
          <w:rFonts w:ascii="Times New Roman" w:hAnsi="Times New Roman" w:cs="Times New Roman"/>
          <w:sz w:val="18"/>
          <w:szCs w:val="18"/>
        </w:rPr>
        <w:t>年度非同</w:t>
      </w:r>
      <w:proofErr w:type="gramStart"/>
      <w:r w:rsidRPr="005B5EC1">
        <w:rPr>
          <w:rFonts w:ascii="Times New Roman" w:hAnsi="Times New Roman" w:cs="Times New Roman"/>
          <w:sz w:val="18"/>
          <w:szCs w:val="18"/>
        </w:rPr>
        <w:t>一控制</w:t>
      </w:r>
      <w:proofErr w:type="gramEnd"/>
      <w:r w:rsidRPr="005B5EC1">
        <w:rPr>
          <w:rFonts w:ascii="Times New Roman" w:hAnsi="Times New Roman" w:cs="Times New Roman"/>
          <w:sz w:val="18"/>
          <w:szCs w:val="18"/>
        </w:rPr>
        <w:t>下企业合并取得的子公司，上述财务数据是以</w:t>
      </w:r>
      <w:proofErr w:type="gramStart"/>
      <w:r w:rsidRPr="005B5EC1">
        <w:rPr>
          <w:rFonts w:ascii="Times New Roman" w:hAnsi="Times New Roman" w:cs="Times New Roman"/>
          <w:sz w:val="18"/>
          <w:szCs w:val="18"/>
        </w:rPr>
        <w:t>合并日</w:t>
      </w:r>
      <w:proofErr w:type="gramEnd"/>
      <w:r w:rsidRPr="005B5EC1">
        <w:rPr>
          <w:rFonts w:ascii="Times New Roman" w:hAnsi="Times New Roman" w:cs="Times New Roman"/>
          <w:sz w:val="18"/>
          <w:szCs w:val="18"/>
        </w:rPr>
        <w:t>该子公司可辨认资产和负债的公允价值为基础进行调整后列报的。</w:t>
      </w:r>
    </w:p>
    <w:p w14:paraId="1E5CA2B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36" w:name="_Toc989375"/>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4</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使用企业集团资产和清偿企业集团债务的重大限制</w:t>
      </w:r>
      <w:bookmarkEnd w:id="436"/>
    </w:p>
    <w:p w14:paraId="62DC3075" w14:textId="77777777" w:rsidR="00AF139E" w:rsidRPr="005B5EC1" w:rsidRDefault="00000000">
      <w:pPr>
        <w:pStyle w:val="a3"/>
        <w:divId w:val="228733199"/>
        <w:rPr>
          <w:rFonts w:ascii="Times New Roman" w:hAnsi="Times New Roman" w:cs="Times New Roman"/>
          <w:sz w:val="18"/>
          <w:szCs w:val="18"/>
        </w:rPr>
      </w:pPr>
      <w:r w:rsidRPr="005B5EC1">
        <w:rPr>
          <w:rFonts w:ascii="Times New Roman" w:hAnsi="Times New Roman" w:cs="Times New Roman"/>
          <w:sz w:val="18"/>
          <w:szCs w:val="18"/>
        </w:rPr>
        <w:t>无</w:t>
      </w:r>
    </w:p>
    <w:p w14:paraId="343BE5C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37" w:name="_Toc989376"/>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5</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向纳入合并财务报表范围的结构化主体提供的财务支持或其他支持</w:t>
      </w:r>
      <w:bookmarkEnd w:id="437"/>
    </w:p>
    <w:p w14:paraId="78E9CA24" w14:textId="77777777" w:rsidR="00AF139E" w:rsidRPr="005B5EC1" w:rsidRDefault="00000000">
      <w:pPr>
        <w:pStyle w:val="a3"/>
        <w:divId w:val="774715018"/>
        <w:rPr>
          <w:rFonts w:ascii="Times New Roman" w:hAnsi="Times New Roman" w:cs="Times New Roman"/>
          <w:sz w:val="18"/>
          <w:szCs w:val="18"/>
        </w:rPr>
      </w:pPr>
      <w:r w:rsidRPr="005B5EC1">
        <w:rPr>
          <w:rFonts w:ascii="Times New Roman" w:hAnsi="Times New Roman" w:cs="Times New Roman"/>
          <w:sz w:val="18"/>
          <w:szCs w:val="18"/>
        </w:rPr>
        <w:t>无</w:t>
      </w:r>
    </w:p>
    <w:p w14:paraId="3BFCCDA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6C6A3BD5" w14:textId="77777777" w:rsidR="00AF139E" w:rsidRPr="005B5EC1" w:rsidRDefault="00000000">
      <w:pPr>
        <w:pStyle w:val="a3"/>
        <w:divId w:val="58022144"/>
        <w:rPr>
          <w:rFonts w:ascii="Times New Roman" w:hAnsi="Times New Roman" w:cs="Times New Roman"/>
          <w:sz w:val="18"/>
          <w:szCs w:val="18"/>
        </w:rPr>
      </w:pPr>
      <w:r w:rsidRPr="005B5EC1">
        <w:rPr>
          <w:rFonts w:ascii="Times New Roman" w:hAnsi="Times New Roman" w:cs="Times New Roman"/>
          <w:sz w:val="18"/>
          <w:szCs w:val="18"/>
        </w:rPr>
        <w:t>无</w:t>
      </w:r>
    </w:p>
    <w:p w14:paraId="4286551D" w14:textId="77777777" w:rsidR="00E32FE0" w:rsidRPr="005B5EC1" w:rsidRDefault="00000000">
      <w:pPr>
        <w:pStyle w:val="3"/>
        <w:spacing w:line="280" w:lineRule="exact"/>
        <w:jc w:val="left"/>
        <w:rPr>
          <w:rFonts w:ascii="Times New Roman" w:hAnsi="Times New Roman" w:cs="Times New Roman"/>
          <w:b/>
          <w:bCs/>
        </w:rPr>
      </w:pPr>
      <w:bookmarkStart w:id="438" w:name="_Toc989377"/>
      <w:r w:rsidRPr="005B5EC1">
        <w:rPr>
          <w:rFonts w:ascii="Times New Roman" w:hAnsi="Times New Roman" w:cs="Times New Roman"/>
          <w:b/>
          <w:bCs/>
        </w:rPr>
        <w:t>2</w:t>
      </w:r>
      <w:r w:rsidRPr="005B5EC1">
        <w:rPr>
          <w:rFonts w:ascii="Times New Roman" w:hAnsi="Times New Roman" w:cs="Times New Roman"/>
          <w:b/>
          <w:bCs/>
        </w:rPr>
        <w:t>、在子公司的所有者权益份额发生变化且仍控制子公司的交易</w:t>
      </w:r>
      <w:bookmarkEnd w:id="438"/>
    </w:p>
    <w:p w14:paraId="367C016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39" w:name="_Toc989378"/>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在子公司所有者权益份额发生变化的情况说明</w:t>
      </w:r>
      <w:bookmarkEnd w:id="439"/>
    </w:p>
    <w:p w14:paraId="4E4E3A96" w14:textId="64BAA5F2" w:rsidR="00AF139E" w:rsidRPr="005B5EC1" w:rsidRDefault="00000000" w:rsidP="005B5EC1">
      <w:pPr>
        <w:pStyle w:val="a3"/>
        <w:spacing w:before="0" w:beforeAutospacing="0" w:after="0" w:afterAutospacing="0" w:line="276" w:lineRule="auto"/>
        <w:ind w:firstLine="357"/>
        <w:jc w:val="both"/>
        <w:divId w:val="1542590703"/>
        <w:rPr>
          <w:rFonts w:ascii="Times New Roman" w:hAnsi="Times New Roman" w:cs="Times New Roman"/>
          <w:sz w:val="21"/>
          <w:szCs w:val="21"/>
        </w:rPr>
      </w:pPr>
      <w:r w:rsidRPr="005B5EC1">
        <w:rPr>
          <w:rFonts w:ascii="Times New Roman" w:hAnsi="Times New Roman" w:cs="Times New Roman"/>
          <w:sz w:val="18"/>
          <w:szCs w:val="18"/>
        </w:rPr>
        <w:t>2024</w:t>
      </w:r>
      <w:r w:rsidRPr="005B5EC1">
        <w:rPr>
          <w:rFonts w:ascii="Times New Roman" w:hAnsi="Times New Roman" w:cs="Times New Roman"/>
          <w:sz w:val="18"/>
          <w:szCs w:val="18"/>
        </w:rPr>
        <w:t>年</w:t>
      </w:r>
      <w:r w:rsidRPr="005B5EC1">
        <w:rPr>
          <w:rFonts w:ascii="Times New Roman" w:hAnsi="Times New Roman" w:cs="Times New Roman"/>
          <w:sz w:val="18"/>
          <w:szCs w:val="18"/>
        </w:rPr>
        <w:t>9</w:t>
      </w:r>
      <w:r w:rsidRPr="005B5EC1">
        <w:rPr>
          <w:rFonts w:ascii="Times New Roman" w:hAnsi="Times New Roman" w:cs="Times New Roman"/>
          <w:sz w:val="18"/>
          <w:szCs w:val="18"/>
        </w:rPr>
        <w:t>月本公司以</w:t>
      </w:r>
      <w:r w:rsidRPr="005B5EC1">
        <w:rPr>
          <w:rFonts w:ascii="Times New Roman" w:hAnsi="Times New Roman" w:cs="Times New Roman"/>
          <w:sz w:val="18"/>
          <w:szCs w:val="18"/>
        </w:rPr>
        <w:t xml:space="preserve">2,571,780.00 </w:t>
      </w:r>
      <w:r w:rsidRPr="005B5EC1">
        <w:rPr>
          <w:rFonts w:ascii="Times New Roman" w:hAnsi="Times New Roman" w:cs="Times New Roman"/>
          <w:sz w:val="18"/>
          <w:szCs w:val="18"/>
        </w:rPr>
        <w:t>元收购四川龙炸餐饮管理有限公司少数股东</w:t>
      </w:r>
      <w:r w:rsidRPr="005B5EC1">
        <w:rPr>
          <w:rFonts w:ascii="Times New Roman" w:hAnsi="Times New Roman" w:cs="Times New Roman"/>
          <w:sz w:val="18"/>
          <w:szCs w:val="18"/>
        </w:rPr>
        <w:t>30%</w:t>
      </w:r>
      <w:r w:rsidRPr="005B5EC1">
        <w:rPr>
          <w:rFonts w:ascii="Times New Roman" w:hAnsi="Times New Roman" w:cs="Times New Roman"/>
          <w:sz w:val="18"/>
          <w:szCs w:val="18"/>
        </w:rPr>
        <w:t>的股权。</w:t>
      </w:r>
    </w:p>
    <w:p w14:paraId="2A2A5D7E"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40" w:name="_Toc989379"/>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交易对于少数股东权益及归属于母公司所有者权益的影响</w:t>
      </w:r>
      <w:bookmarkEnd w:id="440"/>
    </w:p>
    <w:p w14:paraId="36516BD0"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7B1AC7B3"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CA1D783" w14:textId="77777777" w:rsidR="00E32FE0" w:rsidRPr="005B5EC1" w:rsidRDefault="00E32FE0">
            <w:pPr>
              <w:rPr>
                <w:rFonts w:ascii="Times New Roman" w:hAnsi="Times New Roman" w:cs="Times New Roman"/>
              </w:rPr>
            </w:pP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7D5AB56" w14:textId="77777777" w:rsidR="00E32FE0" w:rsidRPr="005B5EC1" w:rsidRDefault="00E32FE0">
            <w:pPr>
              <w:spacing w:after="0" w:line="240" w:lineRule="exact"/>
              <w:jc w:val="center"/>
              <w:rPr>
                <w:rFonts w:ascii="Times New Roman" w:eastAsia="宋体" w:hAnsi="Times New Roman" w:cs="Times New Roman"/>
                <w:sz w:val="18"/>
                <w:szCs w:val="18"/>
              </w:rPr>
            </w:pPr>
          </w:p>
        </w:tc>
      </w:tr>
      <w:tr w:rsidR="00E32FE0" w:rsidRPr="005B5EC1" w14:paraId="19E3789A"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D6C067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购买成本</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处置对价</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41584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2,571,780.00</w:t>
            </w:r>
          </w:p>
        </w:tc>
      </w:tr>
      <w:tr w:rsidR="00E32FE0" w:rsidRPr="005B5EC1" w14:paraId="5E621B05"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6966E4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现金</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410AA4D" w14:textId="1CC61941"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B255B89"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4B380D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非现金资产的公允价值</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5633CEF" w14:textId="40447194" w:rsidR="00E32FE0" w:rsidRPr="005B5EC1" w:rsidRDefault="00F6776C">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2,571,780.00</w:t>
            </w:r>
          </w:p>
        </w:tc>
      </w:tr>
      <w:tr w:rsidR="00E32FE0" w:rsidRPr="005B5EC1" w14:paraId="4ED1F385"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3359840" w14:textId="77777777" w:rsidR="00E32FE0" w:rsidRPr="005B5EC1" w:rsidRDefault="00E32FE0">
            <w:pPr>
              <w:spacing w:after="0" w:line="240" w:lineRule="exact"/>
              <w:rPr>
                <w:rFonts w:ascii="Times New Roman" w:eastAsia="宋体" w:hAnsi="Times New Roman" w:cs="Times New Roman"/>
                <w:sz w:val="18"/>
                <w:szCs w:val="18"/>
              </w:rPr>
            </w:pP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A1E7DE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5E006F0"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77809E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购买成本</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处置对价合计</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3210C4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2,571,780.00</w:t>
            </w:r>
          </w:p>
        </w:tc>
      </w:tr>
      <w:tr w:rsidR="00E32FE0" w:rsidRPr="005B5EC1" w14:paraId="7F4F89E1"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E76D93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减：按取得</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处置的股权比例计算的子公司净资产份额</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076F9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2,252,525.59</w:t>
            </w:r>
          </w:p>
        </w:tc>
      </w:tr>
      <w:tr w:rsidR="00E32FE0" w:rsidRPr="005B5EC1" w14:paraId="33BF3CC2"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96974C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差额</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DB1A9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319,254.41</w:t>
            </w:r>
          </w:p>
        </w:tc>
      </w:tr>
      <w:tr w:rsidR="00E32FE0" w:rsidRPr="005B5EC1" w14:paraId="024ACE0F"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A8AA1FD"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其中：调整资本公积</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37533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319,254.41</w:t>
            </w:r>
          </w:p>
        </w:tc>
      </w:tr>
      <w:tr w:rsidR="00E32FE0" w:rsidRPr="005B5EC1" w14:paraId="502848DE"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ACFC0C3"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调整盈余公积</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F22ABD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C92C420" w14:textId="77777777" w:rsidTr="005B5EC1">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480466A" w14:textId="77777777" w:rsidR="00E32FE0" w:rsidRPr="005B5EC1" w:rsidRDefault="00000000">
            <w:pPr>
              <w:spacing w:before="40" w:after="40" w:line="240" w:lineRule="exact"/>
              <w:ind w:firstLineChars="300" w:firstLine="540"/>
              <w:rPr>
                <w:rFonts w:ascii="Times New Roman" w:eastAsia="宋体" w:hAnsi="Times New Roman" w:cs="Times New Roman"/>
                <w:sz w:val="18"/>
                <w:szCs w:val="18"/>
              </w:rPr>
            </w:pPr>
            <w:r w:rsidRPr="005B5EC1">
              <w:rPr>
                <w:rFonts w:ascii="Times New Roman" w:eastAsia="宋体" w:hAnsi="Times New Roman" w:cs="Times New Roman"/>
                <w:sz w:val="18"/>
                <w:szCs w:val="18"/>
              </w:rPr>
              <w:t>调整未分配利润</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81A1B36" w14:textId="77777777" w:rsidR="00E32FE0" w:rsidRPr="005B5EC1" w:rsidRDefault="00E32FE0">
            <w:pPr>
              <w:spacing w:after="0" w:line="240" w:lineRule="exact"/>
              <w:jc w:val="right"/>
              <w:rPr>
                <w:rFonts w:ascii="Times New Roman" w:eastAsia="宋体" w:hAnsi="Times New Roman" w:cs="Times New Roman"/>
                <w:sz w:val="18"/>
                <w:szCs w:val="18"/>
              </w:rPr>
            </w:pPr>
          </w:p>
        </w:tc>
      </w:tr>
    </w:tbl>
    <w:p w14:paraId="057AF3D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58E94E61" w14:textId="77777777" w:rsidR="00AF139E" w:rsidRPr="005B5EC1" w:rsidRDefault="00000000">
      <w:pPr>
        <w:pStyle w:val="a3"/>
        <w:divId w:val="1357581505"/>
        <w:rPr>
          <w:rFonts w:ascii="Times New Roman" w:hAnsi="Times New Roman" w:cs="Times New Roman"/>
          <w:sz w:val="18"/>
          <w:szCs w:val="18"/>
        </w:rPr>
      </w:pPr>
      <w:r w:rsidRPr="005B5EC1">
        <w:rPr>
          <w:rFonts w:ascii="Times New Roman" w:hAnsi="Times New Roman" w:cs="Times New Roman"/>
          <w:sz w:val="18"/>
          <w:szCs w:val="18"/>
        </w:rPr>
        <w:lastRenderedPageBreak/>
        <w:t>无</w:t>
      </w:r>
    </w:p>
    <w:p w14:paraId="0970BFD3" w14:textId="77777777" w:rsidR="00E32FE0" w:rsidRPr="005B5EC1" w:rsidRDefault="00000000">
      <w:pPr>
        <w:pStyle w:val="3"/>
        <w:spacing w:line="280" w:lineRule="exact"/>
        <w:jc w:val="left"/>
        <w:rPr>
          <w:rFonts w:ascii="Times New Roman" w:hAnsi="Times New Roman" w:cs="Times New Roman"/>
          <w:b/>
          <w:bCs/>
        </w:rPr>
      </w:pPr>
      <w:bookmarkStart w:id="441" w:name="_Toc989380"/>
      <w:r w:rsidRPr="005B5EC1">
        <w:rPr>
          <w:rFonts w:ascii="Times New Roman" w:hAnsi="Times New Roman" w:cs="Times New Roman"/>
          <w:b/>
          <w:bCs/>
        </w:rPr>
        <w:t>3</w:t>
      </w:r>
      <w:r w:rsidRPr="005B5EC1">
        <w:rPr>
          <w:rFonts w:ascii="Times New Roman" w:hAnsi="Times New Roman" w:cs="Times New Roman"/>
          <w:b/>
          <w:bCs/>
        </w:rPr>
        <w:t>、在合营企业或联营企业中的权益</w:t>
      </w:r>
      <w:bookmarkEnd w:id="441"/>
    </w:p>
    <w:p w14:paraId="7240399F" w14:textId="77777777" w:rsidR="00AF139E" w:rsidRPr="005B5EC1" w:rsidRDefault="00000000">
      <w:pPr>
        <w:pStyle w:val="a3"/>
        <w:divId w:val="18626329"/>
        <w:rPr>
          <w:rFonts w:ascii="Times New Roman" w:hAnsi="Times New Roman" w:cs="Times New Roman"/>
          <w:sz w:val="18"/>
          <w:szCs w:val="18"/>
        </w:rPr>
      </w:pPr>
      <w:r w:rsidRPr="005B5EC1">
        <w:rPr>
          <w:rFonts w:ascii="Times New Roman" w:hAnsi="Times New Roman" w:cs="Times New Roman"/>
          <w:sz w:val="18"/>
          <w:szCs w:val="18"/>
        </w:rPr>
        <w:t>无</w:t>
      </w:r>
    </w:p>
    <w:p w14:paraId="24EF7197" w14:textId="77777777" w:rsidR="00E32FE0" w:rsidRDefault="00000000">
      <w:pPr>
        <w:pStyle w:val="3"/>
        <w:spacing w:line="280" w:lineRule="exact"/>
        <w:jc w:val="left"/>
        <w:rPr>
          <w:rFonts w:ascii="Times New Roman" w:hAnsi="Times New Roman" w:cs="Times New Roman"/>
          <w:b/>
          <w:bCs/>
        </w:rPr>
      </w:pPr>
      <w:bookmarkStart w:id="442" w:name="_Toc989389"/>
      <w:r w:rsidRPr="005B5EC1">
        <w:rPr>
          <w:rFonts w:ascii="Times New Roman" w:hAnsi="Times New Roman" w:cs="Times New Roman"/>
          <w:b/>
          <w:bCs/>
        </w:rPr>
        <w:t>4</w:t>
      </w:r>
      <w:r w:rsidRPr="005B5EC1">
        <w:rPr>
          <w:rFonts w:ascii="Times New Roman" w:hAnsi="Times New Roman" w:cs="Times New Roman"/>
          <w:b/>
          <w:bCs/>
        </w:rPr>
        <w:t>、重要的共同经营</w:t>
      </w:r>
      <w:bookmarkEnd w:id="442"/>
    </w:p>
    <w:p w14:paraId="3D87D659" w14:textId="77777777" w:rsidR="00AF139E" w:rsidRDefault="00000000">
      <w:pPr>
        <w:pStyle w:val="a3"/>
        <w:divId w:val="1963800318"/>
        <w:rPr>
          <w:rFonts w:ascii="Times New Roman" w:hAnsi="Times New Roman" w:cs="Times New Roman"/>
          <w:sz w:val="18"/>
          <w:szCs w:val="18"/>
        </w:rPr>
      </w:pPr>
      <w:r w:rsidRPr="005B5EC1">
        <w:rPr>
          <w:rFonts w:ascii="Times New Roman" w:hAnsi="Times New Roman" w:cs="Times New Roman"/>
          <w:sz w:val="18"/>
          <w:szCs w:val="18"/>
        </w:rPr>
        <w:t>无</w:t>
      </w:r>
    </w:p>
    <w:p w14:paraId="0B2C13A1" w14:textId="77777777" w:rsidR="008B52A6" w:rsidRDefault="008B52A6" w:rsidP="008B52A6">
      <w:pPr>
        <w:pStyle w:val="3"/>
        <w:spacing w:line="280" w:lineRule="exact"/>
        <w:jc w:val="left"/>
        <w:rPr>
          <w:rFonts w:ascii="宋体" w:hAnsi="宋体" w:cs="宋体" w:hint="eastAsia"/>
          <w:b/>
          <w:bCs/>
        </w:rPr>
      </w:pPr>
      <w:bookmarkStart w:id="443" w:name="_Toc989390"/>
      <w:bookmarkStart w:id="444" w:name="_Toc989391"/>
      <w:r>
        <w:rPr>
          <w:rFonts w:ascii="宋体" w:hAnsi="宋体" w:cs="宋体"/>
          <w:b/>
          <w:bCs/>
        </w:rPr>
        <w:t>5、在未纳入合并财务报表范围的结构化主体中的权益</w:t>
      </w:r>
      <w:bookmarkEnd w:id="443"/>
    </w:p>
    <w:p w14:paraId="34F9C3F5" w14:textId="77777777" w:rsidR="008B52A6" w:rsidRDefault="008B52A6" w:rsidP="008B52A6">
      <w:pPr>
        <w:spacing w:before="100" w:after="100" w:line="240" w:lineRule="exact"/>
        <w:rPr>
          <w:rFonts w:ascii="宋体" w:eastAsia="宋体" w:hAnsi="宋体" w:cs="宋体" w:hint="eastAsia"/>
          <w:sz w:val="18"/>
          <w:szCs w:val="18"/>
        </w:rPr>
      </w:pPr>
      <w:r>
        <w:rPr>
          <w:rFonts w:ascii="宋体" w:eastAsia="宋体" w:hAnsi="宋体" w:cs="宋体"/>
          <w:sz w:val="18"/>
          <w:szCs w:val="18"/>
        </w:rPr>
        <w:t>未纳入合并财务报表范围的结构化主体的相关说明：</w:t>
      </w:r>
    </w:p>
    <w:p w14:paraId="6CDF57E1" w14:textId="77777777" w:rsidR="008B52A6" w:rsidRDefault="008B52A6" w:rsidP="008B52A6">
      <w:pPr>
        <w:pStyle w:val="a3"/>
        <w:rPr>
          <w:rFonts w:hint="eastAsia"/>
          <w:sz w:val="18"/>
          <w:szCs w:val="18"/>
        </w:rPr>
      </w:pPr>
      <w:r>
        <w:rPr>
          <w:rFonts w:hint="eastAsia"/>
          <w:sz w:val="18"/>
          <w:szCs w:val="18"/>
        </w:rPr>
        <w:t>无</w:t>
      </w:r>
    </w:p>
    <w:p w14:paraId="1F36D659" w14:textId="77777777" w:rsidR="00E32FE0" w:rsidRPr="005B5EC1" w:rsidRDefault="00000000">
      <w:pPr>
        <w:pStyle w:val="3"/>
        <w:spacing w:line="280" w:lineRule="exact"/>
        <w:jc w:val="left"/>
        <w:rPr>
          <w:rFonts w:ascii="Times New Roman" w:hAnsi="Times New Roman" w:cs="Times New Roman"/>
          <w:b/>
          <w:bCs/>
        </w:rPr>
      </w:pPr>
      <w:r w:rsidRPr="005B5EC1">
        <w:rPr>
          <w:rFonts w:ascii="Times New Roman" w:hAnsi="Times New Roman" w:cs="Times New Roman"/>
          <w:b/>
          <w:bCs/>
        </w:rPr>
        <w:t>6</w:t>
      </w:r>
      <w:r w:rsidRPr="005B5EC1">
        <w:rPr>
          <w:rFonts w:ascii="Times New Roman" w:hAnsi="Times New Roman" w:cs="Times New Roman"/>
          <w:b/>
          <w:bCs/>
        </w:rPr>
        <w:t>、其他</w:t>
      </w:r>
      <w:bookmarkEnd w:id="444"/>
    </w:p>
    <w:p w14:paraId="15C9C8C9" w14:textId="77777777" w:rsidR="00AF139E" w:rsidRPr="005B5EC1" w:rsidRDefault="00000000">
      <w:pPr>
        <w:pStyle w:val="a3"/>
        <w:divId w:val="1907759165"/>
        <w:rPr>
          <w:rFonts w:ascii="Times New Roman" w:hAnsi="Times New Roman" w:cs="Times New Roman"/>
          <w:sz w:val="18"/>
          <w:szCs w:val="18"/>
        </w:rPr>
      </w:pPr>
      <w:r w:rsidRPr="005B5EC1">
        <w:rPr>
          <w:rFonts w:ascii="Times New Roman" w:hAnsi="Times New Roman" w:cs="Times New Roman"/>
          <w:sz w:val="18"/>
          <w:szCs w:val="18"/>
        </w:rPr>
        <w:t>无</w:t>
      </w:r>
    </w:p>
    <w:p w14:paraId="79288030"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45" w:name="_Toc989392"/>
      <w:r w:rsidRPr="005B5EC1">
        <w:rPr>
          <w:rFonts w:ascii="Times New Roman" w:eastAsia="宋体" w:hAnsi="Times New Roman" w:cs="Times New Roman"/>
          <w:b/>
          <w:bCs/>
          <w:sz w:val="24"/>
          <w:szCs w:val="24"/>
        </w:rPr>
        <w:t>十一、政府补助</w:t>
      </w:r>
      <w:bookmarkEnd w:id="445"/>
    </w:p>
    <w:p w14:paraId="21CAA1FB" w14:textId="77777777" w:rsidR="00E32FE0" w:rsidRPr="005B5EC1" w:rsidRDefault="00000000">
      <w:pPr>
        <w:pStyle w:val="3"/>
        <w:spacing w:line="280" w:lineRule="exact"/>
        <w:jc w:val="left"/>
        <w:rPr>
          <w:rFonts w:ascii="Times New Roman" w:hAnsi="Times New Roman" w:cs="Times New Roman"/>
          <w:b/>
          <w:bCs/>
        </w:rPr>
      </w:pPr>
      <w:bookmarkStart w:id="446" w:name="_Toc989393"/>
      <w:r w:rsidRPr="005B5EC1">
        <w:rPr>
          <w:rFonts w:ascii="Times New Roman" w:hAnsi="Times New Roman" w:cs="Times New Roman"/>
          <w:b/>
          <w:bCs/>
        </w:rPr>
        <w:t>1</w:t>
      </w:r>
      <w:r w:rsidRPr="005B5EC1">
        <w:rPr>
          <w:rFonts w:ascii="Times New Roman" w:hAnsi="Times New Roman" w:cs="Times New Roman"/>
          <w:b/>
          <w:bCs/>
        </w:rPr>
        <w:t>、报告期末按应收金额确认的政府补助</w:t>
      </w:r>
      <w:bookmarkEnd w:id="446"/>
    </w:p>
    <w:p w14:paraId="75B4ED6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905673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未能在预计时点收到预计金额的政府补助的原因</w:t>
      </w:r>
    </w:p>
    <w:p w14:paraId="1F562D5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816DD9D" w14:textId="77777777" w:rsidR="00E32FE0" w:rsidRPr="005B5EC1" w:rsidRDefault="00000000">
      <w:pPr>
        <w:pStyle w:val="3"/>
        <w:spacing w:line="280" w:lineRule="exact"/>
        <w:jc w:val="left"/>
        <w:rPr>
          <w:rFonts w:ascii="Times New Roman" w:hAnsi="Times New Roman" w:cs="Times New Roman"/>
          <w:b/>
          <w:bCs/>
        </w:rPr>
      </w:pPr>
      <w:bookmarkStart w:id="447" w:name="_Toc989394"/>
      <w:r w:rsidRPr="005B5EC1">
        <w:rPr>
          <w:rFonts w:ascii="Times New Roman" w:hAnsi="Times New Roman" w:cs="Times New Roman"/>
          <w:b/>
          <w:bCs/>
        </w:rPr>
        <w:t>2</w:t>
      </w:r>
      <w:r w:rsidRPr="005B5EC1">
        <w:rPr>
          <w:rFonts w:ascii="Times New Roman" w:hAnsi="Times New Roman" w:cs="Times New Roman"/>
          <w:b/>
          <w:bCs/>
        </w:rPr>
        <w:t>、涉及政府补助的负债项目</w:t>
      </w:r>
      <w:bookmarkEnd w:id="447"/>
    </w:p>
    <w:p w14:paraId="3040BCE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3E9BE733"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167"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0"/>
        <w:gridCol w:w="1271"/>
        <w:gridCol w:w="1271"/>
        <w:gridCol w:w="1271"/>
        <w:gridCol w:w="1271"/>
        <w:gridCol w:w="1271"/>
        <w:gridCol w:w="1271"/>
        <w:gridCol w:w="1271"/>
      </w:tblGrid>
      <w:tr w:rsidR="00E32FE0" w:rsidRPr="005B5EC1" w14:paraId="60846794" w14:textId="77777777" w:rsidTr="005B5EC1">
        <w:trPr>
          <w:trHeight w:val="244"/>
          <w:jc w:val="center"/>
        </w:trPr>
        <w:tc>
          <w:tcPr>
            <w:tcW w:w="1270" w:type="dxa"/>
            <w:tcBorders>
              <w:top w:val="single" w:sz="2" w:space="0" w:color="auto"/>
              <w:left w:val="single" w:sz="2" w:space="0" w:color="auto"/>
              <w:bottom w:val="single" w:sz="2" w:space="0" w:color="auto"/>
              <w:right w:val="single" w:sz="2" w:space="0" w:color="auto"/>
            </w:tcBorders>
            <w:shd w:val="clear" w:color="auto" w:fill="auto"/>
            <w:vAlign w:val="center"/>
          </w:tcPr>
          <w:p w14:paraId="7E015DF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会计科目</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157F207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490DCE7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本期新增补助金额</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31B5DB5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本期计入营业外收入金额</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28AD1A2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本期转入其他收益金额</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13D06FA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本期其他变动</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3E5849B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5C0FAD9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与资产</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收益相关</w:t>
            </w:r>
          </w:p>
        </w:tc>
      </w:tr>
      <w:tr w:rsidR="00E32FE0" w:rsidRPr="005B5EC1" w14:paraId="0768D10E" w14:textId="77777777" w:rsidTr="005B5EC1">
        <w:trPr>
          <w:trHeight w:val="244"/>
          <w:jc w:val="center"/>
        </w:trPr>
        <w:tc>
          <w:tcPr>
            <w:tcW w:w="1270" w:type="dxa"/>
            <w:tcBorders>
              <w:top w:val="single" w:sz="2" w:space="0" w:color="auto"/>
              <w:left w:val="single" w:sz="2" w:space="0" w:color="auto"/>
              <w:bottom w:val="single" w:sz="2" w:space="0" w:color="auto"/>
              <w:right w:val="single" w:sz="2" w:space="0" w:color="auto"/>
            </w:tcBorders>
            <w:shd w:val="clear" w:color="auto" w:fill="auto"/>
            <w:vAlign w:val="center"/>
          </w:tcPr>
          <w:p w14:paraId="5286892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递延收益</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0E48AF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39,612,043.24</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157078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11,799,729.03</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16D1DD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0C3176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3,957,511.61</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60948D5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3DFF17E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47,454,260.66</w:t>
            </w:r>
          </w:p>
        </w:tc>
        <w:tc>
          <w:tcPr>
            <w:tcW w:w="1271" w:type="dxa"/>
            <w:tcBorders>
              <w:top w:val="single" w:sz="2" w:space="0" w:color="auto"/>
              <w:left w:val="single" w:sz="2" w:space="0" w:color="auto"/>
              <w:bottom w:val="single" w:sz="2" w:space="0" w:color="auto"/>
              <w:right w:val="single" w:sz="2" w:space="0" w:color="auto"/>
            </w:tcBorders>
            <w:shd w:val="clear" w:color="auto" w:fill="auto"/>
            <w:vAlign w:val="center"/>
          </w:tcPr>
          <w:p w14:paraId="7E43BAF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与资产相关</w:t>
            </w:r>
          </w:p>
        </w:tc>
      </w:tr>
    </w:tbl>
    <w:p w14:paraId="5B28BD75" w14:textId="77777777" w:rsidR="00E32FE0" w:rsidRPr="005B5EC1" w:rsidRDefault="00000000">
      <w:pPr>
        <w:pStyle w:val="3"/>
        <w:spacing w:line="280" w:lineRule="exact"/>
        <w:jc w:val="left"/>
        <w:rPr>
          <w:rFonts w:ascii="Times New Roman" w:hAnsi="Times New Roman" w:cs="Times New Roman"/>
          <w:b/>
          <w:bCs/>
        </w:rPr>
      </w:pPr>
      <w:bookmarkStart w:id="448" w:name="_Toc989395"/>
      <w:r w:rsidRPr="005B5EC1">
        <w:rPr>
          <w:rFonts w:ascii="Times New Roman" w:hAnsi="Times New Roman" w:cs="Times New Roman"/>
          <w:b/>
          <w:bCs/>
        </w:rPr>
        <w:t>3</w:t>
      </w:r>
      <w:r w:rsidRPr="005B5EC1">
        <w:rPr>
          <w:rFonts w:ascii="Times New Roman" w:hAnsi="Times New Roman" w:cs="Times New Roman"/>
          <w:b/>
          <w:bCs/>
        </w:rPr>
        <w:t>、计入当期损益的政府补助</w:t>
      </w:r>
      <w:bookmarkEnd w:id="448"/>
    </w:p>
    <w:p w14:paraId="44F9144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228B114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51992F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21A5F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E87C7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FB167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7C6C0B1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CB9F63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0527A57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11,334,170.18</w:t>
            </w:r>
          </w:p>
        </w:tc>
        <w:tc>
          <w:tcPr>
            <w:tcW w:w="3213" w:type="dxa"/>
            <w:tcBorders>
              <w:top w:val="single" w:sz="2" w:space="0" w:color="auto"/>
              <w:left w:val="single" w:sz="2" w:space="0" w:color="auto"/>
              <w:bottom w:val="single" w:sz="2" w:space="0" w:color="auto"/>
              <w:right w:val="single" w:sz="2" w:space="0" w:color="auto"/>
            </w:tcBorders>
            <w:vAlign w:val="center"/>
          </w:tcPr>
          <w:p w14:paraId="5D03F8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19,539,669.33</w:t>
            </w:r>
          </w:p>
        </w:tc>
      </w:tr>
      <w:tr w:rsidR="00E32FE0" w:rsidRPr="005B5EC1" w14:paraId="48BC38C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7F2438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04165C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3,957,511.61</w:t>
            </w:r>
          </w:p>
        </w:tc>
        <w:tc>
          <w:tcPr>
            <w:tcW w:w="3213" w:type="dxa"/>
            <w:tcBorders>
              <w:top w:val="single" w:sz="2" w:space="0" w:color="auto"/>
              <w:left w:val="single" w:sz="2" w:space="0" w:color="auto"/>
              <w:bottom w:val="single" w:sz="2" w:space="0" w:color="auto"/>
              <w:right w:val="single" w:sz="2" w:space="0" w:color="auto"/>
            </w:tcBorders>
            <w:vAlign w:val="center"/>
          </w:tcPr>
          <w:p w14:paraId="68D8302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3,968,000.45</w:t>
            </w:r>
          </w:p>
        </w:tc>
      </w:tr>
      <w:tr w:rsidR="00E32FE0" w:rsidRPr="005B5EC1" w14:paraId="03DD806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7DB511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33C279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4,020.00</w:t>
            </w:r>
          </w:p>
        </w:tc>
        <w:tc>
          <w:tcPr>
            <w:tcW w:w="3213" w:type="dxa"/>
            <w:tcBorders>
              <w:top w:val="single" w:sz="2" w:space="0" w:color="auto"/>
              <w:left w:val="single" w:sz="2" w:space="0" w:color="auto"/>
              <w:bottom w:val="single" w:sz="2" w:space="0" w:color="auto"/>
              <w:right w:val="single" w:sz="2" w:space="0" w:color="auto"/>
            </w:tcBorders>
            <w:vAlign w:val="center"/>
          </w:tcPr>
          <w:p w14:paraId="46B0B35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076FD2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392C64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0CE799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15,295,701.79</w:t>
            </w:r>
          </w:p>
        </w:tc>
        <w:tc>
          <w:tcPr>
            <w:tcW w:w="3213" w:type="dxa"/>
            <w:tcBorders>
              <w:top w:val="single" w:sz="2" w:space="0" w:color="auto"/>
              <w:left w:val="single" w:sz="2" w:space="0" w:color="auto"/>
              <w:bottom w:val="single" w:sz="2" w:space="0" w:color="auto"/>
              <w:right w:val="single" w:sz="2" w:space="0" w:color="auto"/>
            </w:tcBorders>
            <w:vAlign w:val="center"/>
          </w:tcPr>
          <w:p w14:paraId="5C1BC59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23,507,669.78</w:t>
            </w:r>
          </w:p>
        </w:tc>
      </w:tr>
    </w:tbl>
    <w:p w14:paraId="5FD9B05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3D4E8273" w14:textId="77777777" w:rsidR="00AF139E" w:rsidRPr="005B5EC1" w:rsidRDefault="00000000">
      <w:pPr>
        <w:pStyle w:val="a3"/>
        <w:divId w:val="1170674939"/>
        <w:rPr>
          <w:rFonts w:ascii="Times New Roman" w:hAnsi="Times New Roman" w:cs="Times New Roman"/>
          <w:sz w:val="18"/>
          <w:szCs w:val="18"/>
        </w:rPr>
      </w:pPr>
      <w:r w:rsidRPr="005B5EC1">
        <w:rPr>
          <w:rFonts w:ascii="Times New Roman" w:hAnsi="Times New Roman" w:cs="Times New Roman"/>
          <w:sz w:val="18"/>
          <w:szCs w:val="18"/>
        </w:rPr>
        <w:lastRenderedPageBreak/>
        <w:t>无</w:t>
      </w:r>
    </w:p>
    <w:p w14:paraId="07EF39E4"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49" w:name="_Toc989396"/>
      <w:r w:rsidRPr="005B5EC1">
        <w:rPr>
          <w:rFonts w:ascii="Times New Roman" w:eastAsia="宋体" w:hAnsi="Times New Roman" w:cs="Times New Roman"/>
          <w:b/>
          <w:bCs/>
          <w:sz w:val="24"/>
          <w:szCs w:val="24"/>
        </w:rPr>
        <w:t>十二、与金融工具相关的风险</w:t>
      </w:r>
      <w:bookmarkEnd w:id="449"/>
    </w:p>
    <w:p w14:paraId="7F8C9792" w14:textId="258B996A" w:rsidR="00E32FE0" w:rsidRPr="005B5EC1" w:rsidRDefault="00000000">
      <w:pPr>
        <w:pStyle w:val="3"/>
        <w:numPr>
          <w:ilvl w:val="0"/>
          <w:numId w:val="2"/>
        </w:numPr>
        <w:spacing w:line="280" w:lineRule="exact"/>
        <w:jc w:val="left"/>
        <w:rPr>
          <w:rFonts w:ascii="Times New Roman" w:hAnsi="Times New Roman" w:cs="Times New Roman"/>
          <w:b/>
          <w:bCs/>
        </w:rPr>
      </w:pPr>
      <w:bookmarkStart w:id="450" w:name="_Toc989397"/>
      <w:r w:rsidRPr="005B5EC1">
        <w:rPr>
          <w:rFonts w:ascii="Times New Roman" w:hAnsi="Times New Roman" w:cs="Times New Roman"/>
          <w:b/>
          <w:bCs/>
        </w:rPr>
        <w:t>金融工具产生的各类风险</w:t>
      </w:r>
      <w:bookmarkEnd w:id="450"/>
    </w:p>
    <w:p w14:paraId="083C51E3" w14:textId="77777777" w:rsid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18"/>
          <w:szCs w:val="18"/>
        </w:rPr>
      </w:pPr>
      <w:r w:rsidRPr="00D05A56">
        <w:rPr>
          <w:rFonts w:ascii="Times New Roman" w:hAnsi="Times New Roman" w:cs="Times New Roman"/>
          <w:sz w:val="18"/>
          <w:szCs w:val="18"/>
        </w:rPr>
        <w:t>本集团的主要金融工具包括股权投资、债权投资、借款、应收款项、应付账款、可转换债券等，各项金融工具的详细情况说明见本附注</w:t>
      </w:r>
      <w:proofErr w:type="gramStart"/>
      <w:r w:rsidRPr="00D05A56">
        <w:rPr>
          <w:rFonts w:ascii="Times New Roman" w:hAnsi="Times New Roman" w:cs="Times New Roman"/>
          <w:sz w:val="18"/>
          <w:szCs w:val="18"/>
        </w:rPr>
        <w:t>六相关</w:t>
      </w:r>
      <w:proofErr w:type="gramEnd"/>
      <w:r w:rsidRPr="00D05A56">
        <w:rPr>
          <w:rFonts w:ascii="Times New Roman" w:hAnsi="Times New Roman" w:cs="Times New Roman"/>
          <w:sz w:val="18"/>
          <w:szCs w:val="18"/>
        </w:rPr>
        <w:t>项目。本集团从事风险管理的目标是在风险和收益之间取得适当的平衡，将风险对本集团经营业绩的负面影响降低到最低水平，使股东及其他权益投资者的利益最大化。基于该风险管理目标，本集团风险管理的基本策略是确定和分析本集团所面临的各种风险，建立适当的风险承受底线和进行风险管理，并及时可靠地对各种风险进行监督，将风险控制在限定的范围之内。</w:t>
      </w:r>
    </w:p>
    <w:p w14:paraId="1A33514E" w14:textId="35FC0DE4"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b/>
          <w:bCs/>
          <w:sz w:val="21"/>
          <w:szCs w:val="21"/>
        </w:rPr>
      </w:pPr>
      <w:r w:rsidRPr="00D05A56">
        <w:rPr>
          <w:rStyle w:val="a4"/>
          <w:rFonts w:ascii="Times New Roman" w:hAnsi="Times New Roman" w:cs="Times New Roman"/>
          <w:b w:val="0"/>
          <w:bCs w:val="0"/>
          <w:sz w:val="18"/>
          <w:szCs w:val="18"/>
        </w:rPr>
        <w:t>市场风险</w:t>
      </w:r>
    </w:p>
    <w:p w14:paraId="3DC2D229"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金融工具的市场风险，是指金融工具的公允价值或未来现金流量因市场价格变动而发生波动的风险，包括汇率风险、利率风险和其他价格风险。</w:t>
      </w:r>
    </w:p>
    <w:p w14:paraId="76054AE7"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本集团采用敏感性分析技术分析市场风险相关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14:paraId="44178238" w14:textId="77777777" w:rsidR="00AF139E" w:rsidRPr="00D05A56" w:rsidRDefault="00000000" w:rsidP="00D05A56">
      <w:pPr>
        <w:widowControl/>
        <w:spacing w:after="0" w:line="276" w:lineRule="auto"/>
        <w:ind w:left="360"/>
        <w:divId w:val="2083523408"/>
        <w:rPr>
          <w:rFonts w:ascii="Times New Roman" w:eastAsia="宋体" w:hAnsi="Times New Roman" w:cs="Times New Roman"/>
          <w:sz w:val="18"/>
          <w:szCs w:val="18"/>
        </w:rPr>
      </w:pPr>
      <w:r w:rsidRPr="00D05A56">
        <w:rPr>
          <w:rFonts w:ascii="Times New Roman" w:eastAsia="宋体" w:hAnsi="Times New Roman" w:cs="Times New Roman"/>
          <w:sz w:val="18"/>
          <w:szCs w:val="18"/>
        </w:rPr>
        <w:t>汇率风险</w:t>
      </w:r>
    </w:p>
    <w:p w14:paraId="54EB7363" w14:textId="70464A55"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汇率风险，是指金融工具的公允价值或未来现金流量因外汇汇率变动而发生波动的风险。本集团承受外汇风险主要与美元、欧元、日元有关，除本集团的几个下属子公司以美元、欧元、日元进行采购和销售外，本集团的其他主要业务活动以人民币计价结算。汇率风险对本集团的交易及境外经营的业绩均构成影响。于</w:t>
      </w:r>
      <w:r w:rsidRPr="00D05A56">
        <w:rPr>
          <w:rFonts w:ascii="Times New Roman" w:hAnsi="Times New Roman" w:cs="Times New Roman"/>
          <w:sz w:val="18"/>
          <w:szCs w:val="18"/>
        </w:rPr>
        <w:t>2024</w:t>
      </w:r>
      <w:r w:rsidRPr="00D05A56">
        <w:rPr>
          <w:rFonts w:ascii="Times New Roman" w:hAnsi="Times New Roman" w:cs="Times New Roman"/>
          <w:sz w:val="18"/>
          <w:szCs w:val="18"/>
        </w:rPr>
        <w:t>年</w:t>
      </w:r>
      <w:r w:rsidRPr="00D05A56">
        <w:rPr>
          <w:rFonts w:ascii="Times New Roman" w:hAnsi="Times New Roman" w:cs="Times New Roman"/>
          <w:sz w:val="18"/>
          <w:szCs w:val="18"/>
        </w:rPr>
        <w:t>12</w:t>
      </w:r>
      <w:r w:rsidRPr="00D05A56">
        <w:rPr>
          <w:rFonts w:ascii="Times New Roman" w:hAnsi="Times New Roman" w:cs="Times New Roman"/>
          <w:sz w:val="18"/>
          <w:szCs w:val="18"/>
        </w:rPr>
        <w:t>月</w:t>
      </w:r>
      <w:r w:rsidRPr="00D05A56">
        <w:rPr>
          <w:rFonts w:ascii="Times New Roman" w:hAnsi="Times New Roman" w:cs="Times New Roman"/>
          <w:sz w:val="18"/>
          <w:szCs w:val="18"/>
        </w:rPr>
        <w:t>31</w:t>
      </w:r>
      <w:r w:rsidRPr="00D05A56">
        <w:rPr>
          <w:rFonts w:ascii="Times New Roman" w:hAnsi="Times New Roman" w:cs="Times New Roman"/>
          <w:sz w:val="18"/>
          <w:szCs w:val="18"/>
        </w:rPr>
        <w:t>日，本集团的外币货币性项目余额参见本附注</w:t>
      </w:r>
      <w:r w:rsidR="00221397">
        <w:rPr>
          <w:rFonts w:ascii="Times New Roman" w:hAnsi="Times New Roman" w:cs="Times New Roman" w:hint="eastAsia"/>
          <w:sz w:val="18"/>
          <w:szCs w:val="18"/>
        </w:rPr>
        <w:t>七</w:t>
      </w:r>
      <w:r w:rsidRPr="00D05A56">
        <w:rPr>
          <w:rFonts w:ascii="Times New Roman" w:hAnsi="Times New Roman" w:cs="Times New Roman"/>
          <w:sz w:val="18"/>
          <w:szCs w:val="18"/>
        </w:rPr>
        <w:t>、</w:t>
      </w:r>
      <w:r w:rsidR="00221397">
        <w:rPr>
          <w:rFonts w:ascii="Times New Roman" w:hAnsi="Times New Roman" w:cs="Times New Roman" w:hint="eastAsia"/>
          <w:sz w:val="18"/>
          <w:szCs w:val="18"/>
        </w:rPr>
        <w:t>80</w:t>
      </w:r>
      <w:r w:rsidRPr="00D05A56">
        <w:rPr>
          <w:rFonts w:ascii="Times New Roman" w:hAnsi="Times New Roman" w:cs="Times New Roman"/>
          <w:sz w:val="18"/>
          <w:szCs w:val="18"/>
        </w:rPr>
        <w:t xml:space="preserve"> “</w:t>
      </w:r>
      <w:r w:rsidRPr="00D05A56">
        <w:rPr>
          <w:rFonts w:ascii="Times New Roman" w:hAnsi="Times New Roman" w:cs="Times New Roman"/>
          <w:sz w:val="18"/>
          <w:szCs w:val="18"/>
        </w:rPr>
        <w:t>外币货币性项目</w:t>
      </w:r>
      <w:r w:rsidRPr="00D05A56">
        <w:rPr>
          <w:rFonts w:ascii="Times New Roman" w:hAnsi="Times New Roman" w:cs="Times New Roman"/>
          <w:sz w:val="18"/>
          <w:szCs w:val="18"/>
        </w:rPr>
        <w:t>”</w:t>
      </w:r>
      <w:r w:rsidRPr="00D05A56">
        <w:rPr>
          <w:rFonts w:ascii="Times New Roman" w:hAnsi="Times New Roman" w:cs="Times New Roman"/>
          <w:sz w:val="18"/>
          <w:szCs w:val="18"/>
        </w:rPr>
        <w:t>。</w:t>
      </w:r>
    </w:p>
    <w:p w14:paraId="67B67D05"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本集团密切关注汇率变动对本</w:t>
      </w:r>
      <w:proofErr w:type="gramStart"/>
      <w:r w:rsidRPr="00D05A56">
        <w:rPr>
          <w:rFonts w:ascii="Times New Roman" w:hAnsi="Times New Roman" w:cs="Times New Roman"/>
          <w:sz w:val="18"/>
          <w:szCs w:val="18"/>
        </w:rPr>
        <w:t>集团汇率</w:t>
      </w:r>
      <w:proofErr w:type="gramEnd"/>
      <w:r w:rsidRPr="00D05A56">
        <w:rPr>
          <w:rFonts w:ascii="Times New Roman" w:hAnsi="Times New Roman" w:cs="Times New Roman"/>
          <w:sz w:val="18"/>
          <w:szCs w:val="18"/>
        </w:rPr>
        <w:t>风险的影响。本集团目前并未采取任何措施规避汇率风险。</w:t>
      </w:r>
    </w:p>
    <w:p w14:paraId="5EE723C6"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汇率风险的敏感性分析见下表，反映了在其他变量不变的假设下，以下所</w:t>
      </w:r>
      <w:proofErr w:type="gramStart"/>
      <w:r w:rsidRPr="00D05A56">
        <w:rPr>
          <w:rFonts w:ascii="Times New Roman" w:hAnsi="Times New Roman" w:cs="Times New Roman"/>
          <w:sz w:val="18"/>
          <w:szCs w:val="18"/>
        </w:rPr>
        <w:t>列外</w:t>
      </w:r>
      <w:proofErr w:type="gramEnd"/>
      <w:r w:rsidRPr="00D05A56">
        <w:rPr>
          <w:rFonts w:ascii="Times New Roman" w:hAnsi="Times New Roman" w:cs="Times New Roman"/>
          <w:sz w:val="18"/>
          <w:szCs w:val="18"/>
        </w:rPr>
        <w:t>币汇率发生合理、可能的变动时，由于货币性资产和货币性负债的公允价值变化将对净利润和股东权益产生的影响。</w:t>
      </w:r>
      <w:r w:rsidRPr="00D05A56">
        <w:rPr>
          <w:rFonts w:ascii="Times New Roman" w:hAnsi="Times New Roman" w:cs="Times New Roman"/>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5"/>
        <w:gridCol w:w="1431"/>
        <w:gridCol w:w="1431"/>
        <w:gridCol w:w="1395"/>
        <w:gridCol w:w="1391"/>
      </w:tblGrid>
      <w:tr w:rsidR="00AF139E" w:rsidRPr="005B5EC1" w14:paraId="67B2EAF3" w14:textId="77777777" w:rsidTr="00D05A56">
        <w:trPr>
          <w:divId w:val="2083523408"/>
          <w:trHeight w:val="340"/>
        </w:trPr>
        <w:tc>
          <w:tcPr>
            <w:tcW w:w="2134" w:type="pct"/>
            <w:vMerge w:val="restart"/>
            <w:tcMar>
              <w:top w:w="0" w:type="dxa"/>
              <w:left w:w="108" w:type="dxa"/>
              <w:bottom w:w="0" w:type="dxa"/>
              <w:right w:w="108" w:type="dxa"/>
            </w:tcMar>
            <w:vAlign w:val="center"/>
            <w:hideMark/>
          </w:tcPr>
          <w:p w14:paraId="64543F8A"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lastRenderedPageBreak/>
              <w:t>项目</w:t>
            </w:r>
          </w:p>
        </w:tc>
        <w:tc>
          <w:tcPr>
            <w:tcW w:w="1452" w:type="pct"/>
            <w:gridSpan w:val="2"/>
            <w:tcMar>
              <w:top w:w="0" w:type="dxa"/>
              <w:left w:w="108" w:type="dxa"/>
              <w:bottom w:w="0" w:type="dxa"/>
              <w:right w:w="108" w:type="dxa"/>
            </w:tcMar>
            <w:vAlign w:val="center"/>
            <w:hideMark/>
          </w:tcPr>
          <w:p w14:paraId="0F167E75"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本年</w:t>
            </w:r>
          </w:p>
        </w:tc>
        <w:tc>
          <w:tcPr>
            <w:tcW w:w="1414" w:type="pct"/>
            <w:gridSpan w:val="2"/>
            <w:tcMar>
              <w:top w:w="0" w:type="dxa"/>
              <w:left w:w="108" w:type="dxa"/>
              <w:bottom w:w="0" w:type="dxa"/>
              <w:right w:w="108" w:type="dxa"/>
            </w:tcMar>
            <w:vAlign w:val="center"/>
            <w:hideMark/>
          </w:tcPr>
          <w:p w14:paraId="6CFE0280"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上年</w:t>
            </w:r>
          </w:p>
        </w:tc>
      </w:tr>
      <w:tr w:rsidR="00AF139E" w:rsidRPr="005B5EC1" w14:paraId="33B6C95D" w14:textId="77777777" w:rsidTr="00D05A56">
        <w:trPr>
          <w:divId w:val="2083523408"/>
          <w:trHeight w:val="340"/>
        </w:trPr>
        <w:tc>
          <w:tcPr>
            <w:tcW w:w="0" w:type="auto"/>
            <w:vMerge/>
            <w:vAlign w:val="center"/>
            <w:hideMark/>
          </w:tcPr>
          <w:p w14:paraId="55EC4F42" w14:textId="77777777" w:rsidR="00AF139E" w:rsidRPr="005B5EC1" w:rsidRDefault="00AF139E" w:rsidP="00D05A56">
            <w:pPr>
              <w:spacing w:after="0" w:line="276" w:lineRule="auto"/>
              <w:rPr>
                <w:rFonts w:ascii="Times New Roman" w:eastAsia="宋体" w:hAnsi="Times New Roman" w:cs="Times New Roman"/>
                <w:sz w:val="21"/>
                <w:szCs w:val="21"/>
              </w:rPr>
            </w:pPr>
          </w:p>
        </w:tc>
        <w:tc>
          <w:tcPr>
            <w:tcW w:w="726" w:type="pct"/>
            <w:tcMar>
              <w:top w:w="0" w:type="dxa"/>
              <w:left w:w="108" w:type="dxa"/>
              <w:bottom w:w="0" w:type="dxa"/>
              <w:right w:w="108" w:type="dxa"/>
            </w:tcMar>
            <w:vAlign w:val="center"/>
            <w:hideMark/>
          </w:tcPr>
          <w:p w14:paraId="65A96ECA"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对利润的影响</w:t>
            </w:r>
          </w:p>
        </w:tc>
        <w:tc>
          <w:tcPr>
            <w:tcW w:w="726" w:type="pct"/>
            <w:tcMar>
              <w:top w:w="0" w:type="dxa"/>
              <w:left w:w="108" w:type="dxa"/>
              <w:bottom w:w="0" w:type="dxa"/>
              <w:right w:w="108" w:type="dxa"/>
            </w:tcMar>
            <w:vAlign w:val="center"/>
            <w:hideMark/>
          </w:tcPr>
          <w:p w14:paraId="300C3717"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对股东权益的影响</w:t>
            </w:r>
          </w:p>
        </w:tc>
        <w:tc>
          <w:tcPr>
            <w:tcW w:w="708" w:type="pct"/>
            <w:tcMar>
              <w:top w:w="0" w:type="dxa"/>
              <w:left w:w="108" w:type="dxa"/>
              <w:bottom w:w="0" w:type="dxa"/>
              <w:right w:w="108" w:type="dxa"/>
            </w:tcMar>
            <w:vAlign w:val="center"/>
            <w:hideMark/>
          </w:tcPr>
          <w:p w14:paraId="5FAA42EC"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对利润的影响</w:t>
            </w:r>
          </w:p>
        </w:tc>
        <w:tc>
          <w:tcPr>
            <w:tcW w:w="706" w:type="pct"/>
            <w:tcMar>
              <w:top w:w="0" w:type="dxa"/>
              <w:left w:w="108" w:type="dxa"/>
              <w:bottom w:w="0" w:type="dxa"/>
              <w:right w:w="108" w:type="dxa"/>
            </w:tcMar>
            <w:vAlign w:val="center"/>
            <w:hideMark/>
          </w:tcPr>
          <w:p w14:paraId="21D64236"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对股东权益的影响</w:t>
            </w:r>
          </w:p>
        </w:tc>
      </w:tr>
      <w:tr w:rsidR="00AF139E" w:rsidRPr="005B5EC1" w14:paraId="142FDA28" w14:textId="77777777" w:rsidTr="00D05A56">
        <w:trPr>
          <w:divId w:val="2083523408"/>
          <w:trHeight w:val="340"/>
        </w:trPr>
        <w:tc>
          <w:tcPr>
            <w:tcW w:w="2134" w:type="pct"/>
            <w:tcMar>
              <w:top w:w="0" w:type="dxa"/>
              <w:left w:w="108" w:type="dxa"/>
              <w:bottom w:w="0" w:type="dxa"/>
              <w:right w:w="108" w:type="dxa"/>
            </w:tcMar>
            <w:vAlign w:val="center"/>
            <w:hideMark/>
          </w:tcPr>
          <w:p w14:paraId="0657D406"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人民币对美元汇率增加</w:t>
            </w:r>
            <w:r w:rsidRPr="005B5EC1">
              <w:rPr>
                <w:rFonts w:ascii="Times New Roman" w:hAnsi="Times New Roman" w:cs="Times New Roman"/>
                <w:sz w:val="18"/>
                <w:szCs w:val="18"/>
              </w:rPr>
              <w:t>100</w:t>
            </w:r>
            <w:r w:rsidRPr="005B5EC1">
              <w:rPr>
                <w:rFonts w:ascii="Times New Roman" w:hAnsi="Times New Roman" w:cs="Times New Roman"/>
                <w:sz w:val="18"/>
                <w:szCs w:val="18"/>
              </w:rPr>
              <w:t>个基准点</w:t>
            </w:r>
          </w:p>
        </w:tc>
        <w:tc>
          <w:tcPr>
            <w:tcW w:w="726" w:type="pct"/>
            <w:tcMar>
              <w:top w:w="0" w:type="dxa"/>
              <w:left w:w="108" w:type="dxa"/>
              <w:bottom w:w="0" w:type="dxa"/>
              <w:right w:w="108" w:type="dxa"/>
            </w:tcMar>
            <w:vAlign w:val="center"/>
            <w:hideMark/>
          </w:tcPr>
          <w:p w14:paraId="726D987C"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-78.61</w:t>
            </w:r>
          </w:p>
        </w:tc>
        <w:tc>
          <w:tcPr>
            <w:tcW w:w="726" w:type="pct"/>
            <w:tcMar>
              <w:top w:w="0" w:type="dxa"/>
              <w:left w:w="108" w:type="dxa"/>
              <w:bottom w:w="0" w:type="dxa"/>
              <w:right w:w="108" w:type="dxa"/>
            </w:tcMar>
            <w:vAlign w:val="center"/>
            <w:hideMark/>
          </w:tcPr>
          <w:p w14:paraId="717FB0A0"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-78.61</w:t>
            </w:r>
          </w:p>
        </w:tc>
        <w:tc>
          <w:tcPr>
            <w:tcW w:w="708" w:type="pct"/>
            <w:tcMar>
              <w:top w:w="0" w:type="dxa"/>
              <w:left w:w="108" w:type="dxa"/>
              <w:bottom w:w="0" w:type="dxa"/>
              <w:right w:w="108" w:type="dxa"/>
            </w:tcMar>
            <w:vAlign w:val="center"/>
            <w:hideMark/>
          </w:tcPr>
          <w:p w14:paraId="4AA7D366"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62.61</w:t>
            </w:r>
          </w:p>
        </w:tc>
        <w:tc>
          <w:tcPr>
            <w:tcW w:w="706" w:type="pct"/>
            <w:tcMar>
              <w:top w:w="0" w:type="dxa"/>
              <w:left w:w="108" w:type="dxa"/>
              <w:bottom w:w="0" w:type="dxa"/>
              <w:right w:w="108" w:type="dxa"/>
            </w:tcMar>
            <w:vAlign w:val="center"/>
            <w:hideMark/>
          </w:tcPr>
          <w:p w14:paraId="2365D1D7"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62.61</w:t>
            </w:r>
          </w:p>
        </w:tc>
      </w:tr>
      <w:tr w:rsidR="00AF139E" w:rsidRPr="005B5EC1" w14:paraId="5E95020A" w14:textId="77777777" w:rsidTr="00D05A56">
        <w:trPr>
          <w:divId w:val="2083523408"/>
          <w:trHeight w:val="340"/>
        </w:trPr>
        <w:tc>
          <w:tcPr>
            <w:tcW w:w="2134" w:type="pct"/>
            <w:tcMar>
              <w:top w:w="0" w:type="dxa"/>
              <w:left w:w="108" w:type="dxa"/>
              <w:bottom w:w="0" w:type="dxa"/>
              <w:right w:w="108" w:type="dxa"/>
            </w:tcMar>
            <w:vAlign w:val="center"/>
            <w:hideMark/>
          </w:tcPr>
          <w:p w14:paraId="0AD0FB17"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人民币对欧元汇率增加</w:t>
            </w:r>
            <w:r w:rsidRPr="005B5EC1">
              <w:rPr>
                <w:rFonts w:ascii="Times New Roman" w:hAnsi="Times New Roman" w:cs="Times New Roman"/>
                <w:sz w:val="18"/>
                <w:szCs w:val="18"/>
              </w:rPr>
              <w:t>100</w:t>
            </w:r>
            <w:r w:rsidRPr="005B5EC1">
              <w:rPr>
                <w:rFonts w:ascii="Times New Roman" w:hAnsi="Times New Roman" w:cs="Times New Roman"/>
                <w:sz w:val="18"/>
                <w:szCs w:val="18"/>
              </w:rPr>
              <w:t>个基准点</w:t>
            </w:r>
          </w:p>
        </w:tc>
        <w:tc>
          <w:tcPr>
            <w:tcW w:w="726" w:type="pct"/>
            <w:tcMar>
              <w:top w:w="0" w:type="dxa"/>
              <w:left w:w="108" w:type="dxa"/>
              <w:bottom w:w="0" w:type="dxa"/>
              <w:right w:w="108" w:type="dxa"/>
            </w:tcMar>
            <w:vAlign w:val="center"/>
            <w:hideMark/>
          </w:tcPr>
          <w:p w14:paraId="0E3D4A92"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726" w:type="pct"/>
            <w:tcMar>
              <w:top w:w="0" w:type="dxa"/>
              <w:left w:w="108" w:type="dxa"/>
              <w:bottom w:w="0" w:type="dxa"/>
              <w:right w:w="108" w:type="dxa"/>
            </w:tcMar>
            <w:vAlign w:val="center"/>
            <w:hideMark/>
          </w:tcPr>
          <w:p w14:paraId="606272C4"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708" w:type="pct"/>
            <w:tcMar>
              <w:top w:w="0" w:type="dxa"/>
              <w:left w:w="108" w:type="dxa"/>
              <w:bottom w:w="0" w:type="dxa"/>
              <w:right w:w="108" w:type="dxa"/>
            </w:tcMar>
            <w:vAlign w:val="center"/>
            <w:hideMark/>
          </w:tcPr>
          <w:p w14:paraId="3BD9BE18"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706" w:type="pct"/>
            <w:tcMar>
              <w:top w:w="0" w:type="dxa"/>
              <w:left w:w="108" w:type="dxa"/>
              <w:bottom w:w="0" w:type="dxa"/>
              <w:right w:w="108" w:type="dxa"/>
            </w:tcMar>
            <w:vAlign w:val="center"/>
            <w:hideMark/>
          </w:tcPr>
          <w:p w14:paraId="2B5E5FFC"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r>
      <w:tr w:rsidR="00AF139E" w:rsidRPr="005B5EC1" w14:paraId="124EA35D" w14:textId="77777777" w:rsidTr="00D05A56">
        <w:trPr>
          <w:divId w:val="2083523408"/>
          <w:trHeight w:val="340"/>
        </w:trPr>
        <w:tc>
          <w:tcPr>
            <w:tcW w:w="2134" w:type="pct"/>
            <w:tcMar>
              <w:top w:w="0" w:type="dxa"/>
              <w:left w:w="108" w:type="dxa"/>
              <w:bottom w:w="0" w:type="dxa"/>
              <w:right w:w="108" w:type="dxa"/>
            </w:tcMar>
            <w:vAlign w:val="center"/>
            <w:hideMark/>
          </w:tcPr>
          <w:p w14:paraId="157C1C04"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人民币对日元汇率增加</w:t>
            </w:r>
            <w:r w:rsidRPr="005B5EC1">
              <w:rPr>
                <w:rFonts w:ascii="Times New Roman" w:hAnsi="Times New Roman" w:cs="Times New Roman"/>
                <w:sz w:val="18"/>
                <w:szCs w:val="18"/>
              </w:rPr>
              <w:t>100</w:t>
            </w:r>
            <w:r w:rsidRPr="005B5EC1">
              <w:rPr>
                <w:rFonts w:ascii="Times New Roman" w:hAnsi="Times New Roman" w:cs="Times New Roman"/>
                <w:sz w:val="18"/>
                <w:szCs w:val="18"/>
              </w:rPr>
              <w:t>个基准点</w:t>
            </w:r>
          </w:p>
        </w:tc>
        <w:tc>
          <w:tcPr>
            <w:tcW w:w="726" w:type="pct"/>
            <w:tcMar>
              <w:top w:w="0" w:type="dxa"/>
              <w:left w:w="108" w:type="dxa"/>
              <w:bottom w:w="0" w:type="dxa"/>
              <w:right w:w="108" w:type="dxa"/>
            </w:tcMar>
            <w:vAlign w:val="center"/>
            <w:hideMark/>
          </w:tcPr>
          <w:p w14:paraId="554B8BE2"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18,200.00</w:t>
            </w:r>
          </w:p>
        </w:tc>
        <w:tc>
          <w:tcPr>
            <w:tcW w:w="726" w:type="pct"/>
            <w:tcMar>
              <w:top w:w="0" w:type="dxa"/>
              <w:left w:w="108" w:type="dxa"/>
              <w:bottom w:w="0" w:type="dxa"/>
              <w:right w:w="108" w:type="dxa"/>
            </w:tcMar>
            <w:vAlign w:val="center"/>
            <w:hideMark/>
          </w:tcPr>
          <w:p w14:paraId="4E42536A"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18,200.00</w:t>
            </w:r>
          </w:p>
        </w:tc>
        <w:tc>
          <w:tcPr>
            <w:tcW w:w="708" w:type="pct"/>
            <w:tcMar>
              <w:top w:w="0" w:type="dxa"/>
              <w:left w:w="108" w:type="dxa"/>
              <w:bottom w:w="0" w:type="dxa"/>
              <w:right w:w="108" w:type="dxa"/>
            </w:tcMar>
            <w:vAlign w:val="center"/>
            <w:hideMark/>
          </w:tcPr>
          <w:p w14:paraId="6186DC14"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18,200.00</w:t>
            </w:r>
          </w:p>
        </w:tc>
        <w:tc>
          <w:tcPr>
            <w:tcW w:w="706" w:type="pct"/>
            <w:tcMar>
              <w:top w:w="0" w:type="dxa"/>
              <w:left w:w="108" w:type="dxa"/>
              <w:bottom w:w="0" w:type="dxa"/>
              <w:right w:w="108" w:type="dxa"/>
            </w:tcMar>
            <w:vAlign w:val="center"/>
            <w:hideMark/>
          </w:tcPr>
          <w:p w14:paraId="0DB5CB8D"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18,200.00</w:t>
            </w:r>
          </w:p>
        </w:tc>
      </w:tr>
    </w:tbl>
    <w:p w14:paraId="6DDDD0AB" w14:textId="77777777" w:rsidR="00AF139E" w:rsidRPr="00D05A56" w:rsidRDefault="00000000" w:rsidP="00D05A56">
      <w:pPr>
        <w:pStyle w:val="16"/>
        <w:spacing w:before="0" w:beforeAutospacing="0" w:after="0" w:afterAutospacing="0" w:line="276" w:lineRule="auto"/>
        <w:ind w:firstLineChars="200" w:firstLine="360"/>
        <w:divId w:val="2083523408"/>
        <w:rPr>
          <w:rFonts w:ascii="Times New Roman" w:hAnsi="Times New Roman" w:cs="Times New Roman"/>
          <w:sz w:val="18"/>
          <w:szCs w:val="18"/>
        </w:rPr>
      </w:pPr>
      <w:r w:rsidRPr="00D05A56">
        <w:rPr>
          <w:rFonts w:ascii="Times New Roman" w:hAnsi="Times New Roman" w:cs="Times New Roman"/>
          <w:sz w:val="18"/>
          <w:szCs w:val="18"/>
        </w:rPr>
        <w:t>注</w:t>
      </w:r>
      <w:r w:rsidRPr="00D05A56">
        <w:rPr>
          <w:rFonts w:ascii="Times New Roman" w:hAnsi="Times New Roman" w:cs="Times New Roman"/>
          <w:sz w:val="18"/>
          <w:szCs w:val="18"/>
        </w:rPr>
        <w:t>1</w:t>
      </w:r>
      <w:r w:rsidRPr="00D05A56">
        <w:rPr>
          <w:rFonts w:ascii="Times New Roman" w:hAnsi="Times New Roman" w:cs="Times New Roman"/>
          <w:sz w:val="18"/>
          <w:szCs w:val="18"/>
        </w:rPr>
        <w:t>：上表以正数表示增加，以负数表示减少。</w:t>
      </w:r>
    </w:p>
    <w:p w14:paraId="719B1E90" w14:textId="77777777" w:rsidR="00AF139E" w:rsidRPr="00D05A56" w:rsidRDefault="00000000" w:rsidP="00D05A56">
      <w:pPr>
        <w:pStyle w:val="16"/>
        <w:spacing w:before="0" w:beforeAutospacing="0" w:after="0" w:afterAutospacing="0" w:line="276" w:lineRule="auto"/>
        <w:ind w:firstLineChars="200" w:firstLine="360"/>
        <w:divId w:val="2083523408"/>
        <w:rPr>
          <w:rFonts w:ascii="Times New Roman" w:hAnsi="Times New Roman" w:cs="Times New Roman"/>
          <w:sz w:val="18"/>
          <w:szCs w:val="18"/>
        </w:rPr>
      </w:pPr>
      <w:r w:rsidRPr="00D05A56">
        <w:rPr>
          <w:rFonts w:ascii="Times New Roman" w:hAnsi="Times New Roman" w:cs="Times New Roman"/>
          <w:sz w:val="18"/>
          <w:szCs w:val="18"/>
        </w:rPr>
        <w:t>注</w:t>
      </w:r>
      <w:r w:rsidRPr="00D05A56">
        <w:rPr>
          <w:rFonts w:ascii="Times New Roman" w:hAnsi="Times New Roman" w:cs="Times New Roman"/>
          <w:sz w:val="18"/>
          <w:szCs w:val="18"/>
        </w:rPr>
        <w:t>2</w:t>
      </w:r>
      <w:r w:rsidRPr="00D05A56">
        <w:rPr>
          <w:rFonts w:ascii="Times New Roman" w:hAnsi="Times New Roman" w:cs="Times New Roman"/>
          <w:sz w:val="18"/>
          <w:szCs w:val="18"/>
        </w:rPr>
        <w:t>：上表的股东权益变动不包括留存收益。</w:t>
      </w:r>
    </w:p>
    <w:p w14:paraId="66F0709F" w14:textId="77777777" w:rsidR="00AF139E" w:rsidRPr="00D05A56" w:rsidRDefault="00000000" w:rsidP="00D05A56">
      <w:pPr>
        <w:widowControl/>
        <w:spacing w:after="0" w:line="276" w:lineRule="auto"/>
        <w:ind w:left="360"/>
        <w:divId w:val="2083523408"/>
        <w:rPr>
          <w:rFonts w:ascii="Times New Roman" w:eastAsia="宋体" w:hAnsi="Times New Roman" w:cs="Times New Roman"/>
          <w:sz w:val="18"/>
          <w:szCs w:val="18"/>
        </w:rPr>
      </w:pPr>
      <w:r w:rsidRPr="00D05A56">
        <w:rPr>
          <w:rFonts w:ascii="Times New Roman" w:eastAsia="宋体" w:hAnsi="Times New Roman" w:cs="Times New Roman"/>
          <w:sz w:val="18"/>
          <w:szCs w:val="18"/>
        </w:rPr>
        <w:t>利率风险</w:t>
      </w:r>
    </w:p>
    <w:p w14:paraId="311D7CC6"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利率风险，是指金融工具的公允价值或未来现金流量因市场利率变动而发生波动的风险。本集团的利率风险产生于银行借款及应付债券等带息债务。浮动利率的金融负债使本集团面临现金流量利率风险，固定利率的金融负债使本集团面临公允价值利率风险。本集团根据当时的市场环境来决定固定利率及浮动利率合同的相对比例。于</w:t>
      </w:r>
      <w:r w:rsidRPr="00D05A56">
        <w:rPr>
          <w:rFonts w:ascii="Times New Roman" w:hAnsi="Times New Roman" w:cs="Times New Roman"/>
          <w:sz w:val="18"/>
          <w:szCs w:val="18"/>
        </w:rPr>
        <w:t>2024</w:t>
      </w:r>
      <w:r w:rsidRPr="00D05A56">
        <w:rPr>
          <w:rFonts w:ascii="Times New Roman" w:hAnsi="Times New Roman" w:cs="Times New Roman"/>
          <w:sz w:val="18"/>
          <w:szCs w:val="18"/>
        </w:rPr>
        <w:t>年</w:t>
      </w:r>
      <w:r w:rsidRPr="00D05A56">
        <w:rPr>
          <w:rFonts w:ascii="Times New Roman" w:hAnsi="Times New Roman" w:cs="Times New Roman"/>
          <w:sz w:val="18"/>
          <w:szCs w:val="18"/>
        </w:rPr>
        <w:t>12</w:t>
      </w:r>
      <w:r w:rsidRPr="00D05A56">
        <w:rPr>
          <w:rFonts w:ascii="Times New Roman" w:hAnsi="Times New Roman" w:cs="Times New Roman"/>
          <w:sz w:val="18"/>
          <w:szCs w:val="18"/>
        </w:rPr>
        <w:t>月</w:t>
      </w:r>
      <w:r w:rsidRPr="00D05A56">
        <w:rPr>
          <w:rFonts w:ascii="Times New Roman" w:hAnsi="Times New Roman" w:cs="Times New Roman"/>
          <w:sz w:val="18"/>
          <w:szCs w:val="18"/>
        </w:rPr>
        <w:t>31</w:t>
      </w:r>
      <w:r w:rsidRPr="00D05A56">
        <w:rPr>
          <w:rFonts w:ascii="Times New Roman" w:hAnsi="Times New Roman" w:cs="Times New Roman"/>
          <w:sz w:val="18"/>
          <w:szCs w:val="18"/>
        </w:rPr>
        <w:t>日，本集团的带息债务主要为浮动利率借款合同，金额合计为</w:t>
      </w:r>
      <w:r w:rsidRPr="00D05A56">
        <w:rPr>
          <w:rFonts w:ascii="Times New Roman" w:hAnsi="Times New Roman" w:cs="Times New Roman"/>
          <w:sz w:val="18"/>
          <w:szCs w:val="18"/>
        </w:rPr>
        <w:t>263,808,541.91</w:t>
      </w:r>
      <w:r w:rsidRPr="00D05A56">
        <w:rPr>
          <w:rFonts w:ascii="Times New Roman" w:hAnsi="Times New Roman" w:cs="Times New Roman"/>
          <w:sz w:val="18"/>
          <w:szCs w:val="18"/>
        </w:rPr>
        <w:t>元，及固定利率合同金额为</w:t>
      </w:r>
      <w:r w:rsidRPr="00D05A56">
        <w:rPr>
          <w:rFonts w:ascii="Times New Roman" w:hAnsi="Times New Roman" w:cs="Times New Roman"/>
          <w:sz w:val="18"/>
          <w:szCs w:val="18"/>
        </w:rPr>
        <w:t>1,723,201,845.17  </w:t>
      </w:r>
      <w:r w:rsidRPr="00D05A56">
        <w:rPr>
          <w:rFonts w:ascii="Times New Roman" w:hAnsi="Times New Roman" w:cs="Times New Roman"/>
          <w:sz w:val="18"/>
          <w:szCs w:val="18"/>
        </w:rPr>
        <w:t>元。</w:t>
      </w:r>
    </w:p>
    <w:p w14:paraId="534878D1"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利率风险的敏感性分析见下表，反映了在其他变量不变的假设下，浮动利率金融资产和负债的利率发生合理、可能的变动时，将对净利润和股东权益产生的影响。</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0"/>
        <w:gridCol w:w="1431"/>
        <w:gridCol w:w="1447"/>
        <w:gridCol w:w="1605"/>
        <w:gridCol w:w="1605"/>
      </w:tblGrid>
      <w:tr w:rsidR="00AF139E" w:rsidRPr="005B5EC1" w14:paraId="45216DBB" w14:textId="77777777" w:rsidTr="00D05A56">
        <w:trPr>
          <w:divId w:val="2083523408"/>
          <w:trHeight w:val="340"/>
        </w:trPr>
        <w:tc>
          <w:tcPr>
            <w:tcW w:w="1890" w:type="pct"/>
            <w:vMerge w:val="restart"/>
            <w:tcMar>
              <w:top w:w="0" w:type="dxa"/>
              <w:left w:w="108" w:type="dxa"/>
              <w:bottom w:w="0" w:type="dxa"/>
              <w:right w:w="108" w:type="dxa"/>
            </w:tcMar>
            <w:vAlign w:val="center"/>
            <w:hideMark/>
          </w:tcPr>
          <w:p w14:paraId="1E4FCF4E"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1470" w:type="pct"/>
            <w:gridSpan w:val="2"/>
            <w:tcMar>
              <w:top w:w="0" w:type="dxa"/>
              <w:left w:w="108" w:type="dxa"/>
              <w:bottom w:w="0" w:type="dxa"/>
              <w:right w:w="108" w:type="dxa"/>
            </w:tcMar>
            <w:vAlign w:val="center"/>
            <w:hideMark/>
          </w:tcPr>
          <w:p w14:paraId="76D0B3F5"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本年</w:t>
            </w:r>
          </w:p>
        </w:tc>
        <w:tc>
          <w:tcPr>
            <w:tcW w:w="1640" w:type="pct"/>
            <w:gridSpan w:val="2"/>
            <w:tcMar>
              <w:top w:w="0" w:type="dxa"/>
              <w:left w:w="108" w:type="dxa"/>
              <w:bottom w:w="0" w:type="dxa"/>
              <w:right w:w="108" w:type="dxa"/>
            </w:tcMar>
            <w:vAlign w:val="center"/>
            <w:hideMark/>
          </w:tcPr>
          <w:p w14:paraId="3F94A8ED"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上年</w:t>
            </w:r>
          </w:p>
        </w:tc>
      </w:tr>
      <w:tr w:rsidR="00AF139E" w:rsidRPr="005B5EC1" w14:paraId="45070CBF" w14:textId="77777777" w:rsidTr="00D05A56">
        <w:trPr>
          <w:divId w:val="2083523408"/>
          <w:trHeight w:val="340"/>
        </w:trPr>
        <w:tc>
          <w:tcPr>
            <w:tcW w:w="0" w:type="auto"/>
            <w:vMerge/>
            <w:vAlign w:val="center"/>
            <w:hideMark/>
          </w:tcPr>
          <w:p w14:paraId="2E7B6C69" w14:textId="77777777" w:rsidR="00AF139E" w:rsidRPr="005B5EC1" w:rsidRDefault="00AF139E" w:rsidP="00D05A56">
            <w:pPr>
              <w:spacing w:after="0" w:line="276" w:lineRule="auto"/>
              <w:rPr>
                <w:rFonts w:ascii="Times New Roman" w:eastAsia="宋体" w:hAnsi="Times New Roman" w:cs="Times New Roman"/>
                <w:sz w:val="21"/>
                <w:szCs w:val="21"/>
              </w:rPr>
            </w:pPr>
          </w:p>
        </w:tc>
        <w:tc>
          <w:tcPr>
            <w:tcW w:w="731" w:type="pct"/>
            <w:tcMar>
              <w:top w:w="0" w:type="dxa"/>
              <w:left w:w="108" w:type="dxa"/>
              <w:bottom w:w="0" w:type="dxa"/>
              <w:right w:w="108" w:type="dxa"/>
            </w:tcMar>
            <w:vAlign w:val="center"/>
            <w:hideMark/>
          </w:tcPr>
          <w:p w14:paraId="4FFACAF1"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对利润的影响</w:t>
            </w:r>
          </w:p>
        </w:tc>
        <w:tc>
          <w:tcPr>
            <w:tcW w:w="739" w:type="pct"/>
            <w:tcMar>
              <w:top w:w="0" w:type="dxa"/>
              <w:left w:w="108" w:type="dxa"/>
              <w:bottom w:w="0" w:type="dxa"/>
              <w:right w:w="108" w:type="dxa"/>
            </w:tcMar>
            <w:vAlign w:val="center"/>
            <w:hideMark/>
          </w:tcPr>
          <w:p w14:paraId="63484E60"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对股东权益的影响</w:t>
            </w:r>
          </w:p>
        </w:tc>
        <w:tc>
          <w:tcPr>
            <w:tcW w:w="820" w:type="pct"/>
            <w:tcMar>
              <w:top w:w="0" w:type="dxa"/>
              <w:left w:w="108" w:type="dxa"/>
              <w:bottom w:w="0" w:type="dxa"/>
              <w:right w:w="108" w:type="dxa"/>
            </w:tcMar>
            <w:vAlign w:val="center"/>
            <w:hideMark/>
          </w:tcPr>
          <w:p w14:paraId="67F39602"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对利润的影响</w:t>
            </w:r>
          </w:p>
        </w:tc>
        <w:tc>
          <w:tcPr>
            <w:tcW w:w="820" w:type="pct"/>
            <w:tcMar>
              <w:top w:w="0" w:type="dxa"/>
              <w:left w:w="108" w:type="dxa"/>
              <w:bottom w:w="0" w:type="dxa"/>
              <w:right w:w="108" w:type="dxa"/>
            </w:tcMar>
            <w:vAlign w:val="center"/>
            <w:hideMark/>
          </w:tcPr>
          <w:p w14:paraId="06CEC277"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对股东权益的影响</w:t>
            </w:r>
          </w:p>
        </w:tc>
      </w:tr>
      <w:tr w:rsidR="00AF139E" w:rsidRPr="005B5EC1" w14:paraId="0927C48E" w14:textId="77777777" w:rsidTr="00D05A56">
        <w:trPr>
          <w:divId w:val="2083523408"/>
          <w:trHeight w:val="340"/>
        </w:trPr>
        <w:tc>
          <w:tcPr>
            <w:tcW w:w="1890" w:type="pct"/>
            <w:tcMar>
              <w:top w:w="0" w:type="dxa"/>
              <w:left w:w="108" w:type="dxa"/>
              <w:bottom w:w="0" w:type="dxa"/>
              <w:right w:w="108" w:type="dxa"/>
            </w:tcMar>
            <w:vAlign w:val="center"/>
            <w:hideMark/>
          </w:tcPr>
          <w:p w14:paraId="3A80DA19"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人民币基准利率增加</w:t>
            </w:r>
            <w:r w:rsidRPr="005B5EC1">
              <w:rPr>
                <w:rFonts w:ascii="Times New Roman" w:hAnsi="Times New Roman" w:cs="Times New Roman"/>
                <w:sz w:val="18"/>
                <w:szCs w:val="18"/>
              </w:rPr>
              <w:t>25</w:t>
            </w:r>
            <w:r w:rsidRPr="005B5EC1">
              <w:rPr>
                <w:rFonts w:ascii="Times New Roman" w:hAnsi="Times New Roman" w:cs="Times New Roman"/>
                <w:sz w:val="18"/>
                <w:szCs w:val="18"/>
              </w:rPr>
              <w:t>个基准点</w:t>
            </w:r>
          </w:p>
        </w:tc>
        <w:tc>
          <w:tcPr>
            <w:tcW w:w="731" w:type="pct"/>
            <w:tcMar>
              <w:top w:w="0" w:type="dxa"/>
              <w:left w:w="108" w:type="dxa"/>
              <w:bottom w:w="0" w:type="dxa"/>
              <w:right w:w="108" w:type="dxa"/>
            </w:tcMar>
            <w:vAlign w:val="center"/>
            <w:hideMark/>
          </w:tcPr>
          <w:p w14:paraId="7C3BBB55"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-659,521.35</w:t>
            </w:r>
          </w:p>
        </w:tc>
        <w:tc>
          <w:tcPr>
            <w:tcW w:w="739" w:type="pct"/>
            <w:tcMar>
              <w:top w:w="0" w:type="dxa"/>
              <w:left w:w="108" w:type="dxa"/>
              <w:bottom w:w="0" w:type="dxa"/>
              <w:right w:w="108" w:type="dxa"/>
            </w:tcMar>
            <w:vAlign w:val="center"/>
            <w:hideMark/>
          </w:tcPr>
          <w:p w14:paraId="1A8EAC4F"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-659,521.35</w:t>
            </w:r>
          </w:p>
        </w:tc>
        <w:tc>
          <w:tcPr>
            <w:tcW w:w="820" w:type="pct"/>
            <w:tcMar>
              <w:top w:w="0" w:type="dxa"/>
              <w:left w:w="108" w:type="dxa"/>
              <w:bottom w:w="0" w:type="dxa"/>
              <w:right w:w="108" w:type="dxa"/>
            </w:tcMar>
            <w:vAlign w:val="center"/>
            <w:hideMark/>
          </w:tcPr>
          <w:p w14:paraId="6E75130F"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-902,274.23</w:t>
            </w:r>
          </w:p>
        </w:tc>
        <w:tc>
          <w:tcPr>
            <w:tcW w:w="820" w:type="pct"/>
            <w:tcMar>
              <w:top w:w="0" w:type="dxa"/>
              <w:left w:w="108" w:type="dxa"/>
              <w:bottom w:w="0" w:type="dxa"/>
              <w:right w:w="108" w:type="dxa"/>
            </w:tcMar>
            <w:vAlign w:val="center"/>
            <w:hideMark/>
          </w:tcPr>
          <w:p w14:paraId="1C6927C7"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-902,274.23</w:t>
            </w:r>
          </w:p>
        </w:tc>
      </w:tr>
      <w:tr w:rsidR="00AF139E" w:rsidRPr="005B5EC1" w14:paraId="10128444" w14:textId="77777777" w:rsidTr="00D05A56">
        <w:trPr>
          <w:divId w:val="2083523408"/>
          <w:trHeight w:val="340"/>
        </w:trPr>
        <w:tc>
          <w:tcPr>
            <w:tcW w:w="1890" w:type="pct"/>
            <w:tcMar>
              <w:top w:w="0" w:type="dxa"/>
              <w:left w:w="108" w:type="dxa"/>
              <w:bottom w:w="0" w:type="dxa"/>
              <w:right w:w="108" w:type="dxa"/>
            </w:tcMar>
            <w:vAlign w:val="center"/>
            <w:hideMark/>
          </w:tcPr>
          <w:p w14:paraId="55AC2518"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人民币基准利率降低</w:t>
            </w:r>
            <w:r w:rsidRPr="005B5EC1">
              <w:rPr>
                <w:rFonts w:ascii="Times New Roman" w:hAnsi="Times New Roman" w:cs="Times New Roman"/>
                <w:sz w:val="18"/>
                <w:szCs w:val="18"/>
              </w:rPr>
              <w:t>25</w:t>
            </w:r>
            <w:r w:rsidRPr="005B5EC1">
              <w:rPr>
                <w:rFonts w:ascii="Times New Roman" w:hAnsi="Times New Roman" w:cs="Times New Roman"/>
                <w:sz w:val="18"/>
                <w:szCs w:val="18"/>
              </w:rPr>
              <w:t>个基准点</w:t>
            </w:r>
          </w:p>
        </w:tc>
        <w:tc>
          <w:tcPr>
            <w:tcW w:w="731" w:type="pct"/>
            <w:tcMar>
              <w:top w:w="0" w:type="dxa"/>
              <w:left w:w="108" w:type="dxa"/>
              <w:bottom w:w="0" w:type="dxa"/>
              <w:right w:w="108" w:type="dxa"/>
            </w:tcMar>
            <w:vAlign w:val="center"/>
            <w:hideMark/>
          </w:tcPr>
          <w:p w14:paraId="4817FBAF"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659,521.35</w:t>
            </w:r>
          </w:p>
        </w:tc>
        <w:tc>
          <w:tcPr>
            <w:tcW w:w="739" w:type="pct"/>
            <w:tcMar>
              <w:top w:w="0" w:type="dxa"/>
              <w:left w:w="108" w:type="dxa"/>
              <w:bottom w:w="0" w:type="dxa"/>
              <w:right w:w="108" w:type="dxa"/>
            </w:tcMar>
            <w:vAlign w:val="center"/>
            <w:hideMark/>
          </w:tcPr>
          <w:p w14:paraId="5B1F4CFA"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659,521.35</w:t>
            </w:r>
          </w:p>
        </w:tc>
        <w:tc>
          <w:tcPr>
            <w:tcW w:w="820" w:type="pct"/>
            <w:tcMar>
              <w:top w:w="0" w:type="dxa"/>
              <w:left w:w="108" w:type="dxa"/>
              <w:bottom w:w="0" w:type="dxa"/>
              <w:right w:w="108" w:type="dxa"/>
            </w:tcMar>
            <w:vAlign w:val="center"/>
            <w:hideMark/>
          </w:tcPr>
          <w:p w14:paraId="5AD8FBF2"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902,274.23</w:t>
            </w:r>
          </w:p>
        </w:tc>
        <w:tc>
          <w:tcPr>
            <w:tcW w:w="820" w:type="pct"/>
            <w:tcMar>
              <w:top w:w="0" w:type="dxa"/>
              <w:left w:w="108" w:type="dxa"/>
              <w:bottom w:w="0" w:type="dxa"/>
              <w:right w:w="108" w:type="dxa"/>
            </w:tcMar>
            <w:vAlign w:val="center"/>
            <w:hideMark/>
          </w:tcPr>
          <w:p w14:paraId="514646AF"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902,274.23</w:t>
            </w:r>
          </w:p>
        </w:tc>
      </w:tr>
    </w:tbl>
    <w:p w14:paraId="3168CC44" w14:textId="77777777" w:rsidR="00AF139E" w:rsidRPr="00D05A56" w:rsidRDefault="00000000" w:rsidP="00D05A56">
      <w:pPr>
        <w:pStyle w:val="16"/>
        <w:spacing w:before="0" w:beforeAutospacing="0" w:after="0" w:afterAutospacing="0" w:line="276" w:lineRule="auto"/>
        <w:ind w:firstLineChars="200" w:firstLine="360"/>
        <w:divId w:val="2083523408"/>
        <w:rPr>
          <w:rFonts w:ascii="Times New Roman" w:hAnsi="Times New Roman" w:cs="Times New Roman"/>
          <w:sz w:val="18"/>
          <w:szCs w:val="18"/>
        </w:rPr>
      </w:pPr>
      <w:r w:rsidRPr="00D05A56">
        <w:rPr>
          <w:rFonts w:ascii="Times New Roman" w:hAnsi="Times New Roman" w:cs="Times New Roman"/>
          <w:sz w:val="18"/>
          <w:szCs w:val="18"/>
        </w:rPr>
        <w:t>注</w:t>
      </w:r>
      <w:r w:rsidRPr="00D05A56">
        <w:rPr>
          <w:rFonts w:ascii="Times New Roman" w:hAnsi="Times New Roman" w:cs="Times New Roman"/>
          <w:sz w:val="18"/>
          <w:szCs w:val="18"/>
        </w:rPr>
        <w:t>1</w:t>
      </w:r>
      <w:r w:rsidRPr="00D05A56">
        <w:rPr>
          <w:rFonts w:ascii="Times New Roman" w:hAnsi="Times New Roman" w:cs="Times New Roman"/>
          <w:sz w:val="18"/>
          <w:szCs w:val="18"/>
        </w:rPr>
        <w:t>：上表以正数表示增加，以负数表示减少。</w:t>
      </w:r>
    </w:p>
    <w:p w14:paraId="1C7122F3" w14:textId="77777777" w:rsidR="00AF139E" w:rsidRPr="00D05A56" w:rsidRDefault="00000000" w:rsidP="00D05A56">
      <w:pPr>
        <w:pStyle w:val="16"/>
        <w:spacing w:before="0" w:beforeAutospacing="0" w:after="0" w:afterAutospacing="0" w:line="276" w:lineRule="auto"/>
        <w:ind w:firstLineChars="200" w:firstLine="360"/>
        <w:divId w:val="2083523408"/>
        <w:rPr>
          <w:rFonts w:ascii="Times New Roman" w:hAnsi="Times New Roman" w:cs="Times New Roman"/>
          <w:sz w:val="18"/>
          <w:szCs w:val="18"/>
        </w:rPr>
      </w:pPr>
      <w:r w:rsidRPr="00D05A56">
        <w:rPr>
          <w:rFonts w:ascii="Times New Roman" w:hAnsi="Times New Roman" w:cs="Times New Roman"/>
          <w:sz w:val="18"/>
          <w:szCs w:val="18"/>
        </w:rPr>
        <w:t>注</w:t>
      </w:r>
      <w:r w:rsidRPr="00D05A56">
        <w:rPr>
          <w:rFonts w:ascii="Times New Roman" w:hAnsi="Times New Roman" w:cs="Times New Roman"/>
          <w:sz w:val="18"/>
          <w:szCs w:val="18"/>
        </w:rPr>
        <w:t>2</w:t>
      </w:r>
      <w:r w:rsidRPr="00D05A56">
        <w:rPr>
          <w:rFonts w:ascii="Times New Roman" w:hAnsi="Times New Roman" w:cs="Times New Roman"/>
          <w:sz w:val="18"/>
          <w:szCs w:val="18"/>
        </w:rPr>
        <w:t>：上表的股东权益变动不包括留存收益。</w:t>
      </w:r>
    </w:p>
    <w:p w14:paraId="3B567A60"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其他价格风险，是指金融工具的公允价值或未来现金流量因汇率风险和利率风险以外的市场价格变动而发生波动的风险，无论这些变动是由于与单项金融工具或其发行方有关的因素而引起的，还是由于与市场内交易的所有类似金融工具有关的因素而引起的。本集团持有的分类为以公允价值计量且其变动计入当期损益、以公允价值计量且其变动计入其他综合收益的金融资产的投资在资产负债表日以公允价值计量。因此，本集团承担着证券市场价格变动的风险。本集团采取持有多种权益证券组合的方式降低权益证券投资的价格风险。</w:t>
      </w:r>
    </w:p>
    <w:p w14:paraId="5D8DB635" w14:textId="77777777" w:rsid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18"/>
          <w:szCs w:val="18"/>
        </w:rPr>
      </w:pPr>
      <w:r w:rsidRPr="00D05A56">
        <w:rPr>
          <w:rFonts w:ascii="Times New Roman" w:hAnsi="Times New Roman" w:cs="Times New Roman"/>
          <w:sz w:val="18"/>
          <w:szCs w:val="18"/>
        </w:rPr>
        <w:t>本集团无高风险投资，无重大的其他市场风险。</w:t>
      </w:r>
    </w:p>
    <w:p w14:paraId="34B82C41" w14:textId="57EDEC43"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b/>
          <w:bCs/>
          <w:sz w:val="21"/>
          <w:szCs w:val="21"/>
        </w:rPr>
      </w:pPr>
      <w:r w:rsidRPr="00D05A56">
        <w:rPr>
          <w:rStyle w:val="a4"/>
          <w:rFonts w:ascii="Times New Roman" w:hAnsi="Times New Roman" w:cs="Times New Roman"/>
          <w:b w:val="0"/>
          <w:bCs w:val="0"/>
          <w:sz w:val="18"/>
          <w:szCs w:val="18"/>
        </w:rPr>
        <w:t>信用风险</w:t>
      </w:r>
    </w:p>
    <w:p w14:paraId="18869447"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信用风险，是指金融工具的一方不能履行义务，造成另一方发生财务损失的风险。</w:t>
      </w:r>
    </w:p>
    <w:p w14:paraId="7DF33963"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于</w:t>
      </w:r>
      <w:r w:rsidRPr="00D05A56">
        <w:rPr>
          <w:rFonts w:ascii="Times New Roman" w:hAnsi="Times New Roman" w:cs="Times New Roman"/>
          <w:sz w:val="18"/>
          <w:szCs w:val="18"/>
        </w:rPr>
        <w:t>2024</w:t>
      </w:r>
      <w:r w:rsidRPr="00D05A56">
        <w:rPr>
          <w:rFonts w:ascii="Times New Roman" w:hAnsi="Times New Roman" w:cs="Times New Roman"/>
          <w:sz w:val="18"/>
          <w:szCs w:val="18"/>
        </w:rPr>
        <w:t>年</w:t>
      </w:r>
      <w:r w:rsidRPr="00D05A56">
        <w:rPr>
          <w:rFonts w:ascii="Times New Roman" w:hAnsi="Times New Roman" w:cs="Times New Roman"/>
          <w:sz w:val="18"/>
          <w:szCs w:val="18"/>
        </w:rPr>
        <w:t>12</w:t>
      </w:r>
      <w:r w:rsidRPr="00D05A56">
        <w:rPr>
          <w:rFonts w:ascii="Times New Roman" w:hAnsi="Times New Roman" w:cs="Times New Roman"/>
          <w:sz w:val="18"/>
          <w:szCs w:val="18"/>
        </w:rPr>
        <w:t>月</w:t>
      </w:r>
      <w:r w:rsidRPr="00D05A56">
        <w:rPr>
          <w:rFonts w:ascii="Times New Roman" w:hAnsi="Times New Roman" w:cs="Times New Roman"/>
          <w:sz w:val="18"/>
          <w:szCs w:val="18"/>
        </w:rPr>
        <w:t>31</w:t>
      </w:r>
      <w:r w:rsidRPr="00D05A56">
        <w:rPr>
          <w:rFonts w:ascii="Times New Roman" w:hAnsi="Times New Roman" w:cs="Times New Roman"/>
          <w:sz w:val="18"/>
          <w:szCs w:val="18"/>
        </w:rPr>
        <w:t>日，本集团的信用风险主要来自于本集团确认的金融资产以及本集团承担的财务担保，具体包括：</w:t>
      </w:r>
    </w:p>
    <w:p w14:paraId="76ED83BF" w14:textId="77777777" w:rsidR="00AF139E" w:rsidRPr="00D05A56" w:rsidRDefault="00000000" w:rsidP="00D05A56">
      <w:pPr>
        <w:widowControl/>
        <w:spacing w:after="0" w:line="276" w:lineRule="auto"/>
        <w:ind w:left="360"/>
        <w:divId w:val="2083523408"/>
        <w:rPr>
          <w:rFonts w:ascii="Times New Roman" w:eastAsia="宋体" w:hAnsi="Times New Roman" w:cs="Times New Roman"/>
          <w:sz w:val="18"/>
          <w:szCs w:val="18"/>
        </w:rPr>
      </w:pPr>
      <w:r w:rsidRPr="00D05A56">
        <w:rPr>
          <w:rFonts w:ascii="Times New Roman" w:eastAsia="宋体" w:hAnsi="Times New Roman" w:cs="Times New Roman"/>
          <w:sz w:val="18"/>
          <w:szCs w:val="18"/>
        </w:rPr>
        <w:t>合并资产负债表中已确认的金融资产的账面金额；对于以公允价值计量的金融工具而言，账面价值反映了其风险敞口，但并非最大风险敞口，其最大风险敞口将随着未来公允价值的变化而改变。</w:t>
      </w:r>
    </w:p>
    <w:p w14:paraId="10E42F19"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本集团的流动资金存放在信用评级较高的银行，故流动资金的信用风险较低。本集团与客户间的贸易条款以信用交易为主，且一般要求新客户预付款或采取货到付款方式进行。信用期通常为</w:t>
      </w:r>
      <w:r w:rsidRPr="00D05A56">
        <w:rPr>
          <w:rFonts w:ascii="Times New Roman" w:hAnsi="Times New Roman" w:cs="Times New Roman"/>
          <w:sz w:val="18"/>
          <w:szCs w:val="18"/>
        </w:rPr>
        <w:t>1</w:t>
      </w:r>
      <w:r w:rsidRPr="00D05A56">
        <w:rPr>
          <w:rFonts w:ascii="Times New Roman" w:hAnsi="Times New Roman" w:cs="Times New Roman"/>
          <w:sz w:val="18"/>
          <w:szCs w:val="18"/>
        </w:rPr>
        <w:t>个月，主要客户可以延长至</w:t>
      </w:r>
      <w:r w:rsidRPr="00D05A56">
        <w:rPr>
          <w:rFonts w:ascii="Times New Roman" w:hAnsi="Times New Roman" w:cs="Times New Roman"/>
          <w:sz w:val="18"/>
          <w:szCs w:val="18"/>
        </w:rPr>
        <w:t>3-6</w:t>
      </w:r>
      <w:r w:rsidRPr="00D05A56">
        <w:rPr>
          <w:rFonts w:ascii="Times New Roman" w:hAnsi="Times New Roman" w:cs="Times New Roman"/>
          <w:sz w:val="18"/>
          <w:szCs w:val="18"/>
        </w:rPr>
        <w:t>个月，交易记录良好的客户可获得比较长的信贷期。由于本集团仅与经认可的且信誉良好的第三方进行交易，所以无需担保物。</w:t>
      </w:r>
    </w:p>
    <w:p w14:paraId="1CEF9D8A" w14:textId="2DF9DA7D"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本集团评估信用风险自初始确认后是否已增加的方法、确定金融资产已发生信用减值的依据、划分组合为基础评估预期信用风险的金融工具的组合方法、</w:t>
      </w:r>
      <w:proofErr w:type="gramStart"/>
      <w:r w:rsidRPr="00D05A56">
        <w:rPr>
          <w:rFonts w:ascii="Times New Roman" w:hAnsi="Times New Roman" w:cs="Times New Roman"/>
          <w:sz w:val="18"/>
          <w:szCs w:val="18"/>
        </w:rPr>
        <w:t>直接减记金融工具</w:t>
      </w:r>
      <w:proofErr w:type="gramEnd"/>
      <w:r w:rsidRPr="00D05A56">
        <w:rPr>
          <w:rFonts w:ascii="Times New Roman" w:hAnsi="Times New Roman" w:cs="Times New Roman"/>
          <w:sz w:val="18"/>
          <w:szCs w:val="18"/>
        </w:rPr>
        <w:t>的政策等，参见本附注</w:t>
      </w:r>
      <w:r w:rsidR="005F3539">
        <w:rPr>
          <w:rFonts w:ascii="Times New Roman" w:hAnsi="Times New Roman" w:cs="Times New Roman" w:hint="eastAsia"/>
          <w:sz w:val="18"/>
          <w:szCs w:val="18"/>
        </w:rPr>
        <w:t>五</w:t>
      </w:r>
      <w:r w:rsidRPr="00D05A56">
        <w:rPr>
          <w:rFonts w:ascii="Times New Roman" w:hAnsi="Times New Roman" w:cs="Times New Roman"/>
          <w:sz w:val="18"/>
          <w:szCs w:val="18"/>
        </w:rPr>
        <w:t>、</w:t>
      </w:r>
      <w:r w:rsidRPr="00D05A56">
        <w:rPr>
          <w:rFonts w:ascii="Times New Roman" w:hAnsi="Times New Roman" w:cs="Times New Roman"/>
          <w:sz w:val="18"/>
          <w:szCs w:val="18"/>
        </w:rPr>
        <w:t>1</w:t>
      </w:r>
      <w:r w:rsidR="005F3539">
        <w:rPr>
          <w:rFonts w:ascii="Times New Roman" w:hAnsi="Times New Roman" w:cs="Times New Roman" w:hint="eastAsia"/>
          <w:sz w:val="18"/>
          <w:szCs w:val="18"/>
        </w:rPr>
        <w:t>1</w:t>
      </w:r>
      <w:r w:rsidRPr="00D05A56">
        <w:rPr>
          <w:rFonts w:ascii="Times New Roman" w:hAnsi="Times New Roman" w:cs="Times New Roman"/>
          <w:sz w:val="18"/>
          <w:szCs w:val="18"/>
        </w:rPr>
        <w:t>。</w:t>
      </w:r>
    </w:p>
    <w:p w14:paraId="2F7B673D"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lastRenderedPageBreak/>
        <w:t>本集团对不同的资产分别以</w:t>
      </w:r>
      <w:r w:rsidRPr="00D05A56">
        <w:rPr>
          <w:rFonts w:ascii="Times New Roman" w:hAnsi="Times New Roman" w:cs="Times New Roman"/>
          <w:sz w:val="18"/>
          <w:szCs w:val="18"/>
        </w:rPr>
        <w:t>12</w:t>
      </w:r>
      <w:r w:rsidRPr="00D05A56">
        <w:rPr>
          <w:rFonts w:ascii="Times New Roman" w:hAnsi="Times New Roman" w:cs="Times New Roman"/>
          <w:sz w:val="18"/>
          <w:szCs w:val="18"/>
        </w:rPr>
        <w:t>个月或整个存续期的预期信用损失计量减值准备。预期信用损失计量的关键参数包括违约概率、违约损失率和违约风险敞口。本集团考虑历史统计数据</w:t>
      </w:r>
      <w:r w:rsidRPr="00D05A56">
        <w:rPr>
          <w:rFonts w:ascii="Times New Roman" w:hAnsi="Times New Roman" w:cs="Times New Roman"/>
          <w:sz w:val="18"/>
          <w:szCs w:val="18"/>
        </w:rPr>
        <w:t>(</w:t>
      </w:r>
      <w:r w:rsidRPr="00D05A56">
        <w:rPr>
          <w:rFonts w:ascii="Times New Roman" w:hAnsi="Times New Roman" w:cs="Times New Roman"/>
          <w:sz w:val="18"/>
          <w:szCs w:val="18"/>
        </w:rPr>
        <w:t>如交易对手评级、担保</w:t>
      </w:r>
      <w:proofErr w:type="gramStart"/>
      <w:r w:rsidRPr="00D05A56">
        <w:rPr>
          <w:rFonts w:ascii="Times New Roman" w:hAnsi="Times New Roman" w:cs="Times New Roman"/>
          <w:sz w:val="18"/>
          <w:szCs w:val="18"/>
        </w:rPr>
        <w:t>方式及抵质押</w:t>
      </w:r>
      <w:proofErr w:type="gramEnd"/>
      <w:r w:rsidRPr="00D05A56">
        <w:rPr>
          <w:rFonts w:ascii="Times New Roman" w:hAnsi="Times New Roman" w:cs="Times New Roman"/>
          <w:sz w:val="18"/>
          <w:szCs w:val="18"/>
        </w:rPr>
        <w:t>物类别、还款方式等</w:t>
      </w:r>
      <w:r w:rsidRPr="00D05A56">
        <w:rPr>
          <w:rFonts w:ascii="Times New Roman" w:hAnsi="Times New Roman" w:cs="Times New Roman"/>
          <w:sz w:val="18"/>
          <w:szCs w:val="18"/>
        </w:rPr>
        <w:t>)</w:t>
      </w:r>
      <w:r w:rsidRPr="00D05A56">
        <w:rPr>
          <w:rFonts w:ascii="Times New Roman" w:hAnsi="Times New Roman" w:cs="Times New Roman"/>
          <w:sz w:val="18"/>
          <w:szCs w:val="18"/>
        </w:rPr>
        <w:t>的定量分析及前瞻性信息，建立违约概率、违约损失率及违约风险敞口模型。</w:t>
      </w:r>
    </w:p>
    <w:p w14:paraId="2C345A2A"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前瞻性信息信用风险显著增加的评估及预期信用损失的计算均涉及前瞻性信息。本集团通过进行历史数据分析，识别</w:t>
      </w:r>
      <w:proofErr w:type="gramStart"/>
      <w:r w:rsidRPr="00D05A56">
        <w:rPr>
          <w:rFonts w:ascii="Times New Roman" w:hAnsi="Times New Roman" w:cs="Times New Roman"/>
          <w:sz w:val="18"/>
          <w:szCs w:val="18"/>
        </w:rPr>
        <w:t>出影响</w:t>
      </w:r>
      <w:proofErr w:type="gramEnd"/>
      <w:r w:rsidRPr="00D05A56">
        <w:rPr>
          <w:rFonts w:ascii="Times New Roman" w:hAnsi="Times New Roman" w:cs="Times New Roman"/>
          <w:sz w:val="18"/>
          <w:szCs w:val="18"/>
        </w:rPr>
        <w:t>各业务类型信用风险及预期信用损失的关键经济指标。</w:t>
      </w:r>
    </w:p>
    <w:p w14:paraId="6F73D047" w14:textId="126E82AC"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本集团因应收账款、其他应收</w:t>
      </w:r>
      <w:proofErr w:type="gramStart"/>
      <w:r w:rsidRPr="00D05A56">
        <w:rPr>
          <w:rFonts w:ascii="Times New Roman" w:hAnsi="Times New Roman" w:cs="Times New Roman"/>
          <w:sz w:val="18"/>
          <w:szCs w:val="18"/>
        </w:rPr>
        <w:t>款产生</w:t>
      </w:r>
      <w:proofErr w:type="gramEnd"/>
      <w:r w:rsidRPr="00D05A56">
        <w:rPr>
          <w:rFonts w:ascii="Times New Roman" w:hAnsi="Times New Roman" w:cs="Times New Roman"/>
          <w:sz w:val="18"/>
          <w:szCs w:val="18"/>
        </w:rPr>
        <w:t>的信用风险敞口、损失准备的量化数据，参见附注</w:t>
      </w:r>
      <w:r w:rsidR="005F3539">
        <w:rPr>
          <w:rFonts w:ascii="Times New Roman" w:hAnsi="Times New Roman" w:cs="Times New Roman" w:hint="eastAsia"/>
          <w:sz w:val="18"/>
          <w:szCs w:val="18"/>
        </w:rPr>
        <w:t>七</w:t>
      </w:r>
      <w:r w:rsidRPr="00D05A56">
        <w:rPr>
          <w:rFonts w:ascii="Times New Roman" w:hAnsi="Times New Roman" w:cs="Times New Roman"/>
          <w:sz w:val="18"/>
          <w:szCs w:val="18"/>
        </w:rPr>
        <w:t>、</w:t>
      </w:r>
      <w:r w:rsidR="005F3539">
        <w:rPr>
          <w:rFonts w:ascii="Times New Roman" w:hAnsi="Times New Roman" w:cs="Times New Roman" w:hint="eastAsia"/>
          <w:sz w:val="18"/>
          <w:szCs w:val="18"/>
        </w:rPr>
        <w:t>5</w:t>
      </w:r>
      <w:r w:rsidRPr="00D05A56">
        <w:rPr>
          <w:rFonts w:ascii="Times New Roman" w:hAnsi="Times New Roman" w:cs="Times New Roman"/>
          <w:sz w:val="18"/>
          <w:szCs w:val="18"/>
        </w:rPr>
        <w:t>，附注</w:t>
      </w:r>
      <w:r w:rsidR="005F3539">
        <w:rPr>
          <w:rFonts w:ascii="Times New Roman" w:hAnsi="Times New Roman" w:cs="Times New Roman" w:hint="eastAsia"/>
          <w:sz w:val="18"/>
          <w:szCs w:val="18"/>
        </w:rPr>
        <w:t>七</w:t>
      </w:r>
      <w:r w:rsidRPr="00D05A56">
        <w:rPr>
          <w:rFonts w:ascii="Times New Roman" w:hAnsi="Times New Roman" w:cs="Times New Roman"/>
          <w:sz w:val="18"/>
          <w:szCs w:val="18"/>
        </w:rPr>
        <w:t>、</w:t>
      </w:r>
      <w:r w:rsidR="005F3539">
        <w:rPr>
          <w:rFonts w:ascii="Times New Roman" w:hAnsi="Times New Roman" w:cs="Times New Roman" w:hint="eastAsia"/>
          <w:sz w:val="18"/>
          <w:szCs w:val="18"/>
        </w:rPr>
        <w:t>8</w:t>
      </w:r>
      <w:r w:rsidRPr="00D05A56">
        <w:rPr>
          <w:rFonts w:ascii="Times New Roman" w:hAnsi="Times New Roman" w:cs="Times New Roman"/>
          <w:sz w:val="18"/>
          <w:szCs w:val="18"/>
        </w:rPr>
        <w:t>的披露。</w:t>
      </w:r>
      <w:r w:rsidRPr="00D05A56">
        <w:rPr>
          <w:rStyle w:val="a4"/>
          <w:rFonts w:ascii="Times New Roman" w:hAnsi="Times New Roman" w:cs="Times New Roman"/>
          <w:sz w:val="18"/>
          <w:szCs w:val="18"/>
        </w:rPr>
        <w:t> </w:t>
      </w:r>
    </w:p>
    <w:p w14:paraId="4CF95482" w14:textId="77777777" w:rsidR="00AF139E" w:rsidRPr="00D05A56" w:rsidRDefault="00000000" w:rsidP="00D05A56">
      <w:pPr>
        <w:widowControl/>
        <w:spacing w:after="0" w:line="276" w:lineRule="auto"/>
        <w:ind w:left="361"/>
        <w:divId w:val="2083523408"/>
        <w:rPr>
          <w:rFonts w:ascii="Times New Roman" w:eastAsia="宋体" w:hAnsi="Times New Roman" w:cs="Times New Roman"/>
          <w:b/>
          <w:bCs/>
          <w:sz w:val="18"/>
          <w:szCs w:val="18"/>
        </w:rPr>
      </w:pPr>
      <w:r w:rsidRPr="00D05A56">
        <w:rPr>
          <w:rStyle w:val="a4"/>
          <w:rFonts w:ascii="Times New Roman" w:eastAsia="宋体" w:hAnsi="Times New Roman" w:cs="Times New Roman"/>
          <w:b w:val="0"/>
          <w:bCs w:val="0"/>
          <w:sz w:val="18"/>
          <w:szCs w:val="18"/>
        </w:rPr>
        <w:t>流动性风险</w:t>
      </w:r>
    </w:p>
    <w:p w14:paraId="142BD46C"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流动性风险，是指企业在履行以交付现金或其他金融资产的方式结算的义务时发生资金短缺的风险。</w:t>
      </w:r>
    </w:p>
    <w:p w14:paraId="7080FADD" w14:textId="77777777" w:rsidR="00AF139E" w:rsidRPr="00D05A56" w:rsidRDefault="00000000" w:rsidP="00D05A56">
      <w:pPr>
        <w:pStyle w:val="a3"/>
        <w:spacing w:before="0" w:beforeAutospacing="0" w:after="0" w:afterAutospacing="0" w:line="276" w:lineRule="auto"/>
        <w:ind w:firstLineChars="200" w:firstLine="360"/>
        <w:jc w:val="both"/>
        <w:divId w:val="2083523408"/>
        <w:rPr>
          <w:rFonts w:ascii="Times New Roman" w:hAnsi="Times New Roman" w:cs="Times New Roman"/>
          <w:sz w:val="21"/>
          <w:szCs w:val="21"/>
        </w:rPr>
      </w:pPr>
      <w:r w:rsidRPr="00D05A56">
        <w:rPr>
          <w:rFonts w:ascii="Times New Roman" w:hAnsi="Times New Roman" w:cs="Times New Roman"/>
          <w:sz w:val="18"/>
          <w:szCs w:val="18"/>
        </w:rPr>
        <w:t>管理流动性风险时，本集团保持管理层认为充分的现金及现金等价物并对其进行监控，以满足本集团经营需要，并降低现金流量波动的影响。本集团管理层对银行借款的使用情况进行监控并确保遵守借款协议：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6"/>
        <w:gridCol w:w="1801"/>
        <w:gridCol w:w="1637"/>
        <w:gridCol w:w="1637"/>
        <w:gridCol w:w="1637"/>
        <w:gridCol w:w="1705"/>
      </w:tblGrid>
      <w:tr w:rsidR="00AF139E" w:rsidRPr="005B5EC1" w14:paraId="04943B90" w14:textId="77777777" w:rsidTr="00D05A56">
        <w:trPr>
          <w:divId w:val="2083523408"/>
          <w:trHeight w:val="340"/>
        </w:trPr>
        <w:tc>
          <w:tcPr>
            <w:tcW w:w="1244" w:type="dxa"/>
            <w:tcMar>
              <w:top w:w="0" w:type="dxa"/>
              <w:left w:w="108" w:type="dxa"/>
              <w:bottom w:w="0" w:type="dxa"/>
              <w:right w:w="108" w:type="dxa"/>
            </w:tcMar>
            <w:vAlign w:val="center"/>
            <w:hideMark/>
          </w:tcPr>
          <w:p w14:paraId="1F24E301"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项目</w:t>
            </w:r>
          </w:p>
        </w:tc>
        <w:tc>
          <w:tcPr>
            <w:tcW w:w="1559" w:type="dxa"/>
            <w:tcMar>
              <w:top w:w="0" w:type="dxa"/>
              <w:left w:w="108" w:type="dxa"/>
              <w:bottom w:w="0" w:type="dxa"/>
              <w:right w:w="108" w:type="dxa"/>
            </w:tcMar>
            <w:vAlign w:val="center"/>
            <w:hideMark/>
          </w:tcPr>
          <w:p w14:paraId="6525546F"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w:t>
            </w:r>
            <w:r w:rsidRPr="005B5EC1">
              <w:rPr>
                <w:rFonts w:ascii="Times New Roman" w:hAnsi="Times New Roman" w:cs="Times New Roman"/>
                <w:sz w:val="18"/>
                <w:szCs w:val="18"/>
              </w:rPr>
              <w:t>年以内（含</w:t>
            </w:r>
            <w:r w:rsidRPr="005B5EC1">
              <w:rPr>
                <w:rFonts w:ascii="Times New Roman" w:hAnsi="Times New Roman" w:cs="Times New Roman"/>
                <w:sz w:val="18"/>
                <w:szCs w:val="18"/>
              </w:rPr>
              <w:t>1</w:t>
            </w:r>
            <w:r w:rsidRPr="005B5EC1">
              <w:rPr>
                <w:rFonts w:ascii="Times New Roman" w:hAnsi="Times New Roman" w:cs="Times New Roman"/>
                <w:sz w:val="18"/>
                <w:szCs w:val="18"/>
              </w:rPr>
              <w:t>年）</w:t>
            </w:r>
          </w:p>
        </w:tc>
        <w:tc>
          <w:tcPr>
            <w:tcW w:w="1417" w:type="dxa"/>
            <w:tcMar>
              <w:top w:w="0" w:type="dxa"/>
              <w:left w:w="108" w:type="dxa"/>
              <w:bottom w:w="0" w:type="dxa"/>
              <w:right w:w="108" w:type="dxa"/>
            </w:tcMar>
            <w:vAlign w:val="center"/>
            <w:hideMark/>
          </w:tcPr>
          <w:p w14:paraId="64251391"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1-3</w:t>
            </w:r>
            <w:r w:rsidRPr="005B5EC1">
              <w:rPr>
                <w:rFonts w:ascii="Times New Roman" w:hAnsi="Times New Roman" w:cs="Times New Roman"/>
                <w:sz w:val="18"/>
                <w:szCs w:val="18"/>
              </w:rPr>
              <w:t>年（含</w:t>
            </w:r>
            <w:r w:rsidRPr="005B5EC1">
              <w:rPr>
                <w:rFonts w:ascii="Times New Roman" w:hAnsi="Times New Roman" w:cs="Times New Roman"/>
                <w:sz w:val="18"/>
                <w:szCs w:val="18"/>
              </w:rPr>
              <w:t>3</w:t>
            </w:r>
            <w:r w:rsidRPr="005B5EC1">
              <w:rPr>
                <w:rFonts w:ascii="Times New Roman" w:hAnsi="Times New Roman" w:cs="Times New Roman"/>
                <w:sz w:val="18"/>
                <w:szCs w:val="18"/>
              </w:rPr>
              <w:t>年）</w:t>
            </w:r>
          </w:p>
        </w:tc>
        <w:tc>
          <w:tcPr>
            <w:tcW w:w="1417" w:type="dxa"/>
            <w:tcMar>
              <w:top w:w="0" w:type="dxa"/>
              <w:left w:w="108" w:type="dxa"/>
              <w:bottom w:w="0" w:type="dxa"/>
              <w:right w:w="108" w:type="dxa"/>
            </w:tcMar>
            <w:vAlign w:val="center"/>
            <w:hideMark/>
          </w:tcPr>
          <w:p w14:paraId="7D6C9B6E"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3-5</w:t>
            </w:r>
            <w:r w:rsidRPr="005B5EC1">
              <w:rPr>
                <w:rFonts w:ascii="Times New Roman" w:hAnsi="Times New Roman" w:cs="Times New Roman"/>
                <w:sz w:val="18"/>
                <w:szCs w:val="18"/>
              </w:rPr>
              <w:t>年（含</w:t>
            </w:r>
            <w:r w:rsidRPr="005B5EC1">
              <w:rPr>
                <w:rFonts w:ascii="Times New Roman" w:hAnsi="Times New Roman" w:cs="Times New Roman"/>
                <w:sz w:val="18"/>
                <w:szCs w:val="18"/>
              </w:rPr>
              <w:t>5</w:t>
            </w:r>
            <w:r w:rsidRPr="005B5EC1">
              <w:rPr>
                <w:rFonts w:ascii="Times New Roman" w:hAnsi="Times New Roman" w:cs="Times New Roman"/>
                <w:sz w:val="18"/>
                <w:szCs w:val="18"/>
              </w:rPr>
              <w:t>年）</w:t>
            </w:r>
          </w:p>
        </w:tc>
        <w:tc>
          <w:tcPr>
            <w:tcW w:w="1417" w:type="dxa"/>
            <w:tcMar>
              <w:top w:w="0" w:type="dxa"/>
              <w:left w:w="108" w:type="dxa"/>
              <w:bottom w:w="0" w:type="dxa"/>
              <w:right w:w="108" w:type="dxa"/>
            </w:tcMar>
            <w:vAlign w:val="center"/>
            <w:hideMark/>
          </w:tcPr>
          <w:p w14:paraId="4A93D188"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5</w:t>
            </w:r>
            <w:r w:rsidRPr="005B5EC1">
              <w:rPr>
                <w:rFonts w:ascii="Times New Roman" w:hAnsi="Times New Roman" w:cs="Times New Roman"/>
                <w:sz w:val="18"/>
                <w:szCs w:val="18"/>
              </w:rPr>
              <w:t>年以上</w:t>
            </w:r>
          </w:p>
        </w:tc>
        <w:tc>
          <w:tcPr>
            <w:tcW w:w="1474" w:type="dxa"/>
            <w:tcMar>
              <w:top w:w="0" w:type="dxa"/>
              <w:left w:w="108" w:type="dxa"/>
              <w:bottom w:w="0" w:type="dxa"/>
              <w:right w:w="108" w:type="dxa"/>
            </w:tcMar>
            <w:hideMark/>
          </w:tcPr>
          <w:p w14:paraId="23DA30F0" w14:textId="77777777" w:rsidR="00AF139E" w:rsidRPr="005B5EC1" w:rsidRDefault="00000000" w:rsidP="00D05A56">
            <w:pPr>
              <w:pStyle w:val="a3"/>
              <w:spacing w:before="0" w:beforeAutospacing="0" w:after="0" w:afterAutospacing="0" w:line="276" w:lineRule="auto"/>
              <w:jc w:val="center"/>
              <w:rPr>
                <w:rFonts w:ascii="Times New Roman" w:hAnsi="Times New Roman" w:cs="Times New Roman"/>
                <w:sz w:val="21"/>
                <w:szCs w:val="21"/>
              </w:rPr>
            </w:pPr>
            <w:r w:rsidRPr="005B5EC1">
              <w:rPr>
                <w:rFonts w:ascii="Times New Roman" w:hAnsi="Times New Roman" w:cs="Times New Roman"/>
                <w:sz w:val="18"/>
                <w:szCs w:val="18"/>
              </w:rPr>
              <w:t>合计</w:t>
            </w:r>
          </w:p>
        </w:tc>
      </w:tr>
      <w:tr w:rsidR="00AF139E" w:rsidRPr="005B5EC1" w14:paraId="35353C77" w14:textId="77777777" w:rsidTr="00D05A56">
        <w:trPr>
          <w:divId w:val="2083523408"/>
          <w:trHeight w:val="340"/>
        </w:trPr>
        <w:tc>
          <w:tcPr>
            <w:tcW w:w="1244" w:type="dxa"/>
            <w:tcMar>
              <w:top w:w="0" w:type="dxa"/>
              <w:left w:w="108" w:type="dxa"/>
              <w:bottom w:w="0" w:type="dxa"/>
              <w:right w:w="108" w:type="dxa"/>
            </w:tcMar>
            <w:vAlign w:val="center"/>
            <w:hideMark/>
          </w:tcPr>
          <w:p w14:paraId="45BDA4A8"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短期借款</w:t>
            </w:r>
          </w:p>
        </w:tc>
        <w:tc>
          <w:tcPr>
            <w:tcW w:w="1559" w:type="dxa"/>
            <w:tcMar>
              <w:top w:w="0" w:type="dxa"/>
              <w:left w:w="108" w:type="dxa"/>
              <w:bottom w:w="0" w:type="dxa"/>
              <w:right w:w="108" w:type="dxa"/>
            </w:tcMar>
            <w:hideMark/>
          </w:tcPr>
          <w:p w14:paraId="1762945B"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1,629,824,663.47</w:t>
            </w:r>
          </w:p>
        </w:tc>
        <w:tc>
          <w:tcPr>
            <w:tcW w:w="1417" w:type="dxa"/>
            <w:tcMar>
              <w:top w:w="0" w:type="dxa"/>
              <w:left w:w="108" w:type="dxa"/>
              <w:bottom w:w="0" w:type="dxa"/>
              <w:right w:w="108" w:type="dxa"/>
            </w:tcMar>
            <w:hideMark/>
          </w:tcPr>
          <w:p w14:paraId="3BE219EF"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6C09CC79"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4EF63850"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74" w:type="dxa"/>
            <w:tcMar>
              <w:top w:w="0" w:type="dxa"/>
              <w:left w:w="108" w:type="dxa"/>
              <w:bottom w:w="0" w:type="dxa"/>
              <w:right w:w="108" w:type="dxa"/>
            </w:tcMar>
            <w:hideMark/>
          </w:tcPr>
          <w:p w14:paraId="56DB46BA"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1,629,824,663.47</w:t>
            </w:r>
          </w:p>
        </w:tc>
      </w:tr>
      <w:tr w:rsidR="00AF139E" w:rsidRPr="005B5EC1" w14:paraId="082A9F6A" w14:textId="77777777" w:rsidTr="00D05A56">
        <w:trPr>
          <w:divId w:val="2083523408"/>
          <w:trHeight w:val="340"/>
        </w:trPr>
        <w:tc>
          <w:tcPr>
            <w:tcW w:w="1244" w:type="dxa"/>
            <w:tcMar>
              <w:top w:w="0" w:type="dxa"/>
              <w:left w:w="108" w:type="dxa"/>
              <w:bottom w:w="0" w:type="dxa"/>
              <w:right w:w="108" w:type="dxa"/>
            </w:tcMar>
            <w:vAlign w:val="center"/>
            <w:hideMark/>
          </w:tcPr>
          <w:p w14:paraId="565D747A"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应付票据</w:t>
            </w:r>
          </w:p>
        </w:tc>
        <w:tc>
          <w:tcPr>
            <w:tcW w:w="1559" w:type="dxa"/>
            <w:tcMar>
              <w:top w:w="0" w:type="dxa"/>
              <w:left w:w="108" w:type="dxa"/>
              <w:bottom w:w="0" w:type="dxa"/>
              <w:right w:w="108" w:type="dxa"/>
            </w:tcMar>
            <w:hideMark/>
          </w:tcPr>
          <w:p w14:paraId="5A4A3E97"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294,476,050.02</w:t>
            </w:r>
          </w:p>
        </w:tc>
        <w:tc>
          <w:tcPr>
            <w:tcW w:w="1417" w:type="dxa"/>
            <w:tcMar>
              <w:top w:w="0" w:type="dxa"/>
              <w:left w:w="108" w:type="dxa"/>
              <w:bottom w:w="0" w:type="dxa"/>
              <w:right w:w="108" w:type="dxa"/>
            </w:tcMar>
            <w:hideMark/>
          </w:tcPr>
          <w:p w14:paraId="6D5011A0"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33C1211C"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131FFDED"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74" w:type="dxa"/>
            <w:tcMar>
              <w:top w:w="0" w:type="dxa"/>
              <w:left w:w="108" w:type="dxa"/>
              <w:bottom w:w="0" w:type="dxa"/>
              <w:right w:w="108" w:type="dxa"/>
            </w:tcMar>
            <w:hideMark/>
          </w:tcPr>
          <w:p w14:paraId="4D5D1CE7"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294,476,050.02</w:t>
            </w:r>
          </w:p>
        </w:tc>
      </w:tr>
      <w:tr w:rsidR="00AF139E" w:rsidRPr="005B5EC1" w14:paraId="1F6B4CC8" w14:textId="77777777" w:rsidTr="00D05A56">
        <w:trPr>
          <w:divId w:val="2083523408"/>
          <w:trHeight w:val="340"/>
        </w:trPr>
        <w:tc>
          <w:tcPr>
            <w:tcW w:w="1244" w:type="dxa"/>
            <w:tcMar>
              <w:top w:w="0" w:type="dxa"/>
              <w:left w:w="108" w:type="dxa"/>
              <w:bottom w:w="0" w:type="dxa"/>
              <w:right w:w="108" w:type="dxa"/>
            </w:tcMar>
            <w:vAlign w:val="center"/>
            <w:hideMark/>
          </w:tcPr>
          <w:p w14:paraId="663262A6"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应付账款</w:t>
            </w:r>
          </w:p>
        </w:tc>
        <w:tc>
          <w:tcPr>
            <w:tcW w:w="1559" w:type="dxa"/>
            <w:tcMar>
              <w:top w:w="0" w:type="dxa"/>
              <w:left w:w="108" w:type="dxa"/>
              <w:bottom w:w="0" w:type="dxa"/>
              <w:right w:w="108" w:type="dxa"/>
            </w:tcMar>
            <w:hideMark/>
          </w:tcPr>
          <w:p w14:paraId="35FF5C89"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501,178,679.71</w:t>
            </w:r>
          </w:p>
        </w:tc>
        <w:tc>
          <w:tcPr>
            <w:tcW w:w="1417" w:type="dxa"/>
            <w:tcMar>
              <w:top w:w="0" w:type="dxa"/>
              <w:left w:w="108" w:type="dxa"/>
              <w:bottom w:w="0" w:type="dxa"/>
              <w:right w:w="108" w:type="dxa"/>
            </w:tcMar>
            <w:hideMark/>
          </w:tcPr>
          <w:p w14:paraId="208DD2A2"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7BD642AD"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65C8DF08"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74" w:type="dxa"/>
            <w:tcMar>
              <w:top w:w="0" w:type="dxa"/>
              <w:left w:w="108" w:type="dxa"/>
              <w:bottom w:w="0" w:type="dxa"/>
              <w:right w:w="108" w:type="dxa"/>
            </w:tcMar>
            <w:hideMark/>
          </w:tcPr>
          <w:p w14:paraId="66211D3B"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501,178,679.71</w:t>
            </w:r>
          </w:p>
        </w:tc>
      </w:tr>
      <w:tr w:rsidR="00AF139E" w:rsidRPr="005B5EC1" w14:paraId="49D76727" w14:textId="77777777" w:rsidTr="00D05A56">
        <w:trPr>
          <w:divId w:val="2083523408"/>
          <w:trHeight w:val="340"/>
        </w:trPr>
        <w:tc>
          <w:tcPr>
            <w:tcW w:w="1244" w:type="dxa"/>
            <w:tcMar>
              <w:top w:w="0" w:type="dxa"/>
              <w:left w:w="108" w:type="dxa"/>
              <w:bottom w:w="0" w:type="dxa"/>
              <w:right w:w="108" w:type="dxa"/>
            </w:tcMar>
            <w:vAlign w:val="center"/>
            <w:hideMark/>
          </w:tcPr>
          <w:p w14:paraId="726D6128"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其他应付款</w:t>
            </w:r>
          </w:p>
        </w:tc>
        <w:tc>
          <w:tcPr>
            <w:tcW w:w="1559" w:type="dxa"/>
            <w:tcMar>
              <w:top w:w="0" w:type="dxa"/>
              <w:left w:w="108" w:type="dxa"/>
              <w:bottom w:w="0" w:type="dxa"/>
              <w:right w:w="108" w:type="dxa"/>
            </w:tcMar>
            <w:hideMark/>
          </w:tcPr>
          <w:p w14:paraId="693526D4"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180,775,039.13</w:t>
            </w:r>
          </w:p>
        </w:tc>
        <w:tc>
          <w:tcPr>
            <w:tcW w:w="1417" w:type="dxa"/>
            <w:tcMar>
              <w:top w:w="0" w:type="dxa"/>
              <w:left w:w="108" w:type="dxa"/>
              <w:bottom w:w="0" w:type="dxa"/>
              <w:right w:w="108" w:type="dxa"/>
            </w:tcMar>
            <w:hideMark/>
          </w:tcPr>
          <w:p w14:paraId="371F710D"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4C40D7FD"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6EAADDB3"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74" w:type="dxa"/>
            <w:tcMar>
              <w:top w:w="0" w:type="dxa"/>
              <w:left w:w="108" w:type="dxa"/>
              <w:bottom w:w="0" w:type="dxa"/>
              <w:right w:w="108" w:type="dxa"/>
            </w:tcMar>
            <w:hideMark/>
          </w:tcPr>
          <w:p w14:paraId="2C07FF3C"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180,775,039.13</w:t>
            </w:r>
          </w:p>
        </w:tc>
      </w:tr>
      <w:tr w:rsidR="00AF139E" w:rsidRPr="005B5EC1" w14:paraId="065053AA" w14:textId="77777777" w:rsidTr="00D05A56">
        <w:trPr>
          <w:divId w:val="2083523408"/>
          <w:trHeight w:val="340"/>
        </w:trPr>
        <w:tc>
          <w:tcPr>
            <w:tcW w:w="1244" w:type="dxa"/>
            <w:tcMar>
              <w:top w:w="0" w:type="dxa"/>
              <w:left w:w="108" w:type="dxa"/>
              <w:bottom w:w="0" w:type="dxa"/>
              <w:right w:w="108" w:type="dxa"/>
            </w:tcMar>
            <w:vAlign w:val="center"/>
            <w:hideMark/>
          </w:tcPr>
          <w:p w14:paraId="679D3282"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一年内到期的非流动负债</w:t>
            </w:r>
          </w:p>
        </w:tc>
        <w:tc>
          <w:tcPr>
            <w:tcW w:w="1559" w:type="dxa"/>
            <w:tcMar>
              <w:top w:w="0" w:type="dxa"/>
              <w:left w:w="108" w:type="dxa"/>
              <w:bottom w:w="0" w:type="dxa"/>
              <w:right w:w="108" w:type="dxa"/>
            </w:tcMar>
            <w:hideMark/>
          </w:tcPr>
          <w:p w14:paraId="14A7A249"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107,274,194.64</w:t>
            </w:r>
          </w:p>
        </w:tc>
        <w:tc>
          <w:tcPr>
            <w:tcW w:w="1417" w:type="dxa"/>
            <w:tcMar>
              <w:top w:w="0" w:type="dxa"/>
              <w:left w:w="108" w:type="dxa"/>
              <w:bottom w:w="0" w:type="dxa"/>
              <w:right w:w="108" w:type="dxa"/>
            </w:tcMar>
            <w:hideMark/>
          </w:tcPr>
          <w:p w14:paraId="7E098410"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4E1C46D5"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2DD63E4F"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74" w:type="dxa"/>
            <w:tcMar>
              <w:top w:w="0" w:type="dxa"/>
              <w:left w:w="108" w:type="dxa"/>
              <w:bottom w:w="0" w:type="dxa"/>
              <w:right w:w="108" w:type="dxa"/>
            </w:tcMar>
            <w:hideMark/>
          </w:tcPr>
          <w:p w14:paraId="0F2129E1"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107,274,194.64</w:t>
            </w:r>
          </w:p>
        </w:tc>
      </w:tr>
      <w:tr w:rsidR="00AF139E" w:rsidRPr="005B5EC1" w14:paraId="7CDF3745" w14:textId="77777777" w:rsidTr="00D05A56">
        <w:trPr>
          <w:divId w:val="2083523408"/>
          <w:trHeight w:val="340"/>
        </w:trPr>
        <w:tc>
          <w:tcPr>
            <w:tcW w:w="1244" w:type="dxa"/>
            <w:tcMar>
              <w:top w:w="0" w:type="dxa"/>
              <w:left w:w="108" w:type="dxa"/>
              <w:bottom w:w="0" w:type="dxa"/>
              <w:right w:w="108" w:type="dxa"/>
            </w:tcMar>
            <w:vAlign w:val="center"/>
            <w:hideMark/>
          </w:tcPr>
          <w:p w14:paraId="52A659B4"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长期借款</w:t>
            </w:r>
          </w:p>
        </w:tc>
        <w:tc>
          <w:tcPr>
            <w:tcW w:w="1559" w:type="dxa"/>
            <w:tcMar>
              <w:top w:w="0" w:type="dxa"/>
              <w:left w:w="108" w:type="dxa"/>
              <w:bottom w:w="0" w:type="dxa"/>
              <w:right w:w="108" w:type="dxa"/>
            </w:tcMar>
            <w:hideMark/>
          </w:tcPr>
          <w:p w14:paraId="52CC2A07"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7D752E00"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35,950,000.00</w:t>
            </w:r>
          </w:p>
        </w:tc>
        <w:tc>
          <w:tcPr>
            <w:tcW w:w="1417" w:type="dxa"/>
            <w:tcMar>
              <w:top w:w="0" w:type="dxa"/>
              <w:left w:w="108" w:type="dxa"/>
              <w:bottom w:w="0" w:type="dxa"/>
              <w:right w:w="108" w:type="dxa"/>
            </w:tcMar>
            <w:hideMark/>
          </w:tcPr>
          <w:p w14:paraId="13729F94"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54,500,000.00</w:t>
            </w:r>
          </w:p>
        </w:tc>
        <w:tc>
          <w:tcPr>
            <w:tcW w:w="1417" w:type="dxa"/>
            <w:tcMar>
              <w:top w:w="0" w:type="dxa"/>
              <w:left w:w="108" w:type="dxa"/>
              <w:bottom w:w="0" w:type="dxa"/>
              <w:right w:w="108" w:type="dxa"/>
            </w:tcMar>
            <w:hideMark/>
          </w:tcPr>
          <w:p w14:paraId="2F60A1B2"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181,866,541.91</w:t>
            </w:r>
          </w:p>
        </w:tc>
        <w:tc>
          <w:tcPr>
            <w:tcW w:w="1474" w:type="dxa"/>
            <w:tcMar>
              <w:top w:w="0" w:type="dxa"/>
              <w:left w:w="108" w:type="dxa"/>
              <w:bottom w:w="0" w:type="dxa"/>
              <w:right w:w="108" w:type="dxa"/>
            </w:tcMar>
            <w:hideMark/>
          </w:tcPr>
          <w:p w14:paraId="2927F498"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272,316,541.91</w:t>
            </w:r>
          </w:p>
        </w:tc>
      </w:tr>
      <w:tr w:rsidR="00AF139E" w:rsidRPr="005B5EC1" w14:paraId="78DF1E7C" w14:textId="77777777" w:rsidTr="00D05A56">
        <w:trPr>
          <w:divId w:val="2083523408"/>
          <w:trHeight w:val="340"/>
        </w:trPr>
        <w:tc>
          <w:tcPr>
            <w:tcW w:w="1244" w:type="dxa"/>
            <w:tcMar>
              <w:top w:w="0" w:type="dxa"/>
              <w:left w:w="108" w:type="dxa"/>
              <w:bottom w:w="0" w:type="dxa"/>
              <w:right w:w="108" w:type="dxa"/>
            </w:tcMar>
            <w:vAlign w:val="center"/>
            <w:hideMark/>
          </w:tcPr>
          <w:p w14:paraId="1A5839EB"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应付债券</w:t>
            </w:r>
          </w:p>
        </w:tc>
        <w:tc>
          <w:tcPr>
            <w:tcW w:w="1559" w:type="dxa"/>
            <w:tcMar>
              <w:top w:w="0" w:type="dxa"/>
              <w:left w:w="108" w:type="dxa"/>
              <w:bottom w:w="0" w:type="dxa"/>
              <w:right w:w="108" w:type="dxa"/>
            </w:tcMar>
            <w:hideMark/>
          </w:tcPr>
          <w:p w14:paraId="45B2BCEB"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75066753"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934,309,640.97</w:t>
            </w:r>
          </w:p>
        </w:tc>
        <w:tc>
          <w:tcPr>
            <w:tcW w:w="1417" w:type="dxa"/>
            <w:tcMar>
              <w:top w:w="0" w:type="dxa"/>
              <w:left w:w="108" w:type="dxa"/>
              <w:bottom w:w="0" w:type="dxa"/>
              <w:right w:w="108" w:type="dxa"/>
            </w:tcMar>
            <w:hideMark/>
          </w:tcPr>
          <w:p w14:paraId="11B6C0D5"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2B107197"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74" w:type="dxa"/>
            <w:tcMar>
              <w:top w:w="0" w:type="dxa"/>
              <w:left w:w="108" w:type="dxa"/>
              <w:bottom w:w="0" w:type="dxa"/>
              <w:right w:w="108" w:type="dxa"/>
            </w:tcMar>
            <w:hideMark/>
          </w:tcPr>
          <w:p w14:paraId="30E268E6"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934,309,640.97</w:t>
            </w:r>
          </w:p>
        </w:tc>
      </w:tr>
      <w:tr w:rsidR="00AF139E" w:rsidRPr="005B5EC1" w14:paraId="7D89E245" w14:textId="77777777" w:rsidTr="00D05A56">
        <w:trPr>
          <w:divId w:val="2083523408"/>
          <w:trHeight w:val="340"/>
        </w:trPr>
        <w:tc>
          <w:tcPr>
            <w:tcW w:w="1244" w:type="dxa"/>
            <w:tcMar>
              <w:top w:w="0" w:type="dxa"/>
              <w:left w:w="108" w:type="dxa"/>
              <w:bottom w:w="0" w:type="dxa"/>
              <w:right w:w="108" w:type="dxa"/>
            </w:tcMar>
            <w:vAlign w:val="center"/>
            <w:hideMark/>
          </w:tcPr>
          <w:p w14:paraId="22A18092"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租赁负债</w:t>
            </w:r>
          </w:p>
        </w:tc>
        <w:tc>
          <w:tcPr>
            <w:tcW w:w="1559" w:type="dxa"/>
            <w:tcMar>
              <w:top w:w="0" w:type="dxa"/>
              <w:left w:w="108" w:type="dxa"/>
              <w:bottom w:w="0" w:type="dxa"/>
              <w:right w:w="108" w:type="dxa"/>
            </w:tcMar>
            <w:hideMark/>
          </w:tcPr>
          <w:p w14:paraId="28CE2EE4"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08E9B01B"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8,231,306.72</w:t>
            </w:r>
          </w:p>
        </w:tc>
        <w:tc>
          <w:tcPr>
            <w:tcW w:w="1417" w:type="dxa"/>
            <w:tcMar>
              <w:top w:w="0" w:type="dxa"/>
              <w:left w:w="108" w:type="dxa"/>
              <w:bottom w:w="0" w:type="dxa"/>
              <w:right w:w="108" w:type="dxa"/>
            </w:tcMar>
            <w:hideMark/>
          </w:tcPr>
          <w:p w14:paraId="0815B608"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6,620,981.84</w:t>
            </w:r>
          </w:p>
        </w:tc>
        <w:tc>
          <w:tcPr>
            <w:tcW w:w="1417" w:type="dxa"/>
            <w:tcMar>
              <w:top w:w="0" w:type="dxa"/>
              <w:left w:w="108" w:type="dxa"/>
              <w:bottom w:w="0" w:type="dxa"/>
              <w:right w:w="108" w:type="dxa"/>
            </w:tcMar>
            <w:hideMark/>
          </w:tcPr>
          <w:p w14:paraId="43F5098D"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33,262,092.17</w:t>
            </w:r>
          </w:p>
        </w:tc>
        <w:tc>
          <w:tcPr>
            <w:tcW w:w="1474" w:type="dxa"/>
            <w:tcMar>
              <w:top w:w="0" w:type="dxa"/>
              <w:left w:w="108" w:type="dxa"/>
              <w:bottom w:w="0" w:type="dxa"/>
              <w:right w:w="108" w:type="dxa"/>
            </w:tcMar>
            <w:hideMark/>
          </w:tcPr>
          <w:p w14:paraId="2A7C4C5A"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48,114,380.73</w:t>
            </w:r>
          </w:p>
        </w:tc>
      </w:tr>
      <w:tr w:rsidR="00AF139E" w:rsidRPr="005B5EC1" w14:paraId="15B6083D" w14:textId="77777777" w:rsidTr="00D05A56">
        <w:trPr>
          <w:divId w:val="2083523408"/>
          <w:trHeight w:val="340"/>
        </w:trPr>
        <w:tc>
          <w:tcPr>
            <w:tcW w:w="1244" w:type="dxa"/>
            <w:tcMar>
              <w:top w:w="0" w:type="dxa"/>
              <w:left w:w="108" w:type="dxa"/>
              <w:bottom w:w="0" w:type="dxa"/>
              <w:right w:w="108" w:type="dxa"/>
            </w:tcMar>
            <w:vAlign w:val="center"/>
            <w:hideMark/>
          </w:tcPr>
          <w:p w14:paraId="2DBA7F82" w14:textId="77777777" w:rsidR="00AF139E" w:rsidRPr="005B5EC1" w:rsidRDefault="00000000" w:rsidP="00D05A56">
            <w:pPr>
              <w:pStyle w:val="a3"/>
              <w:spacing w:before="0" w:beforeAutospacing="0" w:after="0" w:afterAutospacing="0" w:line="276" w:lineRule="auto"/>
              <w:jc w:val="both"/>
              <w:rPr>
                <w:rFonts w:ascii="Times New Roman" w:hAnsi="Times New Roman" w:cs="Times New Roman"/>
                <w:sz w:val="21"/>
                <w:szCs w:val="21"/>
              </w:rPr>
            </w:pPr>
            <w:r w:rsidRPr="005B5EC1">
              <w:rPr>
                <w:rFonts w:ascii="Times New Roman" w:hAnsi="Times New Roman" w:cs="Times New Roman"/>
                <w:sz w:val="18"/>
                <w:szCs w:val="18"/>
              </w:rPr>
              <w:t>长期应付款</w:t>
            </w:r>
          </w:p>
        </w:tc>
        <w:tc>
          <w:tcPr>
            <w:tcW w:w="1559" w:type="dxa"/>
            <w:tcMar>
              <w:top w:w="0" w:type="dxa"/>
              <w:left w:w="108" w:type="dxa"/>
              <w:bottom w:w="0" w:type="dxa"/>
              <w:right w:w="108" w:type="dxa"/>
            </w:tcMar>
            <w:hideMark/>
          </w:tcPr>
          <w:p w14:paraId="66BA5D3D"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1697E426"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26,518,125.50</w:t>
            </w:r>
          </w:p>
        </w:tc>
        <w:tc>
          <w:tcPr>
            <w:tcW w:w="1417" w:type="dxa"/>
            <w:tcMar>
              <w:top w:w="0" w:type="dxa"/>
              <w:left w:w="108" w:type="dxa"/>
              <w:bottom w:w="0" w:type="dxa"/>
              <w:right w:w="108" w:type="dxa"/>
            </w:tcMar>
            <w:hideMark/>
          </w:tcPr>
          <w:p w14:paraId="5C184A5D"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17" w:type="dxa"/>
            <w:tcMar>
              <w:top w:w="0" w:type="dxa"/>
              <w:left w:w="108" w:type="dxa"/>
              <w:bottom w:w="0" w:type="dxa"/>
              <w:right w:w="108" w:type="dxa"/>
            </w:tcMar>
            <w:hideMark/>
          </w:tcPr>
          <w:p w14:paraId="2AE9B358"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 </w:t>
            </w:r>
          </w:p>
        </w:tc>
        <w:tc>
          <w:tcPr>
            <w:tcW w:w="1474" w:type="dxa"/>
            <w:tcMar>
              <w:top w:w="0" w:type="dxa"/>
              <w:left w:w="108" w:type="dxa"/>
              <w:bottom w:w="0" w:type="dxa"/>
              <w:right w:w="108" w:type="dxa"/>
            </w:tcMar>
            <w:hideMark/>
          </w:tcPr>
          <w:p w14:paraId="6291FD79" w14:textId="77777777" w:rsidR="00AF139E" w:rsidRPr="005B5EC1" w:rsidRDefault="00000000" w:rsidP="00D05A56">
            <w:pPr>
              <w:pStyle w:val="a3"/>
              <w:spacing w:before="0" w:beforeAutospacing="0" w:after="0" w:afterAutospacing="0" w:line="276" w:lineRule="auto"/>
              <w:jc w:val="right"/>
              <w:rPr>
                <w:rFonts w:ascii="Times New Roman" w:hAnsi="Times New Roman" w:cs="Times New Roman"/>
                <w:sz w:val="21"/>
                <w:szCs w:val="21"/>
              </w:rPr>
            </w:pPr>
            <w:r w:rsidRPr="005B5EC1">
              <w:rPr>
                <w:rFonts w:ascii="Times New Roman" w:hAnsi="Times New Roman" w:cs="Times New Roman"/>
                <w:sz w:val="18"/>
                <w:szCs w:val="18"/>
              </w:rPr>
              <w:t>26,518,125.50</w:t>
            </w:r>
          </w:p>
        </w:tc>
      </w:tr>
    </w:tbl>
    <w:p w14:paraId="1BDD7355" w14:textId="77777777" w:rsidR="00E32FE0" w:rsidRPr="005B5EC1" w:rsidRDefault="00000000">
      <w:pPr>
        <w:pStyle w:val="3"/>
        <w:spacing w:line="280" w:lineRule="exact"/>
        <w:jc w:val="left"/>
        <w:rPr>
          <w:rFonts w:ascii="Times New Roman" w:hAnsi="Times New Roman" w:cs="Times New Roman"/>
          <w:b/>
          <w:bCs/>
        </w:rPr>
      </w:pPr>
      <w:bookmarkStart w:id="451" w:name="_Toc989398"/>
      <w:r w:rsidRPr="005B5EC1">
        <w:rPr>
          <w:rFonts w:ascii="Times New Roman" w:hAnsi="Times New Roman" w:cs="Times New Roman"/>
          <w:b/>
          <w:bCs/>
        </w:rPr>
        <w:t>2</w:t>
      </w:r>
      <w:r w:rsidRPr="005B5EC1">
        <w:rPr>
          <w:rFonts w:ascii="Times New Roman" w:hAnsi="Times New Roman" w:cs="Times New Roman"/>
          <w:b/>
          <w:bCs/>
        </w:rPr>
        <w:t>、套期</w:t>
      </w:r>
      <w:bookmarkEnd w:id="451"/>
    </w:p>
    <w:p w14:paraId="199E437F"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52" w:name="_Toc989399"/>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公司开展套期业务进行风险管理</w:t>
      </w:r>
      <w:bookmarkEnd w:id="452"/>
    </w:p>
    <w:p w14:paraId="67901AC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E60349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53" w:name="_Toc989400"/>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公司开展符合条件套期业务并应用套期会计</w:t>
      </w:r>
      <w:bookmarkEnd w:id="453"/>
    </w:p>
    <w:p w14:paraId="15824CD2" w14:textId="77777777" w:rsidR="00AF139E" w:rsidRPr="005B5EC1" w:rsidRDefault="00000000">
      <w:pPr>
        <w:pStyle w:val="a3"/>
        <w:divId w:val="176844563"/>
        <w:rPr>
          <w:rFonts w:ascii="Times New Roman" w:hAnsi="Times New Roman" w:cs="Times New Roman"/>
          <w:sz w:val="18"/>
          <w:szCs w:val="18"/>
        </w:rPr>
      </w:pPr>
      <w:r w:rsidRPr="005B5EC1">
        <w:rPr>
          <w:rFonts w:ascii="Times New Roman" w:hAnsi="Times New Roman" w:cs="Times New Roman"/>
          <w:sz w:val="18"/>
          <w:szCs w:val="18"/>
        </w:rPr>
        <w:t>无</w:t>
      </w:r>
    </w:p>
    <w:p w14:paraId="42C9CE49"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54" w:name="_Toc989401"/>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公司开展套期业务进行风险管理、预期能实现风险管理目标但未应用套期会计</w:t>
      </w:r>
      <w:bookmarkEnd w:id="454"/>
    </w:p>
    <w:p w14:paraId="52FB909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7E81641" w14:textId="77777777" w:rsidR="00E32FE0" w:rsidRPr="005B5EC1" w:rsidRDefault="00000000">
      <w:pPr>
        <w:pStyle w:val="3"/>
        <w:spacing w:line="280" w:lineRule="exact"/>
        <w:jc w:val="left"/>
        <w:rPr>
          <w:rFonts w:ascii="Times New Roman" w:hAnsi="Times New Roman" w:cs="Times New Roman"/>
          <w:b/>
          <w:bCs/>
        </w:rPr>
      </w:pPr>
      <w:bookmarkStart w:id="455" w:name="_Toc989402"/>
      <w:r w:rsidRPr="005B5EC1">
        <w:rPr>
          <w:rFonts w:ascii="Times New Roman" w:hAnsi="Times New Roman" w:cs="Times New Roman"/>
          <w:b/>
          <w:bCs/>
        </w:rPr>
        <w:t>3</w:t>
      </w:r>
      <w:r w:rsidRPr="005B5EC1">
        <w:rPr>
          <w:rFonts w:ascii="Times New Roman" w:hAnsi="Times New Roman" w:cs="Times New Roman"/>
          <w:b/>
          <w:bCs/>
        </w:rPr>
        <w:t>、金融资产</w:t>
      </w:r>
      <w:bookmarkEnd w:id="455"/>
    </w:p>
    <w:p w14:paraId="3DAA8412"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56" w:name="_Toc989403"/>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转移方式分类</w:t>
      </w:r>
      <w:bookmarkEnd w:id="456"/>
    </w:p>
    <w:p w14:paraId="519972D1"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6D69252"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57" w:name="_Toc989404"/>
      <w:r w:rsidRPr="005B5EC1">
        <w:rPr>
          <w:rFonts w:ascii="Times New Roman" w:eastAsia="宋体" w:hAnsi="Times New Roman" w:cs="Times New Roman"/>
          <w:b/>
          <w:bCs/>
          <w:sz w:val="18"/>
          <w:szCs w:val="18"/>
        </w:rPr>
        <w:lastRenderedPageBreak/>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因转移而终止确认的金融资产</w:t>
      </w:r>
      <w:bookmarkEnd w:id="457"/>
    </w:p>
    <w:p w14:paraId="70B817D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6176D0C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458" w:name="_Toc989405"/>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继续涉入的资产转移金融资产</w:t>
      </w:r>
      <w:bookmarkEnd w:id="458"/>
    </w:p>
    <w:p w14:paraId="2634DF2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5629C9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431EEFA7" w14:textId="77777777" w:rsidR="00AF139E" w:rsidRPr="005B5EC1" w:rsidRDefault="00000000">
      <w:pPr>
        <w:pStyle w:val="a3"/>
        <w:divId w:val="629870581"/>
        <w:rPr>
          <w:rFonts w:ascii="Times New Roman" w:hAnsi="Times New Roman" w:cs="Times New Roman"/>
          <w:sz w:val="18"/>
          <w:szCs w:val="18"/>
        </w:rPr>
      </w:pPr>
      <w:r w:rsidRPr="005B5EC1">
        <w:rPr>
          <w:rFonts w:ascii="Times New Roman" w:hAnsi="Times New Roman" w:cs="Times New Roman"/>
          <w:sz w:val="18"/>
          <w:szCs w:val="18"/>
        </w:rPr>
        <w:t>无</w:t>
      </w:r>
    </w:p>
    <w:p w14:paraId="14DCB17D"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59" w:name="_Toc989406"/>
      <w:r w:rsidRPr="005B5EC1">
        <w:rPr>
          <w:rFonts w:ascii="Times New Roman" w:eastAsia="宋体" w:hAnsi="Times New Roman" w:cs="Times New Roman"/>
          <w:b/>
          <w:bCs/>
          <w:sz w:val="24"/>
          <w:szCs w:val="24"/>
        </w:rPr>
        <w:t>十三、公允价值的披露</w:t>
      </w:r>
      <w:bookmarkEnd w:id="459"/>
    </w:p>
    <w:p w14:paraId="7191B763" w14:textId="77777777" w:rsidR="00E32FE0" w:rsidRPr="005B5EC1" w:rsidRDefault="00000000">
      <w:pPr>
        <w:pStyle w:val="3"/>
        <w:spacing w:line="280" w:lineRule="exact"/>
        <w:jc w:val="left"/>
        <w:rPr>
          <w:rFonts w:ascii="Times New Roman" w:hAnsi="Times New Roman" w:cs="Times New Roman"/>
          <w:b/>
          <w:bCs/>
        </w:rPr>
      </w:pPr>
      <w:bookmarkStart w:id="460" w:name="_Toc989407"/>
      <w:r w:rsidRPr="005B5EC1">
        <w:rPr>
          <w:rFonts w:ascii="Times New Roman" w:hAnsi="Times New Roman" w:cs="Times New Roman"/>
          <w:b/>
          <w:bCs/>
        </w:rPr>
        <w:t>1</w:t>
      </w:r>
      <w:r w:rsidRPr="005B5EC1">
        <w:rPr>
          <w:rFonts w:ascii="Times New Roman" w:hAnsi="Times New Roman" w:cs="Times New Roman"/>
          <w:b/>
          <w:bCs/>
        </w:rPr>
        <w:t>、以公允价值计量的资产和负债的期末公允价值</w:t>
      </w:r>
      <w:bookmarkEnd w:id="460"/>
    </w:p>
    <w:p w14:paraId="7E354CE5"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7FA44188" w14:textId="77777777" w:rsidTr="00D05A56">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DD3D7D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30B32B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期末公允价值</w:t>
            </w:r>
          </w:p>
        </w:tc>
      </w:tr>
      <w:tr w:rsidR="00E32FE0" w:rsidRPr="005B5EC1" w14:paraId="6CEE2754" w14:textId="77777777" w:rsidTr="00D05A56">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5B72F611"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456C72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02359B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734C76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ED3584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r>
      <w:tr w:rsidR="00E32FE0" w:rsidRPr="005B5EC1" w14:paraId="5EC69B07" w14:textId="77777777" w:rsidTr="00D05A5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767C0A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257436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8C193B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54DCB4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47B06F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r w:rsidR="00E32FE0" w:rsidRPr="005B5EC1" w14:paraId="5DC46182" w14:textId="77777777" w:rsidTr="00D05A5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43633F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E7424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1,293,700.05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8B1F4E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E0CE2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F6055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1,293,700.05</w:t>
            </w:r>
          </w:p>
        </w:tc>
      </w:tr>
      <w:tr w:rsidR="00E32FE0" w:rsidRPr="005B5EC1" w14:paraId="4C092A78" w14:textId="77777777" w:rsidTr="00D05A5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1DD9BF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DB4D6C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DA062C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CFAB8B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98C724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bl>
    <w:p w14:paraId="16AF102B" w14:textId="77777777" w:rsidR="00E32FE0" w:rsidRPr="005B5EC1" w:rsidRDefault="00000000">
      <w:pPr>
        <w:pStyle w:val="3"/>
        <w:spacing w:line="280" w:lineRule="exact"/>
        <w:jc w:val="left"/>
        <w:rPr>
          <w:rFonts w:ascii="Times New Roman" w:hAnsi="Times New Roman" w:cs="Times New Roman"/>
          <w:b/>
          <w:bCs/>
        </w:rPr>
      </w:pPr>
      <w:bookmarkStart w:id="461" w:name="_Toc989408"/>
      <w:r w:rsidRPr="005B5EC1">
        <w:rPr>
          <w:rFonts w:ascii="Times New Roman" w:hAnsi="Times New Roman" w:cs="Times New Roman"/>
          <w:b/>
          <w:bCs/>
        </w:rPr>
        <w:t>2</w:t>
      </w:r>
      <w:r w:rsidRPr="005B5EC1">
        <w:rPr>
          <w:rFonts w:ascii="Times New Roman" w:hAnsi="Times New Roman" w:cs="Times New Roman"/>
          <w:b/>
          <w:bCs/>
        </w:rPr>
        <w:t>、持续和非持续第一层次公允价值计量项目市价的确定依据</w:t>
      </w:r>
      <w:bookmarkEnd w:id="461"/>
    </w:p>
    <w:p w14:paraId="550BFB8A" w14:textId="77777777" w:rsidR="00AF139E" w:rsidRPr="005B5EC1" w:rsidRDefault="00000000" w:rsidP="00D05A56">
      <w:pPr>
        <w:pStyle w:val="a3"/>
        <w:spacing w:before="0" w:beforeAutospacing="0" w:after="0" w:afterAutospacing="0" w:line="276" w:lineRule="auto"/>
        <w:ind w:firstLineChars="200" w:firstLine="360"/>
        <w:jc w:val="both"/>
        <w:divId w:val="1972324223"/>
        <w:rPr>
          <w:rFonts w:ascii="Times New Roman" w:hAnsi="Times New Roman" w:cs="Times New Roman"/>
          <w:sz w:val="21"/>
          <w:szCs w:val="21"/>
        </w:rPr>
      </w:pPr>
      <w:r w:rsidRPr="005B5EC1">
        <w:rPr>
          <w:rFonts w:ascii="Times New Roman" w:hAnsi="Times New Roman" w:cs="Times New Roman"/>
          <w:sz w:val="18"/>
          <w:szCs w:val="18"/>
        </w:rPr>
        <w:t>本公司第一层次公允价值计量的交易性金融资产系本公司持有的上市公司股票。按股票的收盘价作为公允价值。</w:t>
      </w:r>
    </w:p>
    <w:p w14:paraId="47BDC6A2" w14:textId="77777777" w:rsidR="00E32FE0" w:rsidRPr="005B5EC1" w:rsidRDefault="00000000">
      <w:pPr>
        <w:pStyle w:val="3"/>
        <w:spacing w:line="280" w:lineRule="exact"/>
        <w:jc w:val="left"/>
        <w:rPr>
          <w:rFonts w:ascii="Times New Roman" w:hAnsi="Times New Roman" w:cs="Times New Roman"/>
          <w:b/>
          <w:bCs/>
        </w:rPr>
      </w:pPr>
      <w:bookmarkStart w:id="462" w:name="_Toc989409"/>
      <w:r w:rsidRPr="005B5EC1">
        <w:rPr>
          <w:rFonts w:ascii="Times New Roman" w:hAnsi="Times New Roman" w:cs="Times New Roman"/>
          <w:b/>
          <w:bCs/>
        </w:rPr>
        <w:t>3</w:t>
      </w:r>
      <w:r w:rsidRPr="005B5EC1">
        <w:rPr>
          <w:rFonts w:ascii="Times New Roman" w:hAnsi="Times New Roman" w:cs="Times New Roman"/>
          <w:b/>
          <w:bCs/>
        </w:rPr>
        <w:t>、持续和非持续第二层次公允价值计量项目，采用的估值技术和重要参数的定性及定量信息</w:t>
      </w:r>
      <w:bookmarkEnd w:id="462"/>
    </w:p>
    <w:p w14:paraId="567A0519" w14:textId="77777777" w:rsidR="00AF139E" w:rsidRPr="005B5EC1" w:rsidRDefault="00000000" w:rsidP="00D05A56">
      <w:pPr>
        <w:pStyle w:val="a3"/>
        <w:spacing w:before="0" w:beforeAutospacing="0" w:after="0" w:afterAutospacing="0" w:line="276" w:lineRule="auto"/>
        <w:ind w:firstLineChars="200" w:firstLine="360"/>
        <w:jc w:val="both"/>
        <w:divId w:val="1303997114"/>
        <w:rPr>
          <w:rFonts w:ascii="Times New Roman" w:hAnsi="Times New Roman" w:cs="Times New Roman"/>
          <w:sz w:val="18"/>
          <w:szCs w:val="18"/>
        </w:rPr>
      </w:pPr>
      <w:r w:rsidRPr="005B5EC1">
        <w:rPr>
          <w:rFonts w:ascii="Times New Roman" w:hAnsi="Times New Roman" w:cs="Times New Roman"/>
          <w:sz w:val="18"/>
          <w:szCs w:val="18"/>
        </w:rPr>
        <w:t>无</w:t>
      </w:r>
    </w:p>
    <w:p w14:paraId="22227E87" w14:textId="77777777" w:rsidR="00E32FE0" w:rsidRPr="005B5EC1" w:rsidRDefault="00000000">
      <w:pPr>
        <w:pStyle w:val="3"/>
        <w:spacing w:line="280" w:lineRule="exact"/>
        <w:jc w:val="left"/>
        <w:rPr>
          <w:rFonts w:ascii="Times New Roman" w:hAnsi="Times New Roman" w:cs="Times New Roman"/>
          <w:b/>
          <w:bCs/>
        </w:rPr>
      </w:pPr>
      <w:bookmarkStart w:id="463" w:name="_Toc989410"/>
      <w:r w:rsidRPr="005B5EC1">
        <w:rPr>
          <w:rFonts w:ascii="Times New Roman" w:hAnsi="Times New Roman" w:cs="Times New Roman"/>
          <w:b/>
          <w:bCs/>
        </w:rPr>
        <w:t>4</w:t>
      </w:r>
      <w:r w:rsidRPr="005B5EC1">
        <w:rPr>
          <w:rFonts w:ascii="Times New Roman" w:hAnsi="Times New Roman" w:cs="Times New Roman"/>
          <w:b/>
          <w:bCs/>
        </w:rPr>
        <w:t>、持续和非持续第三层次公允价值计量项目，采用的估值技术和重要参数的定性及定量信息</w:t>
      </w:r>
      <w:bookmarkEnd w:id="463"/>
    </w:p>
    <w:p w14:paraId="205CD0D8" w14:textId="77777777" w:rsidR="00AF139E" w:rsidRPr="00D05A56" w:rsidRDefault="00000000" w:rsidP="00D05A56">
      <w:pPr>
        <w:pStyle w:val="a3"/>
        <w:spacing w:before="0" w:beforeAutospacing="0" w:after="0" w:afterAutospacing="0" w:line="276" w:lineRule="auto"/>
        <w:ind w:firstLineChars="200" w:firstLine="360"/>
        <w:jc w:val="both"/>
        <w:divId w:val="178585817"/>
        <w:rPr>
          <w:rFonts w:ascii="Times New Roman" w:hAnsi="Times New Roman" w:cs="Times New Roman"/>
          <w:sz w:val="18"/>
          <w:szCs w:val="18"/>
        </w:rPr>
      </w:pPr>
      <w:r w:rsidRPr="00D05A56">
        <w:rPr>
          <w:rFonts w:ascii="Times New Roman" w:hAnsi="Times New Roman" w:cs="Times New Roman"/>
          <w:sz w:val="18"/>
          <w:szCs w:val="18"/>
        </w:rPr>
        <w:t>本公司第三层次公允价值计量的其他权益工具投资系本公司持有的非上市公司股权。被投资企业经营环境和经营情况、财务状况未发生重大变化，所以公司按持股比例计算被投资单位账面权益核算金额作为公允价值的合理估计进行计量。</w:t>
      </w:r>
    </w:p>
    <w:p w14:paraId="23C4B31B" w14:textId="77777777" w:rsidR="00E32FE0" w:rsidRPr="005B5EC1" w:rsidRDefault="00000000">
      <w:pPr>
        <w:pStyle w:val="3"/>
        <w:spacing w:line="280" w:lineRule="exact"/>
        <w:jc w:val="left"/>
        <w:rPr>
          <w:rFonts w:ascii="Times New Roman" w:hAnsi="Times New Roman" w:cs="Times New Roman"/>
          <w:b/>
          <w:bCs/>
        </w:rPr>
      </w:pPr>
      <w:bookmarkStart w:id="464" w:name="_Toc989411"/>
      <w:r w:rsidRPr="005B5EC1">
        <w:rPr>
          <w:rFonts w:ascii="Times New Roman" w:hAnsi="Times New Roman" w:cs="Times New Roman"/>
          <w:b/>
          <w:bCs/>
        </w:rPr>
        <w:t>5</w:t>
      </w:r>
      <w:r w:rsidRPr="005B5EC1">
        <w:rPr>
          <w:rFonts w:ascii="Times New Roman" w:hAnsi="Times New Roman" w:cs="Times New Roman"/>
          <w:b/>
          <w:bCs/>
        </w:rPr>
        <w:t>、持续的第三层次公允价值计量项目，期初与期末账面价值间的调节信息及不可观察参数敏感性分析</w:t>
      </w:r>
      <w:bookmarkEnd w:id="464"/>
    </w:p>
    <w:p w14:paraId="4C17D4F8" w14:textId="77777777" w:rsidR="00AF139E" w:rsidRPr="005B5EC1" w:rsidRDefault="00000000" w:rsidP="00D05A56">
      <w:pPr>
        <w:pStyle w:val="a3"/>
        <w:spacing w:before="0" w:beforeAutospacing="0" w:after="0" w:afterAutospacing="0" w:line="276" w:lineRule="auto"/>
        <w:ind w:firstLineChars="200" w:firstLine="360"/>
        <w:jc w:val="both"/>
        <w:divId w:val="1655135170"/>
        <w:rPr>
          <w:rFonts w:ascii="Times New Roman" w:hAnsi="Times New Roman" w:cs="Times New Roman"/>
          <w:sz w:val="18"/>
          <w:szCs w:val="18"/>
        </w:rPr>
      </w:pPr>
      <w:r w:rsidRPr="005B5EC1">
        <w:rPr>
          <w:rFonts w:ascii="Times New Roman" w:hAnsi="Times New Roman" w:cs="Times New Roman"/>
          <w:sz w:val="18"/>
          <w:szCs w:val="18"/>
        </w:rPr>
        <w:t>无</w:t>
      </w:r>
    </w:p>
    <w:p w14:paraId="495216D8" w14:textId="77777777" w:rsidR="00E32FE0" w:rsidRPr="005B5EC1" w:rsidRDefault="00000000">
      <w:pPr>
        <w:pStyle w:val="3"/>
        <w:spacing w:line="280" w:lineRule="exact"/>
        <w:jc w:val="left"/>
        <w:rPr>
          <w:rFonts w:ascii="Times New Roman" w:hAnsi="Times New Roman" w:cs="Times New Roman"/>
          <w:b/>
          <w:bCs/>
        </w:rPr>
      </w:pPr>
      <w:bookmarkStart w:id="465" w:name="_Toc989412"/>
      <w:r w:rsidRPr="005B5EC1">
        <w:rPr>
          <w:rFonts w:ascii="Times New Roman" w:hAnsi="Times New Roman" w:cs="Times New Roman"/>
          <w:b/>
          <w:bCs/>
        </w:rPr>
        <w:lastRenderedPageBreak/>
        <w:t>6</w:t>
      </w:r>
      <w:r w:rsidRPr="005B5EC1">
        <w:rPr>
          <w:rFonts w:ascii="Times New Roman" w:hAnsi="Times New Roman" w:cs="Times New Roman"/>
          <w:b/>
          <w:bCs/>
        </w:rPr>
        <w:t>、持续的公允价值计量项目，本期内发生各层级之间转换的，转换的原因及确定转换时点的政策</w:t>
      </w:r>
      <w:bookmarkEnd w:id="465"/>
    </w:p>
    <w:p w14:paraId="6D4333C2" w14:textId="77777777" w:rsidR="00AF139E" w:rsidRPr="005B5EC1" w:rsidRDefault="00000000" w:rsidP="00D05A56">
      <w:pPr>
        <w:pStyle w:val="a3"/>
        <w:spacing w:before="0" w:beforeAutospacing="0" w:after="0" w:afterAutospacing="0" w:line="276" w:lineRule="auto"/>
        <w:ind w:firstLineChars="200" w:firstLine="360"/>
        <w:jc w:val="both"/>
        <w:divId w:val="2063406643"/>
        <w:rPr>
          <w:rFonts w:ascii="Times New Roman" w:hAnsi="Times New Roman" w:cs="Times New Roman"/>
          <w:sz w:val="18"/>
          <w:szCs w:val="18"/>
        </w:rPr>
      </w:pPr>
      <w:r w:rsidRPr="005B5EC1">
        <w:rPr>
          <w:rFonts w:ascii="Times New Roman" w:hAnsi="Times New Roman" w:cs="Times New Roman"/>
          <w:sz w:val="18"/>
          <w:szCs w:val="18"/>
        </w:rPr>
        <w:t>无</w:t>
      </w:r>
    </w:p>
    <w:p w14:paraId="46258AC5" w14:textId="77777777" w:rsidR="00E32FE0" w:rsidRPr="005B5EC1" w:rsidRDefault="00000000">
      <w:pPr>
        <w:pStyle w:val="3"/>
        <w:spacing w:line="280" w:lineRule="exact"/>
        <w:jc w:val="left"/>
        <w:rPr>
          <w:rFonts w:ascii="Times New Roman" w:hAnsi="Times New Roman" w:cs="Times New Roman"/>
          <w:b/>
          <w:bCs/>
        </w:rPr>
      </w:pPr>
      <w:bookmarkStart w:id="466" w:name="_Toc989413"/>
      <w:r w:rsidRPr="005B5EC1">
        <w:rPr>
          <w:rFonts w:ascii="Times New Roman" w:hAnsi="Times New Roman" w:cs="Times New Roman"/>
          <w:b/>
          <w:bCs/>
        </w:rPr>
        <w:t>7</w:t>
      </w:r>
      <w:r w:rsidRPr="005B5EC1">
        <w:rPr>
          <w:rFonts w:ascii="Times New Roman" w:hAnsi="Times New Roman" w:cs="Times New Roman"/>
          <w:b/>
          <w:bCs/>
        </w:rPr>
        <w:t>、本期内发生的估值技术变更及变更原因</w:t>
      </w:r>
      <w:bookmarkEnd w:id="466"/>
    </w:p>
    <w:p w14:paraId="2949739F" w14:textId="77777777" w:rsidR="00AF139E" w:rsidRPr="005B5EC1" w:rsidRDefault="00000000" w:rsidP="00D05A56">
      <w:pPr>
        <w:pStyle w:val="a3"/>
        <w:spacing w:before="0" w:beforeAutospacing="0" w:after="0" w:afterAutospacing="0" w:line="276" w:lineRule="auto"/>
        <w:ind w:firstLineChars="200" w:firstLine="360"/>
        <w:jc w:val="both"/>
        <w:divId w:val="1813131857"/>
        <w:rPr>
          <w:rFonts w:ascii="Times New Roman" w:hAnsi="Times New Roman" w:cs="Times New Roman"/>
          <w:sz w:val="18"/>
          <w:szCs w:val="18"/>
        </w:rPr>
      </w:pPr>
      <w:r w:rsidRPr="005B5EC1">
        <w:rPr>
          <w:rFonts w:ascii="Times New Roman" w:hAnsi="Times New Roman" w:cs="Times New Roman"/>
          <w:sz w:val="18"/>
          <w:szCs w:val="18"/>
        </w:rPr>
        <w:t>无</w:t>
      </w:r>
    </w:p>
    <w:p w14:paraId="01E55C41" w14:textId="77777777" w:rsidR="00E32FE0" w:rsidRPr="005B5EC1" w:rsidRDefault="00000000">
      <w:pPr>
        <w:pStyle w:val="3"/>
        <w:spacing w:line="280" w:lineRule="exact"/>
        <w:jc w:val="left"/>
        <w:rPr>
          <w:rFonts w:ascii="Times New Roman" w:hAnsi="Times New Roman" w:cs="Times New Roman"/>
          <w:b/>
          <w:bCs/>
        </w:rPr>
      </w:pPr>
      <w:bookmarkStart w:id="467" w:name="_Toc989414"/>
      <w:r w:rsidRPr="005B5EC1">
        <w:rPr>
          <w:rFonts w:ascii="Times New Roman" w:hAnsi="Times New Roman" w:cs="Times New Roman"/>
          <w:b/>
          <w:bCs/>
        </w:rPr>
        <w:t>8</w:t>
      </w:r>
      <w:r w:rsidRPr="005B5EC1">
        <w:rPr>
          <w:rFonts w:ascii="Times New Roman" w:hAnsi="Times New Roman" w:cs="Times New Roman"/>
          <w:b/>
          <w:bCs/>
        </w:rPr>
        <w:t>、不以公允价值计量的金融资产和金融负债的公允价值情况</w:t>
      </w:r>
      <w:bookmarkEnd w:id="467"/>
    </w:p>
    <w:p w14:paraId="5710D3A6" w14:textId="77777777" w:rsidR="00AF139E" w:rsidRPr="005B5EC1" w:rsidRDefault="00000000" w:rsidP="00D05A56">
      <w:pPr>
        <w:pStyle w:val="a3"/>
        <w:spacing w:before="0" w:beforeAutospacing="0" w:after="0" w:afterAutospacing="0" w:line="276" w:lineRule="auto"/>
        <w:ind w:firstLineChars="200" w:firstLine="360"/>
        <w:jc w:val="both"/>
        <w:divId w:val="310067097"/>
        <w:rPr>
          <w:rFonts w:ascii="Times New Roman" w:hAnsi="Times New Roman" w:cs="Times New Roman"/>
          <w:sz w:val="18"/>
          <w:szCs w:val="18"/>
        </w:rPr>
      </w:pPr>
      <w:r w:rsidRPr="005B5EC1">
        <w:rPr>
          <w:rFonts w:ascii="Times New Roman" w:hAnsi="Times New Roman" w:cs="Times New Roman"/>
          <w:sz w:val="18"/>
          <w:szCs w:val="18"/>
        </w:rPr>
        <w:t>无</w:t>
      </w:r>
    </w:p>
    <w:p w14:paraId="3B945D53" w14:textId="77777777" w:rsidR="00E32FE0" w:rsidRPr="005B5EC1" w:rsidRDefault="00000000">
      <w:pPr>
        <w:pStyle w:val="3"/>
        <w:spacing w:line="280" w:lineRule="exact"/>
        <w:jc w:val="left"/>
        <w:rPr>
          <w:rFonts w:ascii="Times New Roman" w:hAnsi="Times New Roman" w:cs="Times New Roman"/>
          <w:b/>
          <w:bCs/>
        </w:rPr>
      </w:pPr>
      <w:bookmarkStart w:id="468" w:name="_Toc989415"/>
      <w:r w:rsidRPr="005B5EC1">
        <w:rPr>
          <w:rFonts w:ascii="Times New Roman" w:hAnsi="Times New Roman" w:cs="Times New Roman"/>
          <w:b/>
          <w:bCs/>
        </w:rPr>
        <w:t>9</w:t>
      </w:r>
      <w:r w:rsidRPr="005B5EC1">
        <w:rPr>
          <w:rFonts w:ascii="Times New Roman" w:hAnsi="Times New Roman" w:cs="Times New Roman"/>
          <w:b/>
          <w:bCs/>
        </w:rPr>
        <w:t>、其他</w:t>
      </w:r>
      <w:bookmarkEnd w:id="468"/>
    </w:p>
    <w:p w14:paraId="45CD17B6" w14:textId="77777777" w:rsidR="00AF139E" w:rsidRPr="005B5EC1" w:rsidRDefault="00000000" w:rsidP="00D05A56">
      <w:pPr>
        <w:pStyle w:val="a3"/>
        <w:spacing w:before="0" w:beforeAutospacing="0" w:after="0" w:afterAutospacing="0" w:line="276" w:lineRule="auto"/>
        <w:ind w:firstLineChars="200" w:firstLine="360"/>
        <w:jc w:val="both"/>
        <w:divId w:val="1236546993"/>
        <w:rPr>
          <w:rFonts w:ascii="Times New Roman" w:hAnsi="Times New Roman" w:cs="Times New Roman"/>
          <w:sz w:val="18"/>
          <w:szCs w:val="18"/>
        </w:rPr>
      </w:pPr>
      <w:r w:rsidRPr="005B5EC1">
        <w:rPr>
          <w:rFonts w:ascii="Times New Roman" w:hAnsi="Times New Roman" w:cs="Times New Roman"/>
          <w:sz w:val="18"/>
          <w:szCs w:val="18"/>
        </w:rPr>
        <w:t>无</w:t>
      </w:r>
    </w:p>
    <w:p w14:paraId="681383CC"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69" w:name="_Toc989416"/>
      <w:r w:rsidRPr="005B5EC1">
        <w:rPr>
          <w:rFonts w:ascii="Times New Roman" w:eastAsia="宋体" w:hAnsi="Times New Roman" w:cs="Times New Roman"/>
          <w:b/>
          <w:bCs/>
          <w:sz w:val="24"/>
          <w:szCs w:val="24"/>
        </w:rPr>
        <w:t>十四、关联方及关联交易</w:t>
      </w:r>
      <w:bookmarkEnd w:id="469"/>
    </w:p>
    <w:p w14:paraId="4FB40B6A" w14:textId="77777777" w:rsidR="00E32FE0" w:rsidRPr="005B5EC1" w:rsidRDefault="00000000">
      <w:pPr>
        <w:pStyle w:val="3"/>
        <w:spacing w:line="280" w:lineRule="exact"/>
        <w:jc w:val="left"/>
        <w:rPr>
          <w:rFonts w:ascii="Times New Roman" w:hAnsi="Times New Roman" w:cs="Times New Roman"/>
          <w:b/>
          <w:bCs/>
        </w:rPr>
      </w:pPr>
      <w:bookmarkStart w:id="470" w:name="_Toc989417"/>
      <w:r w:rsidRPr="005B5EC1">
        <w:rPr>
          <w:rFonts w:ascii="Times New Roman" w:hAnsi="Times New Roman" w:cs="Times New Roman"/>
          <w:b/>
          <w:bCs/>
        </w:rPr>
        <w:t>1</w:t>
      </w:r>
      <w:r w:rsidRPr="005B5EC1">
        <w:rPr>
          <w:rFonts w:ascii="Times New Roman" w:hAnsi="Times New Roman" w:cs="Times New Roman"/>
          <w:b/>
          <w:bCs/>
        </w:rPr>
        <w:t>、本企业的母公司情况</w:t>
      </w:r>
      <w:bookmarkEnd w:id="470"/>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7A550CDA"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926C75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母公司名称</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FBA024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注册地</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DF7894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业务性质</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C598CD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注册资本</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27D8C4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母公司对本企业的持股比例</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57AFD5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母公司对本企业的表决权比例</w:t>
            </w:r>
          </w:p>
        </w:tc>
      </w:tr>
      <w:tr w:rsidR="00E32FE0" w:rsidRPr="005B5EC1" w14:paraId="36615BCD"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BDB04C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C530A4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深圳</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8BD2FC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投资</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CDF197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666,700.00</w:t>
            </w:r>
            <w:r w:rsidRPr="005B5EC1">
              <w:rPr>
                <w:rFonts w:ascii="Times New Roman" w:eastAsia="宋体" w:hAnsi="Times New Roman" w:cs="Times New Roman"/>
                <w:sz w:val="18"/>
                <w:szCs w:val="18"/>
              </w:rPr>
              <w:t>万元</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5E1F1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27.23%</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7E990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27.23%</w:t>
            </w:r>
          </w:p>
        </w:tc>
      </w:tr>
    </w:tbl>
    <w:p w14:paraId="68CB10A6" w14:textId="4ED3CD1A" w:rsidR="00E32FE0" w:rsidRPr="00D05A56" w:rsidRDefault="00000000" w:rsidP="00D05A56">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本企业的母公司情况的说明</w:t>
      </w:r>
    </w:p>
    <w:p w14:paraId="514A8CD7" w14:textId="77777777" w:rsidR="00E32FE0" w:rsidRPr="005B5EC1" w:rsidRDefault="00000000" w:rsidP="00D05A56">
      <w:pPr>
        <w:pStyle w:val="a3"/>
        <w:spacing w:before="0" w:beforeAutospacing="0" w:after="0" w:afterAutospacing="0" w:line="276" w:lineRule="auto"/>
        <w:ind w:firstLineChars="200" w:firstLine="360"/>
        <w:jc w:val="both"/>
        <w:rPr>
          <w:rFonts w:ascii="Times New Roman" w:hAnsi="Times New Roman" w:cs="Times New Roman"/>
          <w:sz w:val="18"/>
          <w:szCs w:val="18"/>
        </w:rPr>
      </w:pPr>
      <w:r w:rsidRPr="005B5EC1">
        <w:rPr>
          <w:rFonts w:ascii="Times New Roman" w:hAnsi="Times New Roman" w:cs="Times New Roman"/>
          <w:sz w:val="18"/>
          <w:szCs w:val="18"/>
        </w:rPr>
        <w:t>本企业最终控制方是戴学斌、董翔。</w:t>
      </w:r>
    </w:p>
    <w:p w14:paraId="3409FA7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7DDA38FC" w14:textId="77777777" w:rsidR="00AF139E" w:rsidRPr="005B5EC1" w:rsidRDefault="00000000" w:rsidP="00D05A56">
      <w:pPr>
        <w:pStyle w:val="a3"/>
        <w:spacing w:before="0" w:beforeAutospacing="0" w:after="0" w:afterAutospacing="0" w:line="276" w:lineRule="auto"/>
        <w:ind w:firstLineChars="200" w:firstLine="360"/>
        <w:jc w:val="both"/>
        <w:divId w:val="696195525"/>
        <w:rPr>
          <w:rFonts w:ascii="Times New Roman" w:hAnsi="Times New Roman" w:cs="Times New Roman"/>
          <w:sz w:val="18"/>
          <w:szCs w:val="18"/>
        </w:rPr>
      </w:pPr>
      <w:r w:rsidRPr="005B5EC1">
        <w:rPr>
          <w:rFonts w:ascii="Times New Roman" w:hAnsi="Times New Roman" w:cs="Times New Roman"/>
          <w:sz w:val="18"/>
          <w:szCs w:val="18"/>
        </w:rPr>
        <w:t>无</w:t>
      </w:r>
    </w:p>
    <w:p w14:paraId="37C91DA0" w14:textId="77777777" w:rsidR="00E32FE0" w:rsidRPr="005B5EC1" w:rsidRDefault="00000000">
      <w:pPr>
        <w:pStyle w:val="3"/>
        <w:spacing w:line="280" w:lineRule="exact"/>
        <w:jc w:val="left"/>
        <w:rPr>
          <w:rFonts w:ascii="Times New Roman" w:hAnsi="Times New Roman" w:cs="Times New Roman"/>
          <w:b/>
          <w:bCs/>
        </w:rPr>
      </w:pPr>
      <w:bookmarkStart w:id="471" w:name="_Toc989418"/>
      <w:r w:rsidRPr="005B5EC1">
        <w:rPr>
          <w:rFonts w:ascii="Times New Roman" w:hAnsi="Times New Roman" w:cs="Times New Roman"/>
          <w:b/>
          <w:bCs/>
        </w:rPr>
        <w:t>2</w:t>
      </w:r>
      <w:r w:rsidRPr="005B5EC1">
        <w:rPr>
          <w:rFonts w:ascii="Times New Roman" w:hAnsi="Times New Roman" w:cs="Times New Roman"/>
          <w:b/>
          <w:bCs/>
        </w:rPr>
        <w:t>、本企业的子公司情况</w:t>
      </w:r>
      <w:bookmarkEnd w:id="471"/>
    </w:p>
    <w:p w14:paraId="39824330" w14:textId="77777777" w:rsidR="00E32FE0" w:rsidRPr="005B5EC1" w:rsidRDefault="00000000" w:rsidP="00D05A56">
      <w:pPr>
        <w:pStyle w:val="a3"/>
        <w:spacing w:before="0" w:beforeAutospacing="0" w:after="0" w:afterAutospacing="0" w:line="276" w:lineRule="auto"/>
        <w:ind w:firstLineChars="200" w:firstLine="360"/>
        <w:jc w:val="both"/>
        <w:rPr>
          <w:rFonts w:ascii="Times New Roman" w:hAnsi="Times New Roman" w:cs="Times New Roman"/>
          <w:sz w:val="18"/>
          <w:szCs w:val="18"/>
        </w:rPr>
      </w:pPr>
      <w:r w:rsidRPr="005B5EC1">
        <w:rPr>
          <w:rFonts w:ascii="Times New Roman" w:hAnsi="Times New Roman" w:cs="Times New Roman"/>
          <w:sz w:val="18"/>
          <w:szCs w:val="18"/>
        </w:rPr>
        <w:t>本企业子公司的情况详见附注十、</w:t>
      </w:r>
      <w:r w:rsidRPr="005B5EC1">
        <w:rPr>
          <w:rFonts w:ascii="Times New Roman" w:hAnsi="Times New Roman" w:cs="Times New Roman"/>
          <w:sz w:val="18"/>
          <w:szCs w:val="18"/>
        </w:rPr>
        <w:t xml:space="preserve">1 </w:t>
      </w:r>
      <w:r w:rsidRPr="005B5EC1">
        <w:rPr>
          <w:rFonts w:ascii="Times New Roman" w:hAnsi="Times New Roman" w:cs="Times New Roman"/>
          <w:sz w:val="18"/>
          <w:szCs w:val="18"/>
        </w:rPr>
        <w:t>、在子公司中的权益。</w:t>
      </w:r>
    </w:p>
    <w:p w14:paraId="55586DE4" w14:textId="77777777" w:rsidR="00E32FE0" w:rsidRPr="005B5EC1" w:rsidRDefault="00000000">
      <w:pPr>
        <w:pStyle w:val="3"/>
        <w:spacing w:line="280" w:lineRule="exact"/>
        <w:jc w:val="left"/>
        <w:rPr>
          <w:rFonts w:ascii="Times New Roman" w:hAnsi="Times New Roman" w:cs="Times New Roman"/>
          <w:b/>
          <w:bCs/>
        </w:rPr>
      </w:pPr>
      <w:bookmarkStart w:id="472" w:name="_Toc989419"/>
      <w:r w:rsidRPr="005B5EC1">
        <w:rPr>
          <w:rFonts w:ascii="Times New Roman" w:hAnsi="Times New Roman" w:cs="Times New Roman"/>
          <w:b/>
          <w:bCs/>
        </w:rPr>
        <w:t>3</w:t>
      </w:r>
      <w:r w:rsidRPr="005B5EC1">
        <w:rPr>
          <w:rFonts w:ascii="Times New Roman" w:hAnsi="Times New Roman" w:cs="Times New Roman"/>
          <w:b/>
          <w:bCs/>
        </w:rPr>
        <w:t>、本企业合营和联营企业情况</w:t>
      </w:r>
      <w:bookmarkEnd w:id="472"/>
    </w:p>
    <w:p w14:paraId="3C7C9B6B" w14:textId="77777777" w:rsidR="00E32FE0" w:rsidRPr="005B5EC1" w:rsidRDefault="00000000" w:rsidP="00D05A56">
      <w:pPr>
        <w:pStyle w:val="a3"/>
        <w:spacing w:before="0" w:beforeAutospacing="0" w:after="0" w:afterAutospacing="0" w:line="276" w:lineRule="auto"/>
        <w:ind w:firstLineChars="200" w:firstLine="360"/>
        <w:jc w:val="both"/>
        <w:rPr>
          <w:rFonts w:ascii="Times New Roman" w:hAnsi="Times New Roman" w:cs="Times New Roman"/>
          <w:sz w:val="18"/>
          <w:szCs w:val="18"/>
        </w:rPr>
      </w:pPr>
      <w:r w:rsidRPr="005B5EC1">
        <w:rPr>
          <w:rFonts w:ascii="Times New Roman" w:hAnsi="Times New Roman" w:cs="Times New Roman"/>
          <w:sz w:val="18"/>
          <w:szCs w:val="18"/>
        </w:rPr>
        <w:t>本企业重要的合营或联营企业详见附注。</w:t>
      </w:r>
    </w:p>
    <w:p w14:paraId="13633EAD" w14:textId="77777777" w:rsidR="00E32FE0" w:rsidRPr="005B5EC1" w:rsidRDefault="00000000" w:rsidP="00D05A56">
      <w:pPr>
        <w:pStyle w:val="a3"/>
        <w:spacing w:before="0" w:beforeAutospacing="0" w:after="0" w:afterAutospacing="0" w:line="276" w:lineRule="auto"/>
        <w:ind w:firstLineChars="200" w:firstLine="360"/>
        <w:jc w:val="both"/>
        <w:rPr>
          <w:rFonts w:ascii="Times New Roman" w:hAnsi="Times New Roman" w:cs="Times New Roman"/>
          <w:sz w:val="18"/>
          <w:szCs w:val="18"/>
        </w:rPr>
      </w:pPr>
      <w:r w:rsidRPr="005B5EC1">
        <w:rPr>
          <w:rFonts w:ascii="Times New Roman" w:hAnsi="Times New Roman" w:cs="Times New Roman"/>
          <w:sz w:val="18"/>
          <w:szCs w:val="18"/>
        </w:rPr>
        <w:t>本期与本公司发生关联方交易，或前期与本公司发生关联方交易形成余额的其他合营或联营企业情况如下：</w:t>
      </w:r>
    </w:p>
    <w:p w14:paraId="1584B942" w14:textId="77777777" w:rsidR="00AF139E" w:rsidRPr="005B5EC1" w:rsidRDefault="00000000">
      <w:pPr>
        <w:pStyle w:val="a3"/>
        <w:divId w:val="275908371"/>
        <w:rPr>
          <w:rFonts w:ascii="Times New Roman" w:hAnsi="Times New Roman" w:cs="Times New Roman"/>
          <w:sz w:val="18"/>
          <w:szCs w:val="18"/>
        </w:rPr>
      </w:pPr>
      <w:r w:rsidRPr="005B5EC1">
        <w:rPr>
          <w:rFonts w:ascii="Times New Roman" w:hAnsi="Times New Roman" w:cs="Times New Roman"/>
          <w:sz w:val="18"/>
          <w:szCs w:val="18"/>
        </w:rPr>
        <w:t>无</w:t>
      </w:r>
    </w:p>
    <w:p w14:paraId="1FC3E794" w14:textId="77777777" w:rsidR="00E32FE0" w:rsidRPr="005B5EC1" w:rsidRDefault="00000000">
      <w:pPr>
        <w:pStyle w:val="3"/>
        <w:spacing w:line="280" w:lineRule="exact"/>
        <w:jc w:val="left"/>
        <w:rPr>
          <w:rFonts w:ascii="Times New Roman" w:hAnsi="Times New Roman" w:cs="Times New Roman"/>
          <w:b/>
          <w:bCs/>
        </w:rPr>
      </w:pPr>
      <w:bookmarkStart w:id="473" w:name="_Toc989420"/>
      <w:r w:rsidRPr="005B5EC1">
        <w:rPr>
          <w:rFonts w:ascii="Times New Roman" w:hAnsi="Times New Roman" w:cs="Times New Roman"/>
          <w:b/>
          <w:bCs/>
        </w:rPr>
        <w:t>4</w:t>
      </w:r>
      <w:r w:rsidRPr="005B5EC1">
        <w:rPr>
          <w:rFonts w:ascii="Times New Roman" w:hAnsi="Times New Roman" w:cs="Times New Roman"/>
          <w:b/>
          <w:bCs/>
        </w:rPr>
        <w:t>、其他关联方情况</w:t>
      </w:r>
      <w:bookmarkEnd w:id="47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D05A56" w14:paraId="0A40434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997E0FF" w14:textId="77777777" w:rsidR="00E32FE0" w:rsidRPr="00D05A56" w:rsidRDefault="00000000" w:rsidP="00D05A56">
            <w:pPr>
              <w:spacing w:after="0" w:line="276" w:lineRule="auto"/>
              <w:jc w:val="center"/>
              <w:rPr>
                <w:rFonts w:ascii="Times New Roman" w:eastAsia="宋体" w:hAnsi="Times New Roman" w:cs="Times New Roman"/>
                <w:sz w:val="18"/>
                <w:szCs w:val="18"/>
              </w:rPr>
            </w:pPr>
            <w:r w:rsidRPr="00D05A56">
              <w:rPr>
                <w:rFonts w:ascii="Times New Roman" w:eastAsia="宋体" w:hAnsi="Times New Roman" w:cs="Times New Roman"/>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29F7460" w14:textId="77777777" w:rsidR="00E32FE0" w:rsidRPr="00D05A56" w:rsidRDefault="00000000" w:rsidP="00D05A56">
            <w:pPr>
              <w:spacing w:after="0" w:line="276" w:lineRule="auto"/>
              <w:jc w:val="center"/>
              <w:rPr>
                <w:rFonts w:ascii="Times New Roman" w:eastAsia="宋体" w:hAnsi="Times New Roman" w:cs="Times New Roman"/>
                <w:sz w:val="18"/>
                <w:szCs w:val="18"/>
              </w:rPr>
            </w:pPr>
            <w:r w:rsidRPr="00D05A56">
              <w:rPr>
                <w:rFonts w:ascii="Times New Roman" w:eastAsia="宋体" w:hAnsi="Times New Roman" w:cs="Times New Roman"/>
                <w:sz w:val="18"/>
                <w:szCs w:val="18"/>
              </w:rPr>
              <w:t>其他关联方与本企业关系</w:t>
            </w:r>
          </w:p>
        </w:tc>
      </w:tr>
      <w:tr w:rsidR="00E32FE0" w:rsidRPr="00D05A56" w14:paraId="0FABF77E"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E6170FA"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怡</w:t>
            </w:r>
            <w:proofErr w:type="gramEnd"/>
            <w:r w:rsidRPr="00D05A56">
              <w:rPr>
                <w:rFonts w:ascii="Times New Roman" w:eastAsia="宋体" w:hAnsi="Times New Roman" w:cs="Times New Roman"/>
                <w:sz w:val="18"/>
                <w:szCs w:val="18"/>
              </w:rPr>
              <w:t>君控股有限公司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B38088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1AE92D6B"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342451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蓝润集团有限公司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0612C3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CAA4F58"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E801EA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lastRenderedPageBreak/>
              <w:t>上海信赫实业有限公司</w:t>
            </w:r>
            <w:r w:rsidRPr="00D05A56">
              <w:rPr>
                <w:rFonts w:ascii="Times New Roman" w:eastAsia="宋体" w:hAnsi="Times New Roman" w:cs="Times New Roman"/>
                <w:sz w:val="18"/>
                <w:szCs w:val="18"/>
              </w:rPr>
              <w:t>(</w:t>
            </w:r>
            <w:r w:rsidRPr="00D05A56">
              <w:rPr>
                <w:rFonts w:ascii="Times New Roman" w:eastAsia="宋体" w:hAnsi="Times New Roman" w:cs="Times New Roman"/>
                <w:sz w:val="18"/>
                <w:szCs w:val="18"/>
              </w:rPr>
              <w:t>原名：上海信赫投资管理有限公司</w:t>
            </w:r>
            <w:r w:rsidRPr="00D05A56">
              <w:rPr>
                <w:rFonts w:ascii="Times New Roman" w:eastAsia="宋体" w:hAnsi="Times New Roman" w:cs="Times New Roman"/>
                <w:sz w:val="18"/>
                <w:szCs w:val="18"/>
              </w:rPr>
              <w:t>)</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42438F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D3C1D3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CB2C73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深圳蓝润控股有限公司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191B0E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4B518A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6392FD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四川凰城物业服务有限公司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AECACF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929F081"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27EFDE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蓝润地产有限责任公司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CE06FB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BC2715F"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8FC73D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成都蓝润置业有限公司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7F48C9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7898543"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D840E4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成都天府新区蓝润城市发展有限公司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E2549B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393569E"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1CA336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成都弘骏盛通实业有限公司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521FA7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CBBAF4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66EC7A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南充</w:t>
            </w:r>
            <w:proofErr w:type="gramStart"/>
            <w:r w:rsidRPr="00D05A56">
              <w:rPr>
                <w:rFonts w:ascii="Times New Roman" w:eastAsia="宋体" w:hAnsi="Times New Roman" w:cs="Times New Roman"/>
                <w:sz w:val="18"/>
                <w:szCs w:val="18"/>
              </w:rPr>
              <w:t>弘润通</w:t>
            </w:r>
            <w:proofErr w:type="gramEnd"/>
            <w:r w:rsidRPr="00D05A56">
              <w:rPr>
                <w:rFonts w:ascii="Times New Roman" w:eastAsia="宋体" w:hAnsi="Times New Roman" w:cs="Times New Roman"/>
                <w:sz w:val="18"/>
                <w:szCs w:val="18"/>
              </w:rPr>
              <w:t>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2ED82B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3FFB77C"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73FC44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成都盛泰华星实业有限公司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59CC4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0F20151"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2EE02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成都昊翔盛达实业有限公司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559CBF3"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7EEF61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F296AA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成都博瑞华达实业有限公司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2EE383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FE3613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5628F1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成都玉林宾馆有限公司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1193A6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671D8C2"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115008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成都锦融盛通实业有限公司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DC1FF7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7BDADAC"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8957F9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成都新悦房地产开发有限公司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A4C9A0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26CA71F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2BC82F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四川中建</w:t>
            </w:r>
            <w:proofErr w:type="gramStart"/>
            <w:r w:rsidRPr="00D05A56">
              <w:rPr>
                <w:rFonts w:ascii="Times New Roman" w:eastAsia="宋体" w:hAnsi="Times New Roman" w:cs="Times New Roman"/>
                <w:sz w:val="18"/>
                <w:szCs w:val="18"/>
              </w:rPr>
              <w:t>建</w:t>
            </w:r>
            <w:proofErr w:type="gramEnd"/>
            <w:r w:rsidRPr="00D05A56">
              <w:rPr>
                <w:rFonts w:ascii="Times New Roman" w:eastAsia="宋体" w:hAnsi="Times New Roman" w:cs="Times New Roman"/>
                <w:sz w:val="18"/>
                <w:szCs w:val="18"/>
              </w:rPr>
              <w:t>宏置业有限公司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4FA062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3E2F1C6"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F81DC6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重庆畅映实业有限公司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3F0470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CE24F6F"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462255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成都明兴金汇置业有限公司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43FC12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2BE6D22F"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10E33B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四川亿通达贸易有限公司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8E3880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B0A682D"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11A13C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四川鸿源星房地产开发有限公司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076077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7C7E94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94B8CD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北京蓝润华盛置业有限公司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267161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81BDD0E"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B4CBF4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成都盛和</w:t>
            </w:r>
            <w:proofErr w:type="gramStart"/>
            <w:r w:rsidRPr="00D05A56">
              <w:rPr>
                <w:rFonts w:ascii="Times New Roman" w:eastAsia="宋体" w:hAnsi="Times New Roman" w:cs="Times New Roman"/>
                <w:sz w:val="18"/>
                <w:szCs w:val="18"/>
              </w:rPr>
              <w:t>瑞兴</w:t>
            </w:r>
            <w:proofErr w:type="gramEnd"/>
            <w:r w:rsidRPr="00D05A56">
              <w:rPr>
                <w:rFonts w:ascii="Times New Roman" w:eastAsia="宋体" w:hAnsi="Times New Roman" w:cs="Times New Roman"/>
                <w:sz w:val="18"/>
                <w:szCs w:val="18"/>
              </w:rPr>
              <w:t>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A52DE0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3A16F0A"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FFC0BE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成都东景泰置业有限公司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36137A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受同一方控制（已于</w:t>
            </w:r>
            <w:r w:rsidRPr="00D05A56">
              <w:rPr>
                <w:rFonts w:ascii="Times New Roman" w:eastAsia="宋体" w:hAnsi="Times New Roman" w:cs="Times New Roman"/>
                <w:sz w:val="18"/>
                <w:szCs w:val="18"/>
              </w:rPr>
              <w:t>2023</w:t>
            </w:r>
            <w:r w:rsidRPr="00D05A56">
              <w:rPr>
                <w:rFonts w:ascii="Times New Roman" w:eastAsia="宋体" w:hAnsi="Times New Roman" w:cs="Times New Roman"/>
                <w:sz w:val="18"/>
                <w:szCs w:val="18"/>
              </w:rPr>
              <w:t>年出售）</w:t>
            </w:r>
          </w:p>
        </w:tc>
      </w:tr>
      <w:tr w:rsidR="00E32FE0" w:rsidRPr="00D05A56" w14:paraId="25ECD442"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32DBD4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上海运川实业有限公司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CC252B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CA6DF6F"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997B94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w:t>
            </w:r>
            <w:proofErr w:type="gramStart"/>
            <w:r w:rsidRPr="00D05A56">
              <w:rPr>
                <w:rFonts w:ascii="Times New Roman" w:eastAsia="宋体" w:hAnsi="Times New Roman" w:cs="Times New Roman"/>
                <w:sz w:val="18"/>
                <w:szCs w:val="18"/>
              </w:rPr>
              <w:t>蓝润耀恒置业</w:t>
            </w:r>
            <w:proofErr w:type="gramEnd"/>
            <w:r w:rsidRPr="00D05A56">
              <w:rPr>
                <w:rFonts w:ascii="Times New Roman" w:eastAsia="宋体" w:hAnsi="Times New Roman" w:cs="Times New Roman"/>
                <w:sz w:val="18"/>
                <w:szCs w:val="18"/>
              </w:rPr>
              <w:t>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CAB8F5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0B9D3E6"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8D6959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上海安蓝置业有限公司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B34B96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6905AA6"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40307D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蓝润生活服务集团有限公司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35031B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CBC572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AF2876B"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君杰资本</w:t>
            </w:r>
            <w:proofErr w:type="gramEnd"/>
            <w:r w:rsidRPr="00D05A56">
              <w:rPr>
                <w:rFonts w:ascii="Times New Roman" w:eastAsia="宋体" w:hAnsi="Times New Roman" w:cs="Times New Roman"/>
                <w:sz w:val="18"/>
                <w:szCs w:val="18"/>
              </w:rPr>
              <w:t>管理有限公司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541EA0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1EC2613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0674A2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深圳蓝润物流仓储有限公司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593B63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3B3BE1A"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217E01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成都新远程实业有限公司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8FC577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268D833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190D7C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成都爱摩信息科技有限公司（</w:t>
            </w:r>
            <w:r w:rsidRPr="00D05A56">
              <w:rPr>
                <w:rFonts w:ascii="Times New Roman" w:eastAsia="宋体" w:hAnsi="Times New Roman" w:cs="Times New Roman"/>
                <w:sz w:val="18"/>
                <w:szCs w:val="18"/>
              </w:rPr>
              <w:t>2024</w:t>
            </w:r>
            <w:r w:rsidRPr="00D05A56">
              <w:rPr>
                <w:rFonts w:ascii="Times New Roman" w:eastAsia="宋体" w:hAnsi="Times New Roman" w:cs="Times New Roman"/>
                <w:sz w:val="18"/>
                <w:szCs w:val="18"/>
              </w:rPr>
              <w:t>年已注销）</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CB3534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C8CC37B"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DEE801D"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成都盈泰明道</w:t>
            </w:r>
            <w:proofErr w:type="gramEnd"/>
            <w:r w:rsidRPr="00D05A56">
              <w:rPr>
                <w:rFonts w:ascii="Times New Roman" w:eastAsia="宋体" w:hAnsi="Times New Roman" w:cs="Times New Roman"/>
                <w:sz w:val="18"/>
                <w:szCs w:val="18"/>
              </w:rPr>
              <w:t>股权投资基金管理有限公司（</w:t>
            </w:r>
            <w:r w:rsidRPr="00D05A56">
              <w:rPr>
                <w:rFonts w:ascii="Times New Roman" w:eastAsia="宋体" w:hAnsi="Times New Roman" w:cs="Times New Roman"/>
                <w:sz w:val="18"/>
                <w:szCs w:val="18"/>
              </w:rPr>
              <w:t>2024</w:t>
            </w:r>
            <w:r w:rsidRPr="00D05A56">
              <w:rPr>
                <w:rFonts w:ascii="Times New Roman" w:eastAsia="宋体" w:hAnsi="Times New Roman" w:cs="Times New Roman"/>
                <w:sz w:val="18"/>
                <w:szCs w:val="18"/>
              </w:rPr>
              <w:t>年已注销）</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1B58A7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2F8F2766"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F340287"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怡</w:t>
            </w:r>
            <w:proofErr w:type="gramEnd"/>
            <w:r w:rsidRPr="00D05A56">
              <w:rPr>
                <w:rFonts w:ascii="Times New Roman" w:eastAsia="宋体" w:hAnsi="Times New Roman" w:cs="Times New Roman"/>
                <w:sz w:val="18"/>
                <w:szCs w:val="18"/>
              </w:rPr>
              <w:t>君智慧商业管理有限公司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951BB6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840674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1E74AC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成都蓝润润达商业管理有限公司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12B614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39243F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9C6808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成都润家商业管理有限公司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F3EB42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A9B45F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D452D20"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渠县润家商业</w:t>
            </w:r>
            <w:proofErr w:type="gramEnd"/>
            <w:r w:rsidRPr="00D05A56">
              <w:rPr>
                <w:rFonts w:ascii="Times New Roman" w:eastAsia="宋体" w:hAnsi="Times New Roman" w:cs="Times New Roman"/>
                <w:sz w:val="18"/>
                <w:szCs w:val="18"/>
              </w:rPr>
              <w:t>管理有限公司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1E0DD6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6B2ED33"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1D6C986"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达州润家锦瑞商业</w:t>
            </w:r>
            <w:proofErr w:type="gramEnd"/>
            <w:r w:rsidRPr="00D05A56">
              <w:rPr>
                <w:rFonts w:ascii="Times New Roman" w:eastAsia="宋体" w:hAnsi="Times New Roman" w:cs="Times New Roman"/>
                <w:sz w:val="18"/>
                <w:szCs w:val="18"/>
              </w:rPr>
              <w:t>管理有限公司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7FE028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FB73347"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9428B4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成都佳茂乐旺实业有限公司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8E6F7A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1EC1EAF7"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2372FC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四川柳牌酒业股份有限公司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A31421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685987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05FC17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四川蓝润实业集团有限公司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8D29B3"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4F9D699"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E36B7F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北京盛宏恒兴实业有限公司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43B60B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568B37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FAA731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达州昊华实业有限公司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90D119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9BEC1E9"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CB9750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w:t>
            </w:r>
            <w:proofErr w:type="gramStart"/>
            <w:r w:rsidRPr="00D05A56">
              <w:rPr>
                <w:rFonts w:ascii="Times New Roman" w:eastAsia="宋体" w:hAnsi="Times New Roman" w:cs="Times New Roman"/>
                <w:sz w:val="18"/>
                <w:szCs w:val="18"/>
              </w:rPr>
              <w:t>昊华君翔置业</w:t>
            </w:r>
            <w:proofErr w:type="gramEnd"/>
            <w:r w:rsidRPr="00D05A56">
              <w:rPr>
                <w:rFonts w:ascii="Times New Roman" w:eastAsia="宋体" w:hAnsi="Times New Roman" w:cs="Times New Roman"/>
                <w:sz w:val="18"/>
                <w:szCs w:val="18"/>
              </w:rPr>
              <w:t>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1CB927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E7FE0E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621E9F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四川蓝润锦</w:t>
            </w:r>
            <w:proofErr w:type="gramStart"/>
            <w:r w:rsidRPr="00D05A56">
              <w:rPr>
                <w:rFonts w:ascii="Times New Roman" w:eastAsia="宋体" w:hAnsi="Times New Roman" w:cs="Times New Roman"/>
                <w:sz w:val="18"/>
                <w:szCs w:val="18"/>
              </w:rPr>
              <w:t>怡</w:t>
            </w:r>
            <w:proofErr w:type="gramEnd"/>
            <w:r w:rsidRPr="00D05A56">
              <w:rPr>
                <w:rFonts w:ascii="Times New Roman" w:eastAsia="宋体" w:hAnsi="Times New Roman" w:cs="Times New Roman"/>
                <w:sz w:val="18"/>
                <w:szCs w:val="18"/>
              </w:rPr>
              <w:t>健康管理有限公司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E18F51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1FBF2D1A"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AE2E9F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大竹</w:t>
            </w:r>
            <w:proofErr w:type="gramStart"/>
            <w:r w:rsidRPr="00D05A56">
              <w:rPr>
                <w:rFonts w:ascii="Times New Roman" w:eastAsia="宋体" w:hAnsi="Times New Roman" w:cs="Times New Roman"/>
                <w:sz w:val="18"/>
                <w:szCs w:val="18"/>
              </w:rPr>
              <w:t>县远鸿商混</w:t>
            </w:r>
            <w:proofErr w:type="gramEnd"/>
            <w:r w:rsidRPr="00D05A56">
              <w:rPr>
                <w:rFonts w:ascii="Times New Roman" w:eastAsia="宋体" w:hAnsi="Times New Roman" w:cs="Times New Roman"/>
                <w:sz w:val="18"/>
                <w:szCs w:val="18"/>
              </w:rPr>
              <w:t>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E3559B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F5879F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43208B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成都蓝润智邦置业有限公司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E84951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119B00C"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04A92D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成都蓝润创汇置业有限公司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7F0848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2EFEC63"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1839740"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开江嘉胜和</w:t>
            </w:r>
            <w:proofErr w:type="gramEnd"/>
            <w:r w:rsidRPr="00D05A56">
              <w:rPr>
                <w:rFonts w:ascii="Times New Roman" w:eastAsia="宋体" w:hAnsi="Times New Roman" w:cs="Times New Roman"/>
                <w:sz w:val="18"/>
                <w:szCs w:val="18"/>
              </w:rPr>
              <w:t>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04E326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7E5061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94C656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w:t>
            </w:r>
            <w:proofErr w:type="gramStart"/>
            <w:r w:rsidRPr="00D05A56">
              <w:rPr>
                <w:rFonts w:ascii="Times New Roman" w:eastAsia="宋体" w:hAnsi="Times New Roman" w:cs="Times New Roman"/>
                <w:sz w:val="18"/>
                <w:szCs w:val="18"/>
              </w:rPr>
              <w:t>蓝润航瑞置业</w:t>
            </w:r>
            <w:proofErr w:type="gramEnd"/>
            <w:r w:rsidRPr="00D05A56">
              <w:rPr>
                <w:rFonts w:ascii="Times New Roman" w:eastAsia="宋体" w:hAnsi="Times New Roman" w:cs="Times New Roman"/>
                <w:sz w:val="18"/>
                <w:szCs w:val="18"/>
              </w:rPr>
              <w:t>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2DC48E3"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2AF85A8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827106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渠县诚德华泰实业有限公司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DACD87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397C567"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4B5504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lastRenderedPageBreak/>
              <w:t>成都蓝润华仁置业有限公司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AD54A8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6F7535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07CBD0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重庆翔胜汇实业有限公司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C6CDA1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04C8E98"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944DFD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w:t>
            </w:r>
            <w:proofErr w:type="gramStart"/>
            <w:r w:rsidRPr="00D05A56">
              <w:rPr>
                <w:rFonts w:ascii="Times New Roman" w:eastAsia="宋体" w:hAnsi="Times New Roman" w:cs="Times New Roman"/>
                <w:sz w:val="18"/>
                <w:szCs w:val="18"/>
              </w:rPr>
              <w:t>昊</w:t>
            </w:r>
            <w:proofErr w:type="gramEnd"/>
            <w:r w:rsidRPr="00D05A56">
              <w:rPr>
                <w:rFonts w:ascii="Times New Roman" w:eastAsia="宋体" w:hAnsi="Times New Roman" w:cs="Times New Roman"/>
                <w:sz w:val="18"/>
                <w:szCs w:val="18"/>
              </w:rPr>
              <w:t>华君宇置业有限公司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24AF2A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623A2C8"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4073C7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四川君昌达实业有限公司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4A702D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C6DC327"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028957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成都君和</w:t>
            </w:r>
            <w:proofErr w:type="gramStart"/>
            <w:r w:rsidRPr="00D05A56">
              <w:rPr>
                <w:rFonts w:ascii="Times New Roman" w:eastAsia="宋体" w:hAnsi="Times New Roman" w:cs="Times New Roman"/>
                <w:sz w:val="18"/>
                <w:szCs w:val="18"/>
              </w:rPr>
              <w:t>君祥</w:t>
            </w:r>
            <w:proofErr w:type="gramEnd"/>
            <w:r w:rsidRPr="00D05A56">
              <w:rPr>
                <w:rFonts w:ascii="Times New Roman" w:eastAsia="宋体" w:hAnsi="Times New Roman" w:cs="Times New Roman"/>
                <w:sz w:val="18"/>
                <w:szCs w:val="18"/>
              </w:rPr>
              <w:t>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FFBDD8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8F061F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9E4A3F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大竹华亿金瑞贸易有限公司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373B4E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EE40579"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8EAABA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成都蓝润华锦置业有限公司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DC8E41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F2E58C9"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CB2E41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成都蓝润兴茂置业有限公司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5E577B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D6E5481"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010DE6E"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达州市弘润</w:t>
            </w:r>
            <w:proofErr w:type="gramEnd"/>
            <w:r w:rsidRPr="00D05A56">
              <w:rPr>
                <w:rFonts w:ascii="Times New Roman" w:eastAsia="宋体" w:hAnsi="Times New Roman" w:cs="Times New Roman"/>
                <w:sz w:val="18"/>
                <w:szCs w:val="18"/>
              </w:rPr>
              <w:t>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231D96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33F7DCB"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CACCBA7"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成都启阳恒</w:t>
            </w:r>
            <w:proofErr w:type="gramEnd"/>
            <w:r w:rsidRPr="00D05A56">
              <w:rPr>
                <w:rFonts w:ascii="Times New Roman" w:eastAsia="宋体" w:hAnsi="Times New Roman" w:cs="Times New Roman"/>
                <w:sz w:val="18"/>
                <w:szCs w:val="18"/>
              </w:rPr>
              <w:t>隆置业有限公司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C0DA9F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3D69D7E"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5C9ACA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开江佳华实业有限公司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4F0C58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AD9F24D"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B64AF4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w:t>
            </w:r>
            <w:proofErr w:type="gramStart"/>
            <w:r w:rsidRPr="00D05A56">
              <w:rPr>
                <w:rFonts w:ascii="Times New Roman" w:eastAsia="宋体" w:hAnsi="Times New Roman" w:cs="Times New Roman"/>
                <w:sz w:val="18"/>
                <w:szCs w:val="18"/>
              </w:rPr>
              <w:t>鸿源星置地</w:t>
            </w:r>
            <w:proofErr w:type="gramEnd"/>
            <w:r w:rsidRPr="00D05A56">
              <w:rPr>
                <w:rFonts w:ascii="Times New Roman" w:eastAsia="宋体" w:hAnsi="Times New Roman" w:cs="Times New Roman"/>
                <w:sz w:val="18"/>
                <w:szCs w:val="18"/>
              </w:rPr>
              <w:t>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0A4519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FE9A9E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63170E1"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达州市润耀</w:t>
            </w:r>
            <w:proofErr w:type="gramEnd"/>
            <w:r w:rsidRPr="00D05A56">
              <w:rPr>
                <w:rFonts w:ascii="Times New Roman" w:eastAsia="宋体" w:hAnsi="Times New Roman" w:cs="Times New Roman"/>
                <w:sz w:val="18"/>
                <w:szCs w:val="18"/>
              </w:rPr>
              <w:t>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1C439C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FA5B9EE"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227499A"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达州市</w:t>
            </w:r>
            <w:proofErr w:type="gramEnd"/>
            <w:r w:rsidRPr="00D05A56">
              <w:rPr>
                <w:rFonts w:ascii="Times New Roman" w:eastAsia="宋体" w:hAnsi="Times New Roman" w:cs="Times New Roman"/>
                <w:sz w:val="18"/>
                <w:szCs w:val="18"/>
              </w:rPr>
              <w:t>富</w:t>
            </w:r>
            <w:proofErr w:type="gramStart"/>
            <w:r w:rsidRPr="00D05A56">
              <w:rPr>
                <w:rFonts w:ascii="Times New Roman" w:eastAsia="宋体" w:hAnsi="Times New Roman" w:cs="Times New Roman"/>
                <w:sz w:val="18"/>
                <w:szCs w:val="18"/>
              </w:rPr>
              <w:t>润锐达置业</w:t>
            </w:r>
            <w:proofErr w:type="gramEnd"/>
            <w:r w:rsidRPr="00D05A56">
              <w:rPr>
                <w:rFonts w:ascii="Times New Roman" w:eastAsia="宋体" w:hAnsi="Times New Roman" w:cs="Times New Roman"/>
                <w:sz w:val="18"/>
                <w:szCs w:val="18"/>
              </w:rPr>
              <w:t>有限公司（原名达州市富</w:t>
            </w:r>
            <w:proofErr w:type="gramStart"/>
            <w:r w:rsidRPr="00D05A56">
              <w:rPr>
                <w:rFonts w:ascii="Times New Roman" w:eastAsia="宋体" w:hAnsi="Times New Roman" w:cs="Times New Roman"/>
                <w:sz w:val="18"/>
                <w:szCs w:val="18"/>
              </w:rPr>
              <w:t>润锐达</w:t>
            </w:r>
            <w:proofErr w:type="gramEnd"/>
            <w:r w:rsidRPr="00D05A56">
              <w:rPr>
                <w:rFonts w:ascii="Times New Roman" w:eastAsia="宋体" w:hAnsi="Times New Roman" w:cs="Times New Roman"/>
                <w:sz w:val="18"/>
                <w:szCs w:val="18"/>
              </w:rPr>
              <w:t>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83F4E2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FB4805B"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3DACD29"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浦领基金</w:t>
            </w:r>
            <w:proofErr w:type="gramEnd"/>
            <w:r w:rsidRPr="00D05A56">
              <w:rPr>
                <w:rFonts w:ascii="Times New Roman" w:eastAsia="宋体" w:hAnsi="Times New Roman" w:cs="Times New Roman"/>
                <w:sz w:val="18"/>
                <w:szCs w:val="18"/>
              </w:rPr>
              <w:t>销售有限公司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BFD4E5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01F4F7F"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AAD07D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成都蓝润锦尚实业有限公司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B12825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DE12646"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C3999B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四川蓝润能源股份有限公司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8CA245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152BCF81"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186314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w:t>
            </w:r>
            <w:proofErr w:type="gramStart"/>
            <w:r w:rsidRPr="00D05A56">
              <w:rPr>
                <w:rFonts w:ascii="Times New Roman" w:eastAsia="宋体" w:hAnsi="Times New Roman" w:cs="Times New Roman"/>
                <w:sz w:val="18"/>
                <w:szCs w:val="18"/>
              </w:rPr>
              <w:t>五仓发展</w:t>
            </w:r>
            <w:proofErr w:type="gramEnd"/>
            <w:r w:rsidRPr="00D05A56">
              <w:rPr>
                <w:rFonts w:ascii="Times New Roman" w:eastAsia="宋体" w:hAnsi="Times New Roman" w:cs="Times New Roman"/>
                <w:sz w:val="18"/>
                <w:szCs w:val="18"/>
              </w:rPr>
              <w:t>企业管理有限公司（</w:t>
            </w:r>
            <w:r w:rsidRPr="00D05A56">
              <w:rPr>
                <w:rFonts w:ascii="Times New Roman" w:eastAsia="宋体" w:hAnsi="Times New Roman" w:cs="Times New Roman"/>
                <w:sz w:val="18"/>
                <w:szCs w:val="18"/>
              </w:rPr>
              <w:t>2024</w:t>
            </w:r>
            <w:r w:rsidRPr="00D05A56">
              <w:rPr>
                <w:rFonts w:ascii="Times New Roman" w:eastAsia="宋体" w:hAnsi="Times New Roman" w:cs="Times New Roman"/>
                <w:sz w:val="18"/>
                <w:szCs w:val="18"/>
              </w:rPr>
              <w:t>年已注销）</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1C851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1DA81A7D"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CC44827"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五仓农牧</w:t>
            </w:r>
            <w:proofErr w:type="gramEnd"/>
            <w:r w:rsidRPr="00D05A56">
              <w:rPr>
                <w:rFonts w:ascii="Times New Roman" w:eastAsia="宋体" w:hAnsi="Times New Roman" w:cs="Times New Roman"/>
                <w:sz w:val="18"/>
                <w:szCs w:val="18"/>
              </w:rPr>
              <w:t>集团有限公司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110D42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30B798C"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50CEEF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达州宝</w:t>
            </w:r>
            <w:proofErr w:type="gramStart"/>
            <w:r w:rsidRPr="00D05A56">
              <w:rPr>
                <w:rFonts w:ascii="Times New Roman" w:eastAsia="宋体" w:hAnsi="Times New Roman" w:cs="Times New Roman"/>
                <w:sz w:val="18"/>
                <w:szCs w:val="18"/>
              </w:rPr>
              <w:t>廪</w:t>
            </w:r>
            <w:proofErr w:type="gramEnd"/>
            <w:r w:rsidRPr="00D05A56">
              <w:rPr>
                <w:rFonts w:ascii="Times New Roman" w:eastAsia="宋体" w:hAnsi="Times New Roman" w:cs="Times New Roman"/>
                <w:sz w:val="18"/>
                <w:szCs w:val="18"/>
              </w:rPr>
              <w:t>农牧技术有限公司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C389DD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26186776"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A42DE3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巴中</w:t>
            </w:r>
            <w:proofErr w:type="gramStart"/>
            <w:r w:rsidRPr="00D05A56">
              <w:rPr>
                <w:rFonts w:ascii="Times New Roman" w:eastAsia="宋体" w:hAnsi="Times New Roman" w:cs="Times New Roman"/>
                <w:sz w:val="18"/>
                <w:szCs w:val="18"/>
              </w:rPr>
              <w:t>五仓宝联</w:t>
            </w:r>
            <w:proofErr w:type="gramEnd"/>
            <w:r w:rsidRPr="00D05A56">
              <w:rPr>
                <w:rFonts w:ascii="Times New Roman" w:eastAsia="宋体" w:hAnsi="Times New Roman" w:cs="Times New Roman"/>
                <w:sz w:val="18"/>
                <w:szCs w:val="18"/>
              </w:rPr>
              <w:t>农牧技术有限公司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2544643"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FB429FA"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145DBB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西充</w:t>
            </w:r>
            <w:proofErr w:type="gramStart"/>
            <w:r w:rsidRPr="00D05A56">
              <w:rPr>
                <w:rFonts w:ascii="Times New Roman" w:eastAsia="宋体" w:hAnsi="Times New Roman" w:cs="Times New Roman"/>
                <w:sz w:val="18"/>
                <w:szCs w:val="18"/>
              </w:rPr>
              <w:t>五仓宝廪</w:t>
            </w:r>
            <w:proofErr w:type="gramEnd"/>
            <w:r w:rsidRPr="00D05A56">
              <w:rPr>
                <w:rFonts w:ascii="Times New Roman" w:eastAsia="宋体" w:hAnsi="Times New Roman" w:cs="Times New Roman"/>
                <w:sz w:val="18"/>
                <w:szCs w:val="18"/>
              </w:rPr>
              <w:t>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00B61C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449DD82"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DBB254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南部县</w:t>
            </w:r>
            <w:proofErr w:type="gramStart"/>
            <w:r w:rsidRPr="00D05A56">
              <w:rPr>
                <w:rFonts w:ascii="Times New Roman" w:eastAsia="宋体" w:hAnsi="Times New Roman" w:cs="Times New Roman"/>
                <w:sz w:val="18"/>
                <w:szCs w:val="18"/>
              </w:rPr>
              <w:t>五仓宝廪</w:t>
            </w:r>
            <w:proofErr w:type="gramEnd"/>
            <w:r w:rsidRPr="00D05A56">
              <w:rPr>
                <w:rFonts w:ascii="Times New Roman" w:eastAsia="宋体" w:hAnsi="Times New Roman" w:cs="Times New Roman"/>
                <w:sz w:val="18"/>
                <w:szCs w:val="18"/>
              </w:rPr>
              <w:t>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F90E263"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17781F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0C3B37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巴中</w:t>
            </w:r>
            <w:proofErr w:type="gramStart"/>
            <w:r w:rsidRPr="00D05A56">
              <w:rPr>
                <w:rFonts w:ascii="Times New Roman" w:eastAsia="宋体" w:hAnsi="Times New Roman" w:cs="Times New Roman"/>
                <w:sz w:val="18"/>
                <w:szCs w:val="18"/>
              </w:rPr>
              <w:t>五仓宝</w:t>
            </w:r>
            <w:proofErr w:type="gramEnd"/>
            <w:r w:rsidRPr="00D05A56">
              <w:rPr>
                <w:rFonts w:ascii="Times New Roman" w:eastAsia="宋体" w:hAnsi="Times New Roman" w:cs="Times New Roman"/>
                <w:sz w:val="18"/>
                <w:szCs w:val="18"/>
              </w:rPr>
              <w:t>嘉农牧有限公司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EC9DED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D569173"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0C133E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巴中</w:t>
            </w:r>
            <w:proofErr w:type="gramStart"/>
            <w:r w:rsidRPr="00D05A56">
              <w:rPr>
                <w:rFonts w:ascii="Times New Roman" w:eastAsia="宋体" w:hAnsi="Times New Roman" w:cs="Times New Roman"/>
                <w:sz w:val="18"/>
                <w:szCs w:val="18"/>
              </w:rPr>
              <w:t>五仓宝</w:t>
            </w:r>
            <w:proofErr w:type="gramEnd"/>
            <w:r w:rsidRPr="00D05A56">
              <w:rPr>
                <w:rFonts w:ascii="Times New Roman" w:eastAsia="宋体" w:hAnsi="Times New Roman" w:cs="Times New Roman"/>
                <w:sz w:val="18"/>
                <w:szCs w:val="18"/>
              </w:rPr>
              <w:t>成农牧有限公司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EF1CD1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803983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D16C05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巴中</w:t>
            </w:r>
            <w:proofErr w:type="gramStart"/>
            <w:r w:rsidRPr="00D05A56">
              <w:rPr>
                <w:rFonts w:ascii="Times New Roman" w:eastAsia="宋体" w:hAnsi="Times New Roman" w:cs="Times New Roman"/>
                <w:sz w:val="18"/>
                <w:szCs w:val="18"/>
              </w:rPr>
              <w:t>五仓宝盈</w:t>
            </w:r>
            <w:proofErr w:type="gramEnd"/>
            <w:r w:rsidRPr="00D05A56">
              <w:rPr>
                <w:rFonts w:ascii="Times New Roman" w:eastAsia="宋体" w:hAnsi="Times New Roman" w:cs="Times New Roman"/>
                <w:sz w:val="18"/>
                <w:szCs w:val="18"/>
              </w:rPr>
              <w:t>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CDEBCF3"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1BC25216"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CF3129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巴中</w:t>
            </w:r>
            <w:proofErr w:type="gramStart"/>
            <w:r w:rsidRPr="00D05A56">
              <w:rPr>
                <w:rFonts w:ascii="Times New Roman" w:eastAsia="宋体" w:hAnsi="Times New Roman" w:cs="Times New Roman"/>
                <w:sz w:val="18"/>
                <w:szCs w:val="18"/>
              </w:rPr>
              <w:t>五仓宝</w:t>
            </w:r>
            <w:proofErr w:type="gramEnd"/>
            <w:r w:rsidRPr="00D05A56">
              <w:rPr>
                <w:rFonts w:ascii="Times New Roman" w:eastAsia="宋体" w:hAnsi="Times New Roman" w:cs="Times New Roman"/>
                <w:sz w:val="18"/>
                <w:szCs w:val="18"/>
              </w:rPr>
              <w:t>裕农牧有限公司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41D869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D9B8BDB"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8D3E50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巴中</w:t>
            </w:r>
            <w:proofErr w:type="gramStart"/>
            <w:r w:rsidRPr="00D05A56">
              <w:rPr>
                <w:rFonts w:ascii="Times New Roman" w:eastAsia="宋体" w:hAnsi="Times New Roman" w:cs="Times New Roman"/>
                <w:sz w:val="18"/>
                <w:szCs w:val="18"/>
              </w:rPr>
              <w:t>五仓宝</w:t>
            </w:r>
            <w:proofErr w:type="gramEnd"/>
            <w:r w:rsidRPr="00D05A56">
              <w:rPr>
                <w:rFonts w:ascii="Times New Roman" w:eastAsia="宋体" w:hAnsi="Times New Roman" w:cs="Times New Roman"/>
                <w:sz w:val="18"/>
                <w:szCs w:val="18"/>
              </w:rPr>
              <w:t>康农牧有限公司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06A2A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受同一方控制（已于</w:t>
            </w:r>
            <w:r w:rsidRPr="00D05A56">
              <w:rPr>
                <w:rFonts w:ascii="Times New Roman" w:eastAsia="宋体" w:hAnsi="Times New Roman" w:cs="Times New Roman"/>
                <w:sz w:val="18"/>
                <w:szCs w:val="18"/>
              </w:rPr>
              <w:t>2023</w:t>
            </w:r>
            <w:r w:rsidRPr="00D05A56">
              <w:rPr>
                <w:rFonts w:ascii="Times New Roman" w:eastAsia="宋体" w:hAnsi="Times New Roman" w:cs="Times New Roman"/>
                <w:sz w:val="18"/>
                <w:szCs w:val="18"/>
              </w:rPr>
              <w:t>年注销）</w:t>
            </w:r>
          </w:p>
        </w:tc>
      </w:tr>
      <w:tr w:rsidR="00E32FE0" w:rsidRPr="00D05A56" w14:paraId="0BF1C6AC"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351358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西充</w:t>
            </w:r>
            <w:proofErr w:type="gramStart"/>
            <w:r w:rsidRPr="00D05A56">
              <w:rPr>
                <w:rFonts w:ascii="Times New Roman" w:eastAsia="宋体" w:hAnsi="Times New Roman" w:cs="Times New Roman"/>
                <w:sz w:val="18"/>
                <w:szCs w:val="18"/>
              </w:rPr>
              <w:t>五仓宝</w:t>
            </w:r>
            <w:proofErr w:type="gramEnd"/>
            <w:r w:rsidRPr="00D05A56">
              <w:rPr>
                <w:rFonts w:ascii="Times New Roman" w:eastAsia="宋体" w:hAnsi="Times New Roman" w:cs="Times New Roman"/>
                <w:sz w:val="18"/>
                <w:szCs w:val="18"/>
              </w:rPr>
              <w:t>玥农牧有限公司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D80A97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457C0E7E"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55F6DC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西充</w:t>
            </w:r>
            <w:proofErr w:type="gramStart"/>
            <w:r w:rsidRPr="00D05A56">
              <w:rPr>
                <w:rFonts w:ascii="Times New Roman" w:eastAsia="宋体" w:hAnsi="Times New Roman" w:cs="Times New Roman"/>
                <w:sz w:val="18"/>
                <w:szCs w:val="18"/>
              </w:rPr>
              <w:t>五仓宝</w:t>
            </w:r>
            <w:proofErr w:type="gramEnd"/>
            <w:r w:rsidRPr="00D05A56">
              <w:rPr>
                <w:rFonts w:ascii="Times New Roman" w:eastAsia="宋体" w:hAnsi="Times New Roman" w:cs="Times New Roman"/>
                <w:sz w:val="18"/>
                <w:szCs w:val="18"/>
              </w:rPr>
              <w:t>辰农牧有限公司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9044FF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25643E73"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344E33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巴中</w:t>
            </w:r>
            <w:proofErr w:type="gramStart"/>
            <w:r w:rsidRPr="00D05A56">
              <w:rPr>
                <w:rFonts w:ascii="Times New Roman" w:eastAsia="宋体" w:hAnsi="Times New Roman" w:cs="Times New Roman"/>
                <w:sz w:val="18"/>
                <w:szCs w:val="18"/>
              </w:rPr>
              <w:t>五仓宝双</w:t>
            </w:r>
            <w:proofErr w:type="gramEnd"/>
            <w:r w:rsidRPr="00D05A56">
              <w:rPr>
                <w:rFonts w:ascii="Times New Roman" w:eastAsia="宋体" w:hAnsi="Times New Roman" w:cs="Times New Roman"/>
                <w:sz w:val="18"/>
                <w:szCs w:val="18"/>
              </w:rPr>
              <w:t>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CDC75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996BA5D"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1BC9B5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巴中宝</w:t>
            </w:r>
            <w:proofErr w:type="gramStart"/>
            <w:r w:rsidRPr="00D05A56">
              <w:rPr>
                <w:rFonts w:ascii="Times New Roman" w:eastAsia="宋体" w:hAnsi="Times New Roman" w:cs="Times New Roman"/>
                <w:sz w:val="18"/>
                <w:szCs w:val="18"/>
              </w:rPr>
              <w:t>菩</w:t>
            </w:r>
            <w:proofErr w:type="gramEnd"/>
            <w:r w:rsidRPr="00D05A56">
              <w:rPr>
                <w:rFonts w:ascii="Times New Roman" w:eastAsia="宋体" w:hAnsi="Times New Roman" w:cs="Times New Roman"/>
                <w:sz w:val="18"/>
                <w:szCs w:val="18"/>
              </w:rPr>
              <w:t>农牧技术有限公司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B9F4E9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D0B02A8"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67874E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巴中</w:t>
            </w:r>
            <w:proofErr w:type="gramStart"/>
            <w:r w:rsidRPr="00D05A56">
              <w:rPr>
                <w:rFonts w:ascii="Times New Roman" w:eastAsia="宋体" w:hAnsi="Times New Roman" w:cs="Times New Roman"/>
                <w:sz w:val="18"/>
                <w:szCs w:val="18"/>
              </w:rPr>
              <w:t>五仓宝</w:t>
            </w:r>
            <w:proofErr w:type="gramEnd"/>
            <w:r w:rsidRPr="00D05A56">
              <w:rPr>
                <w:rFonts w:ascii="Times New Roman" w:eastAsia="宋体" w:hAnsi="Times New Roman" w:cs="Times New Roman"/>
                <w:sz w:val="18"/>
                <w:szCs w:val="18"/>
              </w:rPr>
              <w:t>坪农牧有限公司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6288F3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FFD2F87"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A719A3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天津丰润恒道有限公司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335BF6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FA455E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F154F2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w:t>
            </w:r>
            <w:proofErr w:type="gramStart"/>
            <w:r w:rsidRPr="00D05A56">
              <w:rPr>
                <w:rFonts w:ascii="Times New Roman" w:eastAsia="宋体" w:hAnsi="Times New Roman" w:cs="Times New Roman"/>
                <w:sz w:val="18"/>
                <w:szCs w:val="18"/>
              </w:rPr>
              <w:t>臻捷科技</w:t>
            </w:r>
            <w:proofErr w:type="gramEnd"/>
            <w:r w:rsidRPr="00D05A56">
              <w:rPr>
                <w:rFonts w:ascii="Times New Roman" w:eastAsia="宋体" w:hAnsi="Times New Roman" w:cs="Times New Roman"/>
                <w:sz w:val="18"/>
                <w:szCs w:val="18"/>
              </w:rPr>
              <w:t>服务有限公司（</w:t>
            </w:r>
            <w:r w:rsidRPr="00D05A56">
              <w:rPr>
                <w:rFonts w:ascii="Times New Roman" w:eastAsia="宋体" w:hAnsi="Times New Roman" w:cs="Times New Roman"/>
                <w:sz w:val="18"/>
                <w:szCs w:val="18"/>
              </w:rPr>
              <w:t>2024</w:t>
            </w:r>
            <w:r w:rsidRPr="00D05A56">
              <w:rPr>
                <w:rFonts w:ascii="Times New Roman" w:eastAsia="宋体" w:hAnsi="Times New Roman" w:cs="Times New Roman"/>
                <w:sz w:val="18"/>
                <w:szCs w:val="18"/>
              </w:rPr>
              <w:t>年已注销）</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F8A171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22CC8373"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E80272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天津华瑞富达贸易有限公司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56AF1D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F686BE8"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ADB8B0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北京正佳华瀚实业有限公司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372350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3A36FEF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400AFE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成都璞门雅居酒店管理有限公司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969C85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7D3A98C9"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ADFB89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上海东谦佳实业有限公司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3B8A26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46944EB"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C045BA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四川轩泰贸易有限公司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E3C8FE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BFFAAFD"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585C775"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四川亿华贸易有限公司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841B66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53BCC6EE"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A4FABB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四川远赫农业发展有限公司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D7C470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受同一方控制（已于</w:t>
            </w:r>
            <w:r w:rsidRPr="00D05A56">
              <w:rPr>
                <w:rFonts w:ascii="Times New Roman" w:eastAsia="宋体" w:hAnsi="Times New Roman" w:cs="Times New Roman"/>
                <w:sz w:val="18"/>
                <w:szCs w:val="18"/>
              </w:rPr>
              <w:t>2023</w:t>
            </w:r>
            <w:r w:rsidRPr="00D05A56">
              <w:rPr>
                <w:rFonts w:ascii="Times New Roman" w:eastAsia="宋体" w:hAnsi="Times New Roman" w:cs="Times New Roman"/>
                <w:sz w:val="18"/>
                <w:szCs w:val="18"/>
              </w:rPr>
              <w:t>年出售）</w:t>
            </w:r>
          </w:p>
        </w:tc>
      </w:tr>
      <w:tr w:rsidR="00E32FE0" w:rsidRPr="00D05A56" w14:paraId="0408CBD8"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C28831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四川鼎嘉泰贸易有限公司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939A8A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698EDD55"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080CC8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成都捷阔灏达实业有限公司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8330D3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14F9B191"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8CDE45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达州银行股份有限公司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DBE9F7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实际控制人戴学斌先生担任达州银行董事职务</w:t>
            </w:r>
          </w:p>
        </w:tc>
      </w:tr>
      <w:tr w:rsidR="00E32FE0" w:rsidRPr="00D05A56" w14:paraId="1259D071"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A1DC6D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蓝润发展控股集团有限公司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36204A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母公司</w:t>
            </w:r>
          </w:p>
        </w:tc>
      </w:tr>
      <w:tr w:rsidR="00E32FE0" w:rsidRPr="00D05A56" w14:paraId="786C0B67"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A9E3B1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绵阳市</w:t>
            </w:r>
            <w:proofErr w:type="gramStart"/>
            <w:r w:rsidRPr="00D05A56">
              <w:rPr>
                <w:rFonts w:ascii="Times New Roman" w:eastAsia="宋体" w:hAnsi="Times New Roman" w:cs="Times New Roman"/>
                <w:sz w:val="18"/>
                <w:szCs w:val="18"/>
              </w:rPr>
              <w:t>五仓宝</w:t>
            </w:r>
            <w:proofErr w:type="gramEnd"/>
            <w:r w:rsidRPr="00D05A56">
              <w:rPr>
                <w:rFonts w:ascii="Times New Roman" w:eastAsia="宋体" w:hAnsi="Times New Roman" w:cs="Times New Roman"/>
                <w:sz w:val="18"/>
                <w:szCs w:val="18"/>
              </w:rPr>
              <w:t>超农牧科技有限公司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34CE7F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受同一方控制</w:t>
            </w:r>
          </w:p>
        </w:tc>
      </w:tr>
      <w:tr w:rsidR="00E32FE0" w:rsidRPr="00D05A56" w14:paraId="0B3D6B1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3FE675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榆林市千树塔矿业投资有限公司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1CFC82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公司股东之一（付小铜）担任执行董事的公司</w:t>
            </w:r>
          </w:p>
        </w:tc>
      </w:tr>
      <w:tr w:rsidR="00E32FE0" w:rsidRPr="00D05A56" w14:paraId="76B9770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E410CD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莱阳银龙投资有限公司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0959D1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公司股东</w:t>
            </w:r>
          </w:p>
        </w:tc>
      </w:tr>
      <w:tr w:rsidR="00E32FE0" w:rsidRPr="00D05A56" w14:paraId="0F9D859F"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17BC9B" w14:textId="77777777" w:rsidR="00E32FE0" w:rsidRPr="00D05A56" w:rsidRDefault="00000000" w:rsidP="00D05A56">
            <w:pPr>
              <w:spacing w:after="0" w:line="276" w:lineRule="auto"/>
              <w:rPr>
                <w:rFonts w:ascii="Times New Roman" w:eastAsia="宋体" w:hAnsi="Times New Roman" w:cs="Times New Roman"/>
                <w:sz w:val="18"/>
                <w:szCs w:val="18"/>
              </w:rPr>
            </w:pPr>
            <w:proofErr w:type="gramStart"/>
            <w:r w:rsidRPr="00D05A56">
              <w:rPr>
                <w:rFonts w:ascii="Times New Roman" w:eastAsia="宋体" w:hAnsi="Times New Roman" w:cs="Times New Roman"/>
                <w:sz w:val="18"/>
                <w:szCs w:val="18"/>
              </w:rPr>
              <w:t>牧原食品</w:t>
            </w:r>
            <w:proofErr w:type="gramEnd"/>
            <w:r w:rsidRPr="00D05A56">
              <w:rPr>
                <w:rFonts w:ascii="Times New Roman" w:eastAsia="宋体" w:hAnsi="Times New Roman" w:cs="Times New Roman"/>
                <w:sz w:val="18"/>
                <w:szCs w:val="18"/>
              </w:rPr>
              <w:t>股份有限公司（集团）</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DAB4C5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公司重要子公司的少数股东</w:t>
            </w:r>
          </w:p>
        </w:tc>
      </w:tr>
      <w:tr w:rsidR="00E32FE0" w:rsidRPr="00D05A56" w14:paraId="5ECEFE4E"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91BE594"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lastRenderedPageBreak/>
              <w:t>青岛联合友和食品有限公司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E4316D0"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2023</w:t>
            </w:r>
            <w:r w:rsidRPr="00D05A56">
              <w:rPr>
                <w:rFonts w:ascii="Times New Roman" w:eastAsia="宋体" w:hAnsi="Times New Roman" w:cs="Times New Roman"/>
                <w:sz w:val="18"/>
                <w:szCs w:val="18"/>
              </w:rPr>
              <w:t>年公司重要子公司的少数股东</w:t>
            </w:r>
          </w:p>
        </w:tc>
      </w:tr>
      <w:tr w:rsidR="00E32FE0" w:rsidRPr="00D05A56" w14:paraId="2C8076D3"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5FEE0E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青岛东方睿智商贸有限公司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E06232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2023</w:t>
            </w:r>
            <w:r w:rsidRPr="00D05A56">
              <w:rPr>
                <w:rFonts w:ascii="Times New Roman" w:eastAsia="宋体" w:hAnsi="Times New Roman" w:cs="Times New Roman"/>
                <w:sz w:val="18"/>
                <w:szCs w:val="18"/>
              </w:rPr>
              <w:t>年公司重要子公司的少数股东的实际控制人控制的其他公司</w:t>
            </w:r>
          </w:p>
        </w:tc>
      </w:tr>
      <w:tr w:rsidR="00E32FE0" w:rsidRPr="00D05A56" w14:paraId="47CE02CD"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75B51B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青岛飞熊领鲜科技有限公司（集团）</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559F9B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2023</w:t>
            </w:r>
            <w:r w:rsidRPr="00D05A56">
              <w:rPr>
                <w:rFonts w:ascii="Times New Roman" w:eastAsia="宋体" w:hAnsi="Times New Roman" w:cs="Times New Roman"/>
                <w:sz w:val="18"/>
                <w:szCs w:val="18"/>
              </w:rPr>
              <w:t>年公司重要子公司的少数股东的实际控制人控制的其他公司</w:t>
            </w:r>
          </w:p>
        </w:tc>
      </w:tr>
      <w:tr w:rsidR="00E32FE0" w:rsidRPr="00D05A56" w14:paraId="7E82D5A3"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54E4F1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青岛优尼特</w:t>
            </w:r>
            <w:proofErr w:type="gramStart"/>
            <w:r w:rsidRPr="00D05A56">
              <w:rPr>
                <w:rFonts w:ascii="Times New Roman" w:eastAsia="宋体" w:hAnsi="Times New Roman" w:cs="Times New Roman"/>
                <w:sz w:val="18"/>
                <w:szCs w:val="18"/>
              </w:rPr>
              <w:t>尚品食品</w:t>
            </w:r>
            <w:proofErr w:type="gramEnd"/>
            <w:r w:rsidRPr="00D05A56">
              <w:rPr>
                <w:rFonts w:ascii="Times New Roman" w:eastAsia="宋体" w:hAnsi="Times New Roman" w:cs="Times New Roman"/>
                <w:sz w:val="18"/>
                <w:szCs w:val="18"/>
              </w:rPr>
              <w:t>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83CC5F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2023</w:t>
            </w:r>
            <w:r w:rsidRPr="00D05A56">
              <w:rPr>
                <w:rFonts w:ascii="Times New Roman" w:eastAsia="宋体" w:hAnsi="Times New Roman" w:cs="Times New Roman"/>
                <w:sz w:val="18"/>
                <w:szCs w:val="18"/>
              </w:rPr>
              <w:t>年公司重要子公司的少数股东的实际控制人控制的其他公司</w:t>
            </w:r>
          </w:p>
        </w:tc>
      </w:tr>
      <w:tr w:rsidR="00E32FE0" w:rsidRPr="00D05A56" w14:paraId="2C0DE68D"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C4AD0A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青岛全</w:t>
            </w:r>
            <w:proofErr w:type="gramStart"/>
            <w:r w:rsidRPr="00D05A56">
              <w:rPr>
                <w:rFonts w:ascii="Times New Roman" w:eastAsia="宋体" w:hAnsi="Times New Roman" w:cs="Times New Roman"/>
                <w:sz w:val="18"/>
                <w:szCs w:val="18"/>
              </w:rPr>
              <w:t>澳供应链科技</w:t>
            </w:r>
            <w:proofErr w:type="gramEnd"/>
            <w:r w:rsidRPr="00D05A56">
              <w:rPr>
                <w:rFonts w:ascii="Times New Roman" w:eastAsia="宋体" w:hAnsi="Times New Roman" w:cs="Times New Roman"/>
                <w:sz w:val="18"/>
                <w:szCs w:val="18"/>
              </w:rPr>
              <w:t>股份有限公司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D33ECB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2023</w:t>
            </w:r>
            <w:r w:rsidRPr="00D05A56">
              <w:rPr>
                <w:rFonts w:ascii="Times New Roman" w:eastAsia="宋体" w:hAnsi="Times New Roman" w:cs="Times New Roman"/>
                <w:sz w:val="18"/>
                <w:szCs w:val="18"/>
              </w:rPr>
              <w:t>年公司重要子公司的少数股东的参股公司</w:t>
            </w:r>
          </w:p>
        </w:tc>
      </w:tr>
      <w:tr w:rsidR="00E32FE0" w:rsidRPr="00D05A56" w14:paraId="5BD6A0D4"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C528B8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沃德佳（青岛）供应链管理有限公司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75BFD837"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2023</w:t>
            </w:r>
            <w:r w:rsidRPr="00D05A56">
              <w:rPr>
                <w:rFonts w:ascii="Times New Roman" w:eastAsia="宋体" w:hAnsi="Times New Roman" w:cs="Times New Roman"/>
                <w:sz w:val="18"/>
                <w:szCs w:val="18"/>
              </w:rPr>
              <w:t>年公司重要子公司的少数股东的参股公司</w:t>
            </w:r>
          </w:p>
        </w:tc>
      </w:tr>
      <w:tr w:rsidR="00E32FE0" w:rsidRPr="00D05A56" w14:paraId="6D080C82"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3E4BFC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成都佳享食品有限公司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99D27A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公司子公司的少数股东</w:t>
            </w:r>
          </w:p>
        </w:tc>
      </w:tr>
      <w:tr w:rsidR="00E32FE0" w:rsidRPr="00D05A56" w14:paraId="3CEE9CA1"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8D4D04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宣威市鼎宏食品有限公司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74854EB"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公司子公司的少数股东</w:t>
            </w:r>
          </w:p>
        </w:tc>
      </w:tr>
      <w:tr w:rsidR="00E32FE0" w:rsidRPr="00D05A56" w14:paraId="356D59BB"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8FB9D7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蓬莱富华冷藏有限公司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57D58572"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公司子公司的少数股东</w:t>
            </w:r>
          </w:p>
        </w:tc>
      </w:tr>
      <w:tr w:rsidR="00E32FE0" w:rsidRPr="00D05A56" w14:paraId="1E6FC9D0"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F18235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上海新农科技股份有限公司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1C0F9FB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原</w:t>
            </w:r>
            <w:r w:rsidRPr="00D05A56">
              <w:rPr>
                <w:rFonts w:ascii="Times New Roman" w:eastAsia="宋体" w:hAnsi="Times New Roman" w:cs="Times New Roman"/>
                <w:sz w:val="18"/>
                <w:szCs w:val="18"/>
              </w:rPr>
              <w:t>2023</w:t>
            </w:r>
            <w:r w:rsidRPr="00D05A56">
              <w:rPr>
                <w:rFonts w:ascii="Times New Roman" w:eastAsia="宋体" w:hAnsi="Times New Roman" w:cs="Times New Roman"/>
                <w:sz w:val="18"/>
                <w:szCs w:val="18"/>
              </w:rPr>
              <w:t>年公司子公司的少数股东</w:t>
            </w:r>
          </w:p>
        </w:tc>
      </w:tr>
      <w:tr w:rsidR="00E32FE0" w:rsidRPr="00D05A56" w14:paraId="4D07531C"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19DF439"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李凯</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3AF095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公司子公司的少数股东</w:t>
            </w:r>
          </w:p>
        </w:tc>
      </w:tr>
      <w:tr w:rsidR="00E32FE0" w:rsidRPr="00D05A56" w14:paraId="2F13DE0E"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D0C2B98"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青岛飞熊锦鑫科技有限公司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6F13891"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2023</w:t>
            </w:r>
            <w:r w:rsidRPr="00D05A56">
              <w:rPr>
                <w:rFonts w:ascii="Times New Roman" w:eastAsia="宋体" w:hAnsi="Times New Roman" w:cs="Times New Roman"/>
                <w:sz w:val="18"/>
                <w:szCs w:val="18"/>
              </w:rPr>
              <w:t>年公司重要子公司的少数股东的实际控制人控制的其他公司</w:t>
            </w:r>
          </w:p>
        </w:tc>
      </w:tr>
      <w:tr w:rsidR="00E32FE0" w:rsidRPr="00D05A56" w14:paraId="769B830B"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83A8E96"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力诚国际贸易股份有限公司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97CDF9D"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公司高管担任监事的公司</w:t>
            </w:r>
          </w:p>
        </w:tc>
      </w:tr>
      <w:tr w:rsidR="00E32FE0" w:rsidRPr="00D05A56" w14:paraId="3AE54311"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6FF243F"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西安航天高技术产业发展集团有限公司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51E6A6A"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公司高管担任监事的公司</w:t>
            </w:r>
          </w:p>
        </w:tc>
      </w:tr>
      <w:tr w:rsidR="00E32FE0" w:rsidRPr="00D05A56" w14:paraId="747FB81C" w14:textId="77777777" w:rsidTr="00D05A5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84AC5DC"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青岛</w:t>
            </w:r>
            <w:proofErr w:type="gramStart"/>
            <w:r w:rsidRPr="00D05A56">
              <w:rPr>
                <w:rFonts w:ascii="Times New Roman" w:eastAsia="宋体" w:hAnsi="Times New Roman" w:cs="Times New Roman"/>
                <w:sz w:val="18"/>
                <w:szCs w:val="18"/>
              </w:rPr>
              <w:t>洪亨亚</w:t>
            </w:r>
            <w:proofErr w:type="gramEnd"/>
            <w:r w:rsidRPr="00D05A56">
              <w:rPr>
                <w:rFonts w:ascii="Times New Roman" w:eastAsia="宋体" w:hAnsi="Times New Roman" w:cs="Times New Roman"/>
                <w:sz w:val="18"/>
                <w:szCs w:val="18"/>
              </w:rPr>
              <w:t>和实业有限公司</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79544DE" w14:textId="77777777" w:rsidR="00E32FE0" w:rsidRPr="00D05A56" w:rsidRDefault="00000000" w:rsidP="00D05A56">
            <w:pPr>
              <w:spacing w:after="0" w:line="276" w:lineRule="auto"/>
              <w:rPr>
                <w:rFonts w:ascii="Times New Roman" w:eastAsia="宋体" w:hAnsi="Times New Roman" w:cs="Times New Roman"/>
                <w:sz w:val="18"/>
                <w:szCs w:val="18"/>
              </w:rPr>
            </w:pPr>
            <w:r w:rsidRPr="00D05A56">
              <w:rPr>
                <w:rFonts w:ascii="Times New Roman" w:eastAsia="宋体" w:hAnsi="Times New Roman" w:cs="Times New Roman"/>
                <w:sz w:val="18"/>
                <w:szCs w:val="18"/>
              </w:rPr>
              <w:t xml:space="preserve"> </w:t>
            </w:r>
            <w:r w:rsidRPr="00D05A56">
              <w:rPr>
                <w:rFonts w:ascii="Times New Roman" w:eastAsia="宋体" w:hAnsi="Times New Roman" w:cs="Times New Roman"/>
                <w:sz w:val="18"/>
                <w:szCs w:val="18"/>
              </w:rPr>
              <w:t>公司股东</w:t>
            </w:r>
          </w:p>
        </w:tc>
      </w:tr>
    </w:tbl>
    <w:p w14:paraId="62C7049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080880A9" w14:textId="77777777" w:rsidR="00AF139E" w:rsidRPr="005B5EC1" w:rsidRDefault="00000000">
      <w:pPr>
        <w:pStyle w:val="a3"/>
        <w:divId w:val="1082484765"/>
        <w:rPr>
          <w:rFonts w:ascii="Times New Roman" w:hAnsi="Times New Roman" w:cs="Times New Roman"/>
          <w:sz w:val="18"/>
          <w:szCs w:val="18"/>
        </w:rPr>
      </w:pPr>
      <w:r w:rsidRPr="005B5EC1">
        <w:rPr>
          <w:rFonts w:ascii="Times New Roman" w:hAnsi="Times New Roman" w:cs="Times New Roman"/>
          <w:sz w:val="18"/>
          <w:szCs w:val="18"/>
        </w:rPr>
        <w:t>无</w:t>
      </w:r>
    </w:p>
    <w:p w14:paraId="493C7869" w14:textId="77777777" w:rsidR="00E32FE0" w:rsidRPr="005B5EC1" w:rsidRDefault="00000000">
      <w:pPr>
        <w:pStyle w:val="3"/>
        <w:spacing w:line="280" w:lineRule="exact"/>
        <w:jc w:val="left"/>
        <w:rPr>
          <w:rFonts w:ascii="Times New Roman" w:hAnsi="Times New Roman" w:cs="Times New Roman"/>
          <w:b/>
          <w:bCs/>
        </w:rPr>
      </w:pPr>
      <w:bookmarkStart w:id="474" w:name="_Toc989421"/>
      <w:r w:rsidRPr="005B5EC1">
        <w:rPr>
          <w:rFonts w:ascii="Times New Roman" w:hAnsi="Times New Roman" w:cs="Times New Roman"/>
          <w:b/>
          <w:bCs/>
        </w:rPr>
        <w:t>5</w:t>
      </w:r>
      <w:r w:rsidRPr="005B5EC1">
        <w:rPr>
          <w:rFonts w:ascii="Times New Roman" w:hAnsi="Times New Roman" w:cs="Times New Roman"/>
          <w:b/>
          <w:bCs/>
        </w:rPr>
        <w:t>、关联交易情况</w:t>
      </w:r>
      <w:bookmarkEnd w:id="474"/>
    </w:p>
    <w:p w14:paraId="2FE423A5"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75" w:name="_Toc989422"/>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购销商品、提供和接受劳务的关联交易</w:t>
      </w:r>
      <w:bookmarkEnd w:id="475"/>
    </w:p>
    <w:p w14:paraId="5E38401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采购商品</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接受劳务情况表</w:t>
      </w:r>
    </w:p>
    <w:p w14:paraId="2EFE9ED3"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50CF067C"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91FC58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2EA2483"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B87864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937906A"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ABE996"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52CC002"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38BA57B3"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138A35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青岛东方睿智商贸有限公司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4DEB70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购买商品（猪产品）</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F1FE4B3"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5959579"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69412C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9A0611D"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28,990.83</w:t>
            </w:r>
          </w:p>
        </w:tc>
      </w:tr>
      <w:tr w:rsidR="00E32FE0" w:rsidRPr="005B5EC1" w14:paraId="72407C94"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FC3306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成都佳享食品有限公司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E2529CC"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购买商品（猪产品）</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2C16866"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0CF0378"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0C4FA7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FC8B7D0"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93,313.69</w:t>
            </w:r>
          </w:p>
        </w:tc>
      </w:tr>
      <w:tr w:rsidR="00E32FE0" w:rsidRPr="005B5EC1" w14:paraId="5736A447"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EF83330" w14:textId="77777777" w:rsidR="00E32FE0" w:rsidRPr="005B5EC1" w:rsidRDefault="00000000" w:rsidP="00D05A56">
            <w:pPr>
              <w:spacing w:after="0" w:line="276" w:lineRule="auto"/>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牧原食品</w:t>
            </w:r>
            <w:proofErr w:type="gramEnd"/>
            <w:r w:rsidRPr="005B5EC1">
              <w:rPr>
                <w:rFonts w:ascii="Times New Roman" w:eastAsia="宋体" w:hAnsi="Times New Roman" w:cs="Times New Roman"/>
                <w:sz w:val="18"/>
                <w:szCs w:val="18"/>
              </w:rPr>
              <w:t>股份有限公司（集团）</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2D08C9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购买商品（毛猪）</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5AE094C"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1,865,994,604.65</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0A761EE"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064D69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788D3EA"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1,733,823,366.76</w:t>
            </w:r>
          </w:p>
        </w:tc>
      </w:tr>
      <w:tr w:rsidR="00E32FE0" w:rsidRPr="005B5EC1" w14:paraId="22110673"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64923C3" w14:textId="77777777" w:rsidR="00E32FE0" w:rsidRPr="005B5EC1" w:rsidRDefault="00000000" w:rsidP="00D05A56">
            <w:pPr>
              <w:spacing w:after="0" w:line="276" w:lineRule="auto"/>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牧原食品</w:t>
            </w:r>
            <w:proofErr w:type="gramEnd"/>
            <w:r w:rsidRPr="005B5EC1">
              <w:rPr>
                <w:rFonts w:ascii="Times New Roman" w:eastAsia="宋体" w:hAnsi="Times New Roman" w:cs="Times New Roman"/>
                <w:sz w:val="18"/>
                <w:szCs w:val="18"/>
              </w:rPr>
              <w:t>股份有限公司（集团）</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EEDE63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购买商品（猪产品）</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7A6189D"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9,595,522.32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A0AF4D6"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15F794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6BB7F57"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1,302,985.08</w:t>
            </w:r>
          </w:p>
        </w:tc>
      </w:tr>
      <w:tr w:rsidR="00E32FE0" w:rsidRPr="005B5EC1" w14:paraId="6543A861"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231208E" w14:textId="77777777" w:rsidR="00E32FE0" w:rsidRPr="005B5EC1" w:rsidRDefault="00000000" w:rsidP="00D05A56">
            <w:pPr>
              <w:spacing w:after="0" w:line="276" w:lineRule="auto"/>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牧原食品</w:t>
            </w:r>
            <w:proofErr w:type="gramEnd"/>
            <w:r w:rsidRPr="005B5EC1">
              <w:rPr>
                <w:rFonts w:ascii="Times New Roman" w:eastAsia="宋体" w:hAnsi="Times New Roman" w:cs="Times New Roman"/>
                <w:sz w:val="18"/>
                <w:szCs w:val="18"/>
              </w:rPr>
              <w:t>股份有限公司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1BA929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购买商品（仔猪）</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D96B519"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14,580,690.00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9AE75CB"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4E9D44C"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98242A7"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r>
      <w:tr w:rsidR="00E32FE0" w:rsidRPr="005B5EC1" w14:paraId="03F85285"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F9F756A" w14:textId="77777777" w:rsidR="00E32FE0" w:rsidRPr="005B5EC1" w:rsidRDefault="00000000" w:rsidP="00D05A56">
            <w:pPr>
              <w:spacing w:after="0" w:line="276" w:lineRule="auto"/>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牧原食品</w:t>
            </w:r>
            <w:proofErr w:type="gramEnd"/>
            <w:r w:rsidRPr="005B5EC1">
              <w:rPr>
                <w:rFonts w:ascii="Times New Roman" w:eastAsia="宋体" w:hAnsi="Times New Roman" w:cs="Times New Roman"/>
                <w:sz w:val="18"/>
                <w:szCs w:val="18"/>
              </w:rPr>
              <w:t>股份有限公司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3685E17"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购买商品（母猪</w:t>
            </w:r>
            <w:r w:rsidRPr="005B5EC1">
              <w:rPr>
                <w:rFonts w:ascii="Times New Roman" w:eastAsia="宋体" w:hAnsi="Times New Roman" w:cs="Times New Roman"/>
                <w:sz w:val="18"/>
                <w:szCs w:val="18"/>
              </w:rPr>
              <w:t>)</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5EE787D"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6,391,900.00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8912EFA"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4C3DEF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94CD79C"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r>
      <w:tr w:rsidR="00E32FE0" w:rsidRPr="005B5EC1" w14:paraId="51C5590B"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882596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青岛联合友和食品有限公司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BADDC1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冷冻肉）</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7E1B70D"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9382CE2"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B1EDF0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A5ECC02"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35,475,202.80</w:t>
            </w:r>
          </w:p>
        </w:tc>
      </w:tr>
      <w:tr w:rsidR="00E32FE0" w:rsidRPr="005B5EC1" w14:paraId="6688073B"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AF5DF8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青岛飞熊领鲜科技有限公司（集团）</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58DF4E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冷冻肉）</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1F9CD44"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74460C7"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541792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BD286BE"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34,868,658.55</w:t>
            </w:r>
          </w:p>
        </w:tc>
      </w:tr>
      <w:tr w:rsidR="00E32FE0" w:rsidRPr="005B5EC1" w14:paraId="7B10F400"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B8A44F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巴中</w:t>
            </w:r>
            <w:proofErr w:type="gramStart"/>
            <w:r w:rsidRPr="005B5EC1">
              <w:rPr>
                <w:rFonts w:ascii="Times New Roman" w:eastAsia="宋体" w:hAnsi="Times New Roman" w:cs="Times New Roman"/>
                <w:sz w:val="18"/>
                <w:szCs w:val="18"/>
              </w:rPr>
              <w:t>五仓宝</w:t>
            </w:r>
            <w:proofErr w:type="gramEnd"/>
            <w:r w:rsidRPr="005B5EC1">
              <w:rPr>
                <w:rFonts w:ascii="Times New Roman" w:eastAsia="宋体" w:hAnsi="Times New Roman" w:cs="Times New Roman"/>
                <w:sz w:val="18"/>
                <w:szCs w:val="18"/>
              </w:rPr>
              <w:t>裕农</w:t>
            </w:r>
            <w:r w:rsidRPr="005B5EC1">
              <w:rPr>
                <w:rFonts w:ascii="Times New Roman" w:eastAsia="宋体" w:hAnsi="Times New Roman" w:cs="Times New Roman"/>
                <w:sz w:val="18"/>
                <w:szCs w:val="18"/>
              </w:rPr>
              <w:lastRenderedPageBreak/>
              <w:t>牧有限公司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2848C1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购买商品（猪</w:t>
            </w:r>
            <w:r w:rsidRPr="005B5EC1">
              <w:rPr>
                <w:rFonts w:ascii="Times New Roman" w:eastAsia="宋体" w:hAnsi="Times New Roman" w:cs="Times New Roman"/>
                <w:sz w:val="18"/>
                <w:szCs w:val="18"/>
              </w:rPr>
              <w:lastRenderedPageBreak/>
              <w:t>仔）</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1FF8927"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3D707E"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71144A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C837AF6"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1,727,358.60</w:t>
            </w:r>
          </w:p>
        </w:tc>
      </w:tr>
      <w:tr w:rsidR="00E32FE0" w:rsidRPr="005B5EC1" w14:paraId="0805CD51"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46D8C8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西充</w:t>
            </w:r>
            <w:proofErr w:type="gramStart"/>
            <w:r w:rsidRPr="005B5EC1">
              <w:rPr>
                <w:rFonts w:ascii="Times New Roman" w:eastAsia="宋体" w:hAnsi="Times New Roman" w:cs="Times New Roman"/>
                <w:sz w:val="18"/>
                <w:szCs w:val="18"/>
              </w:rPr>
              <w:t>五仓宝廪</w:t>
            </w:r>
            <w:proofErr w:type="gramEnd"/>
            <w:r w:rsidRPr="005B5EC1">
              <w:rPr>
                <w:rFonts w:ascii="Times New Roman" w:eastAsia="宋体" w:hAnsi="Times New Roman" w:cs="Times New Roman"/>
                <w:sz w:val="18"/>
                <w:szCs w:val="18"/>
              </w:rPr>
              <w:t>农牧有限公司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9B4D98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购买商品（猪仔）</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A09081F"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7897A6F"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02AC0D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3449F4"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525,720.00</w:t>
            </w:r>
          </w:p>
        </w:tc>
      </w:tr>
      <w:tr w:rsidR="00E32FE0" w:rsidRPr="005B5EC1" w14:paraId="6DD5FFB5"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1A25CB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南部县</w:t>
            </w:r>
            <w:proofErr w:type="gramStart"/>
            <w:r w:rsidRPr="005B5EC1">
              <w:rPr>
                <w:rFonts w:ascii="Times New Roman" w:eastAsia="宋体" w:hAnsi="Times New Roman" w:cs="Times New Roman"/>
                <w:sz w:val="18"/>
                <w:szCs w:val="18"/>
              </w:rPr>
              <w:t>五仓宝廪</w:t>
            </w:r>
            <w:proofErr w:type="gramEnd"/>
            <w:r w:rsidRPr="005B5EC1">
              <w:rPr>
                <w:rFonts w:ascii="Times New Roman" w:eastAsia="宋体" w:hAnsi="Times New Roman" w:cs="Times New Roman"/>
                <w:sz w:val="18"/>
                <w:szCs w:val="18"/>
              </w:rPr>
              <w:t>农牧有限公司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CCB398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购买商品（毛猪）</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B69A60A"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F138C7F"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C01CD2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C297763"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983,651.76</w:t>
            </w:r>
          </w:p>
        </w:tc>
      </w:tr>
      <w:tr w:rsidR="00E32FE0" w:rsidRPr="005B5EC1" w14:paraId="5B6DBAD5"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5BFAE6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四川蓝润实业集团有限公司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593662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购买商品（汽车租赁费）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2C40A10"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5C304B9"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598D8D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C298D4"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143,362.83</w:t>
            </w:r>
          </w:p>
        </w:tc>
      </w:tr>
      <w:tr w:rsidR="00E32FE0" w:rsidRPr="005B5EC1" w14:paraId="05202B06"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BA5519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0383AB7"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w:t>
            </w:r>
            <w:r w:rsidRPr="005B5EC1">
              <w:rPr>
                <w:rFonts w:ascii="Times New Roman" w:eastAsia="宋体" w:hAnsi="Times New Roman" w:cs="Times New Roman"/>
                <w:sz w:val="18"/>
                <w:szCs w:val="18"/>
              </w:rPr>
              <w:t>(</w:t>
            </w:r>
            <w:proofErr w:type="gramStart"/>
            <w:r w:rsidRPr="005B5EC1">
              <w:rPr>
                <w:rFonts w:ascii="Times New Roman" w:eastAsia="宋体" w:hAnsi="Times New Roman" w:cs="Times New Roman"/>
                <w:sz w:val="18"/>
                <w:szCs w:val="18"/>
              </w:rPr>
              <w:t>物业费</w:t>
            </w:r>
            <w:proofErr w:type="gramEnd"/>
            <w:r w:rsidRPr="005B5EC1">
              <w:rPr>
                <w:rFonts w:ascii="Times New Roman" w:eastAsia="宋体" w:hAnsi="Times New Roman" w:cs="Times New Roman"/>
                <w:sz w:val="18"/>
                <w:szCs w:val="18"/>
              </w:rPr>
              <w:t>)</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8315A0A"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37,476.48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858307D"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A48F2D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B9819BD"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118,286.81</w:t>
            </w:r>
          </w:p>
        </w:tc>
      </w:tr>
      <w:tr w:rsidR="00E32FE0" w:rsidRPr="005B5EC1" w14:paraId="037327CC"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E1F43F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07F632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购买商品（电费）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20C8645"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55,398.24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587E57F"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97C309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C603F8F"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76,548.68</w:t>
            </w:r>
          </w:p>
        </w:tc>
      </w:tr>
      <w:tr w:rsidR="00E32FE0" w:rsidRPr="005B5EC1" w14:paraId="37C7B84B"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3CA5E3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58DBBD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购买商品（水费）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96C5983"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CB2BCB8"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FFEDFA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FD6A013"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226.30</w:t>
            </w:r>
          </w:p>
        </w:tc>
      </w:tr>
      <w:tr w:rsidR="00E32FE0" w:rsidRPr="005B5EC1" w14:paraId="63C28701"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F5E25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AF946A7" w14:textId="77777777" w:rsidR="00E32FE0" w:rsidRPr="005B5EC1" w:rsidRDefault="00E32FE0" w:rsidP="00D05A56">
            <w:pPr>
              <w:spacing w:after="0" w:line="276" w:lineRule="auto"/>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81831BD"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1,896,655,591.69</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338D48F"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63F54ED" w14:textId="77777777" w:rsidR="00E32FE0" w:rsidRPr="005B5EC1" w:rsidRDefault="00E32FE0" w:rsidP="00D05A56">
            <w:pPr>
              <w:spacing w:after="0" w:line="276" w:lineRule="auto"/>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6AA065B"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1,809,167,672.69</w:t>
            </w:r>
          </w:p>
        </w:tc>
      </w:tr>
    </w:tbl>
    <w:p w14:paraId="38C2292D"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出售商品</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提供劳务情况表</w:t>
      </w:r>
    </w:p>
    <w:p w14:paraId="0BB267D6"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72509E1B"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64630F7"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D164B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关联交易内容</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511E3C0"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A5B0EB8"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16031CC7"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9CE55E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成都佳享食品有限公司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BC2BF4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9302B3C"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7F7519F"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-18,573.83</w:t>
            </w:r>
          </w:p>
        </w:tc>
      </w:tr>
      <w:tr w:rsidR="00E32FE0" w:rsidRPr="005B5EC1" w14:paraId="680641DC"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073B3D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成都璞悦酒店管理有限公司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1C8209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598267D"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9096221"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308,835.21</w:t>
            </w:r>
          </w:p>
        </w:tc>
      </w:tr>
      <w:tr w:rsidR="00E32FE0" w:rsidRPr="005B5EC1" w14:paraId="286A772E"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31985C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达州银行股份有限公司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52D78D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C80776B"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598,761.06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771EBA9"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484,386.27</w:t>
            </w:r>
          </w:p>
        </w:tc>
      </w:tr>
      <w:tr w:rsidR="00E32FE0" w:rsidRPr="005B5EC1" w14:paraId="1B8747B7"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76AEFD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青岛联合友和食品有限公司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C7EB8B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480CFCC"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CB08911"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227,958.47</w:t>
            </w:r>
          </w:p>
        </w:tc>
      </w:tr>
      <w:tr w:rsidR="00E32FE0" w:rsidRPr="005B5EC1" w14:paraId="3C0D7F9D"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FD6F8B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沃德佳（青岛）供应链管理有限公司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51172E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971041E"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FB7DFB2"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238,117.40</w:t>
            </w:r>
          </w:p>
        </w:tc>
      </w:tr>
      <w:tr w:rsidR="00E32FE0" w:rsidRPr="005B5EC1" w14:paraId="3718E7AC"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CE57C9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蓬莱富华冷藏有限公司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AEA269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3D7586E"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1,166,672.41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7684B2E"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733,330.40</w:t>
            </w:r>
          </w:p>
        </w:tc>
      </w:tr>
      <w:tr w:rsidR="00E32FE0" w:rsidRPr="005B5EC1" w14:paraId="47E3EBDC"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17C81A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青岛飞熊领鲜科技有限公司（集团）</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086F18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3EBDC25"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A696210"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28,248,533.61</w:t>
            </w:r>
          </w:p>
        </w:tc>
      </w:tr>
      <w:tr w:rsidR="00E32FE0" w:rsidRPr="005B5EC1" w14:paraId="4EB69AE0"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DDC2DE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青岛优尼特</w:t>
            </w:r>
            <w:proofErr w:type="gramStart"/>
            <w:r w:rsidRPr="005B5EC1">
              <w:rPr>
                <w:rFonts w:ascii="Times New Roman" w:eastAsia="宋体" w:hAnsi="Times New Roman" w:cs="Times New Roman"/>
                <w:sz w:val="18"/>
                <w:szCs w:val="18"/>
              </w:rPr>
              <w:t>尚品食品</w:t>
            </w:r>
            <w:proofErr w:type="gramEnd"/>
            <w:r w:rsidRPr="005B5EC1">
              <w:rPr>
                <w:rFonts w:ascii="Times New Roman" w:eastAsia="宋体" w:hAnsi="Times New Roman" w:cs="Times New Roman"/>
                <w:sz w:val="18"/>
                <w:szCs w:val="18"/>
              </w:rPr>
              <w:t>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2DA3F6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9C01523"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8F79FB3"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3,995,184.70</w:t>
            </w:r>
          </w:p>
        </w:tc>
      </w:tr>
      <w:tr w:rsidR="00E32FE0" w:rsidRPr="005B5EC1" w14:paraId="79376931"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E605F2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青岛东方睿智商贸有限公司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22F954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67F1937"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4F72AF2"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2,600,839.32</w:t>
            </w:r>
          </w:p>
        </w:tc>
      </w:tr>
      <w:tr w:rsidR="00E32FE0" w:rsidRPr="005B5EC1" w14:paraId="787444E4"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CB707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巴中</w:t>
            </w:r>
            <w:proofErr w:type="gramStart"/>
            <w:r w:rsidRPr="005B5EC1">
              <w:rPr>
                <w:rFonts w:ascii="Times New Roman" w:eastAsia="宋体" w:hAnsi="Times New Roman" w:cs="Times New Roman"/>
                <w:sz w:val="18"/>
                <w:szCs w:val="18"/>
              </w:rPr>
              <w:t>五仓宝</w:t>
            </w:r>
            <w:proofErr w:type="gramEnd"/>
            <w:r w:rsidRPr="005B5EC1">
              <w:rPr>
                <w:rFonts w:ascii="Times New Roman" w:eastAsia="宋体" w:hAnsi="Times New Roman" w:cs="Times New Roman"/>
                <w:sz w:val="18"/>
                <w:szCs w:val="18"/>
              </w:rPr>
              <w:t>裕农牧有限公司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0A756A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EB35BEC"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18,297.00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1DA22C3"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r>
      <w:tr w:rsidR="00E32FE0" w:rsidRPr="005B5EC1" w14:paraId="4467E2F9"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F83C58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成都</w:t>
            </w:r>
            <w:proofErr w:type="gramStart"/>
            <w:r w:rsidRPr="005B5EC1">
              <w:rPr>
                <w:rFonts w:ascii="Times New Roman" w:eastAsia="宋体" w:hAnsi="Times New Roman" w:cs="Times New Roman"/>
                <w:sz w:val="18"/>
                <w:szCs w:val="18"/>
              </w:rPr>
              <w:t>蓝润耀恒置业</w:t>
            </w:r>
            <w:proofErr w:type="gramEnd"/>
            <w:r w:rsidRPr="005B5EC1">
              <w:rPr>
                <w:rFonts w:ascii="Times New Roman" w:eastAsia="宋体" w:hAnsi="Times New Roman" w:cs="Times New Roman"/>
                <w:sz w:val="18"/>
                <w:szCs w:val="18"/>
              </w:rPr>
              <w:t>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D3EB3A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97DCF34"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28,458.76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A82BBB5"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r>
      <w:tr w:rsidR="00E32FE0" w:rsidRPr="005B5EC1" w14:paraId="79BB2F9C"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07B4A97"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大竹</w:t>
            </w:r>
            <w:proofErr w:type="gramStart"/>
            <w:r w:rsidRPr="005B5EC1">
              <w:rPr>
                <w:rFonts w:ascii="Times New Roman" w:eastAsia="宋体" w:hAnsi="Times New Roman" w:cs="Times New Roman"/>
                <w:sz w:val="18"/>
                <w:szCs w:val="18"/>
              </w:rPr>
              <w:t>县远鸿商混</w:t>
            </w:r>
            <w:proofErr w:type="gramEnd"/>
            <w:r w:rsidRPr="005B5EC1">
              <w:rPr>
                <w:rFonts w:ascii="Times New Roman" w:eastAsia="宋体" w:hAnsi="Times New Roman" w:cs="Times New Roman"/>
                <w:sz w:val="18"/>
                <w:szCs w:val="18"/>
              </w:rPr>
              <w:t>实业有限公司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4E95E6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7D8075D"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5,973.45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59F4230"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r>
      <w:tr w:rsidR="00E32FE0" w:rsidRPr="005B5EC1" w14:paraId="519FF613"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D1E5D6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上海新农科技股份有限公司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0F1D0EC"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7E8B06C"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5,010.62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4C4EC09"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r>
      <w:tr w:rsidR="00E32FE0" w:rsidRPr="005B5EC1" w14:paraId="51EC557C"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0B02AD2" w14:textId="77777777" w:rsidR="00E32FE0" w:rsidRPr="005B5EC1" w:rsidRDefault="00000000" w:rsidP="00D05A56">
            <w:pPr>
              <w:spacing w:after="0" w:line="276" w:lineRule="auto"/>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五仓农牧</w:t>
            </w:r>
            <w:proofErr w:type="gramEnd"/>
            <w:r w:rsidRPr="005B5EC1">
              <w:rPr>
                <w:rFonts w:ascii="Times New Roman" w:eastAsia="宋体" w:hAnsi="Times New Roman" w:cs="Times New Roman"/>
                <w:sz w:val="18"/>
                <w:szCs w:val="18"/>
              </w:rPr>
              <w:t>集团有限公司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1676DB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7E7EA01"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15,379.65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7091160"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r>
      <w:tr w:rsidR="00E32FE0" w:rsidRPr="005B5EC1" w14:paraId="36AA1093"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298461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西充</w:t>
            </w:r>
            <w:proofErr w:type="gramStart"/>
            <w:r w:rsidRPr="005B5EC1">
              <w:rPr>
                <w:rFonts w:ascii="Times New Roman" w:eastAsia="宋体" w:hAnsi="Times New Roman" w:cs="Times New Roman"/>
                <w:sz w:val="18"/>
                <w:szCs w:val="18"/>
              </w:rPr>
              <w:t>五仓宝廪</w:t>
            </w:r>
            <w:proofErr w:type="gramEnd"/>
            <w:r w:rsidRPr="005B5EC1">
              <w:rPr>
                <w:rFonts w:ascii="Times New Roman" w:eastAsia="宋体" w:hAnsi="Times New Roman" w:cs="Times New Roman"/>
                <w:sz w:val="18"/>
                <w:szCs w:val="18"/>
              </w:rPr>
              <w:t>农牧有限公司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6C4FA1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销售商品（冷鲜肉、冷冻肉、熟食等）</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BAAD80"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43,784.78</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9EF857"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r>
      <w:tr w:rsidR="00E32FE0" w:rsidRPr="005B5EC1" w14:paraId="6783293C"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54AB19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D8CC88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股权托管费</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CF68E01"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97,699.66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9B2B2D3" w14:textId="77777777" w:rsidR="00E32FE0" w:rsidRPr="005B5EC1" w:rsidRDefault="00E32FE0" w:rsidP="00D05A56">
            <w:pPr>
              <w:spacing w:after="0" w:line="276" w:lineRule="auto"/>
              <w:jc w:val="right"/>
              <w:rPr>
                <w:rFonts w:ascii="Times New Roman" w:eastAsia="宋体" w:hAnsi="Times New Roman" w:cs="Times New Roman"/>
                <w:sz w:val="18"/>
                <w:szCs w:val="18"/>
              </w:rPr>
            </w:pPr>
          </w:p>
        </w:tc>
      </w:tr>
      <w:tr w:rsidR="00E32FE0" w:rsidRPr="005B5EC1" w14:paraId="62AEF13B"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DD1C1C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304E1F6" w14:textId="77777777" w:rsidR="00E32FE0" w:rsidRPr="005B5EC1" w:rsidRDefault="00E32FE0" w:rsidP="00D05A56">
            <w:pPr>
              <w:spacing w:after="0" w:line="276" w:lineRule="auto"/>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D5D8A4F"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1,980,037.39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88FE0C7"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36,818,611.55</w:t>
            </w:r>
          </w:p>
        </w:tc>
      </w:tr>
    </w:tbl>
    <w:p w14:paraId="6C69547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购销商品、提供和接受劳务的关联交易说明</w:t>
      </w:r>
    </w:p>
    <w:p w14:paraId="1FD9AED3" w14:textId="77777777" w:rsidR="00AF139E" w:rsidRPr="005B5EC1" w:rsidRDefault="00000000">
      <w:pPr>
        <w:pStyle w:val="a3"/>
        <w:divId w:val="1649282944"/>
        <w:rPr>
          <w:rFonts w:ascii="Times New Roman" w:hAnsi="Times New Roman" w:cs="Times New Roman"/>
          <w:sz w:val="18"/>
          <w:szCs w:val="18"/>
        </w:rPr>
      </w:pPr>
      <w:r w:rsidRPr="005B5EC1">
        <w:rPr>
          <w:rFonts w:ascii="Times New Roman" w:hAnsi="Times New Roman" w:cs="Times New Roman"/>
          <w:sz w:val="18"/>
          <w:szCs w:val="18"/>
        </w:rPr>
        <w:lastRenderedPageBreak/>
        <w:t>无</w:t>
      </w:r>
    </w:p>
    <w:p w14:paraId="7D148F9E"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76" w:name="_Toc989423"/>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关联受托管理</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承包及委托管理</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出包情况</w:t>
      </w:r>
      <w:bookmarkEnd w:id="476"/>
    </w:p>
    <w:p w14:paraId="57596731" w14:textId="77777777" w:rsidR="00AF139E" w:rsidRPr="005B5EC1" w:rsidRDefault="00000000">
      <w:pPr>
        <w:pStyle w:val="a3"/>
        <w:divId w:val="671954298"/>
        <w:rPr>
          <w:rFonts w:ascii="Times New Roman" w:hAnsi="Times New Roman" w:cs="Times New Roman"/>
          <w:sz w:val="18"/>
          <w:szCs w:val="18"/>
        </w:rPr>
      </w:pPr>
      <w:r w:rsidRPr="005B5EC1">
        <w:rPr>
          <w:rFonts w:ascii="Times New Roman" w:hAnsi="Times New Roman" w:cs="Times New Roman"/>
          <w:sz w:val="18"/>
          <w:szCs w:val="18"/>
        </w:rPr>
        <w:t>无</w:t>
      </w:r>
    </w:p>
    <w:p w14:paraId="61B931BE"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77" w:name="_Toc98942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关联租赁情况</w:t>
      </w:r>
      <w:bookmarkEnd w:id="477"/>
    </w:p>
    <w:p w14:paraId="18B63D1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本公司作为出租方：</w:t>
      </w:r>
    </w:p>
    <w:p w14:paraId="22524086"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3AED7111"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8820BC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承租方名称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009B1F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租赁资产种类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FE570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本期确认的租赁收入</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E5DAE1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上期确认的租赁收入</w:t>
            </w:r>
          </w:p>
        </w:tc>
      </w:tr>
    </w:tbl>
    <w:p w14:paraId="42176D8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本公司作为承租方：</w:t>
      </w:r>
    </w:p>
    <w:p w14:paraId="17D25B92"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617"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57" w:type="dxa"/>
          <w:right w:w="57" w:type="dxa"/>
        </w:tblCellMar>
        <w:tblLook w:val="04A0" w:firstRow="1" w:lastRow="0" w:firstColumn="1" w:lastColumn="0" w:noHBand="0" w:noVBand="1"/>
      </w:tblPr>
      <w:tblGrid>
        <w:gridCol w:w="848"/>
        <w:gridCol w:w="849"/>
        <w:gridCol w:w="849"/>
        <w:gridCol w:w="848"/>
        <w:gridCol w:w="847"/>
        <w:gridCol w:w="671"/>
        <w:gridCol w:w="1023"/>
        <w:gridCol w:w="1138"/>
        <w:gridCol w:w="993"/>
        <w:gridCol w:w="850"/>
        <w:gridCol w:w="673"/>
        <w:gridCol w:w="1028"/>
      </w:tblGrid>
      <w:tr w:rsidR="00D05A56" w:rsidRPr="005B5EC1" w14:paraId="0D648913" w14:textId="77777777" w:rsidTr="00D05A56">
        <w:trPr>
          <w:trHeight w:val="243"/>
          <w:jc w:val="center"/>
        </w:trPr>
        <w:tc>
          <w:tcPr>
            <w:tcW w:w="84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7C0F9CF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出租方名称</w:t>
            </w:r>
          </w:p>
        </w:tc>
        <w:tc>
          <w:tcPr>
            <w:tcW w:w="849"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7E06BBD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租赁资产种类</w:t>
            </w:r>
          </w:p>
        </w:tc>
        <w:tc>
          <w:tcPr>
            <w:tcW w:w="16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362671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简化处理的短期租赁和低价值资产租赁的租金费用（如适用）</w:t>
            </w:r>
          </w:p>
        </w:tc>
        <w:tc>
          <w:tcPr>
            <w:tcW w:w="151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11A2B7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未纳入租赁负债计量的可变租赁付款额（如适用）</w:t>
            </w:r>
          </w:p>
        </w:tc>
        <w:tc>
          <w:tcPr>
            <w:tcW w:w="216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403021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支付的租金</w:t>
            </w:r>
          </w:p>
        </w:tc>
        <w:tc>
          <w:tcPr>
            <w:tcW w:w="184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275437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承担的租赁负债利息支出</w:t>
            </w:r>
          </w:p>
        </w:tc>
        <w:tc>
          <w:tcPr>
            <w:tcW w:w="170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7A91A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增加的使用权资产</w:t>
            </w:r>
          </w:p>
        </w:tc>
      </w:tr>
      <w:tr w:rsidR="00D05A56" w:rsidRPr="005B5EC1" w14:paraId="79FCD2E3" w14:textId="77777777" w:rsidTr="00D05A56">
        <w:trPr>
          <w:trHeight w:val="243"/>
          <w:jc w:val="center"/>
        </w:trPr>
        <w:tc>
          <w:tcPr>
            <w:tcW w:w="84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4EB4EFA" w14:textId="77777777" w:rsidR="00E32FE0" w:rsidRPr="005B5EC1" w:rsidRDefault="00E32FE0">
            <w:pPr>
              <w:rPr>
                <w:rFonts w:ascii="Times New Roman" w:hAnsi="Times New Roman" w:cs="Times New Roman"/>
              </w:rPr>
            </w:pPr>
          </w:p>
        </w:tc>
        <w:tc>
          <w:tcPr>
            <w:tcW w:w="849"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241CC0D" w14:textId="77777777" w:rsidR="00E32FE0" w:rsidRPr="005B5EC1" w:rsidRDefault="00E32FE0">
            <w:pPr>
              <w:rPr>
                <w:rFonts w:ascii="Times New Roman" w:hAnsi="Times New Roman" w:cs="Times New Roman"/>
              </w:rPr>
            </w:pPr>
          </w:p>
        </w:tc>
        <w:tc>
          <w:tcPr>
            <w:tcW w:w="849" w:type="dxa"/>
            <w:tcBorders>
              <w:top w:val="single" w:sz="2" w:space="0" w:color="auto"/>
              <w:left w:val="single" w:sz="2" w:space="0" w:color="auto"/>
              <w:bottom w:val="single" w:sz="2" w:space="0" w:color="auto"/>
              <w:right w:val="single" w:sz="2" w:space="0" w:color="auto"/>
            </w:tcBorders>
            <w:shd w:val="clear" w:color="auto" w:fill="auto"/>
            <w:vAlign w:val="center"/>
          </w:tcPr>
          <w:p w14:paraId="213DD28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848" w:type="dxa"/>
            <w:tcBorders>
              <w:top w:val="single" w:sz="2" w:space="0" w:color="auto"/>
              <w:left w:val="single" w:sz="2" w:space="0" w:color="auto"/>
              <w:bottom w:val="single" w:sz="2" w:space="0" w:color="auto"/>
              <w:right w:val="single" w:sz="2" w:space="0" w:color="auto"/>
            </w:tcBorders>
            <w:shd w:val="clear" w:color="auto" w:fill="auto"/>
            <w:vAlign w:val="center"/>
          </w:tcPr>
          <w:p w14:paraId="5BC2940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c>
          <w:tcPr>
            <w:tcW w:w="847" w:type="dxa"/>
            <w:tcBorders>
              <w:top w:val="single" w:sz="2" w:space="0" w:color="auto"/>
              <w:left w:val="single" w:sz="2" w:space="0" w:color="auto"/>
              <w:bottom w:val="single" w:sz="2" w:space="0" w:color="auto"/>
              <w:right w:val="single" w:sz="2" w:space="0" w:color="auto"/>
            </w:tcBorders>
            <w:shd w:val="clear" w:color="auto" w:fill="auto"/>
            <w:vAlign w:val="center"/>
          </w:tcPr>
          <w:p w14:paraId="52B4DA1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671" w:type="dxa"/>
            <w:tcBorders>
              <w:top w:val="single" w:sz="2" w:space="0" w:color="auto"/>
              <w:left w:val="single" w:sz="2" w:space="0" w:color="auto"/>
              <w:bottom w:val="single" w:sz="2" w:space="0" w:color="auto"/>
              <w:right w:val="single" w:sz="2" w:space="0" w:color="auto"/>
            </w:tcBorders>
            <w:shd w:val="clear" w:color="auto" w:fill="auto"/>
            <w:vAlign w:val="center"/>
          </w:tcPr>
          <w:p w14:paraId="7F1F2AC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c>
          <w:tcPr>
            <w:tcW w:w="1023" w:type="dxa"/>
            <w:tcBorders>
              <w:top w:val="single" w:sz="2" w:space="0" w:color="auto"/>
              <w:left w:val="single" w:sz="2" w:space="0" w:color="auto"/>
              <w:bottom w:val="single" w:sz="2" w:space="0" w:color="auto"/>
              <w:right w:val="single" w:sz="2" w:space="0" w:color="auto"/>
            </w:tcBorders>
            <w:shd w:val="clear" w:color="auto" w:fill="auto"/>
            <w:vAlign w:val="center"/>
          </w:tcPr>
          <w:p w14:paraId="69B9C5C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1138" w:type="dxa"/>
            <w:tcBorders>
              <w:top w:val="single" w:sz="2" w:space="0" w:color="auto"/>
              <w:left w:val="single" w:sz="2" w:space="0" w:color="auto"/>
              <w:bottom w:val="single" w:sz="2" w:space="0" w:color="auto"/>
              <w:right w:val="single" w:sz="2" w:space="0" w:color="auto"/>
            </w:tcBorders>
            <w:shd w:val="clear" w:color="auto" w:fill="auto"/>
            <w:vAlign w:val="center"/>
          </w:tcPr>
          <w:p w14:paraId="16E52BE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0D1F0C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410E83B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c>
          <w:tcPr>
            <w:tcW w:w="673" w:type="dxa"/>
            <w:tcBorders>
              <w:top w:val="single" w:sz="2" w:space="0" w:color="auto"/>
              <w:left w:val="single" w:sz="2" w:space="0" w:color="auto"/>
              <w:bottom w:val="single" w:sz="2" w:space="0" w:color="auto"/>
              <w:right w:val="single" w:sz="2" w:space="0" w:color="auto"/>
            </w:tcBorders>
            <w:shd w:val="clear" w:color="auto" w:fill="auto"/>
            <w:vAlign w:val="center"/>
          </w:tcPr>
          <w:p w14:paraId="64DFEEB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1028" w:type="dxa"/>
            <w:tcBorders>
              <w:top w:val="single" w:sz="2" w:space="0" w:color="auto"/>
              <w:left w:val="single" w:sz="2" w:space="0" w:color="auto"/>
              <w:bottom w:val="single" w:sz="2" w:space="0" w:color="auto"/>
              <w:right w:val="single" w:sz="2" w:space="0" w:color="auto"/>
            </w:tcBorders>
            <w:shd w:val="clear" w:color="auto" w:fill="auto"/>
            <w:vAlign w:val="center"/>
          </w:tcPr>
          <w:p w14:paraId="7DD5467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D05A56" w:rsidRPr="005B5EC1" w14:paraId="0C4C0EE4" w14:textId="77777777" w:rsidTr="00D05A56">
        <w:trPr>
          <w:trHeight w:val="243"/>
          <w:jc w:val="center"/>
        </w:trPr>
        <w:tc>
          <w:tcPr>
            <w:tcW w:w="848" w:type="dxa"/>
            <w:tcBorders>
              <w:top w:val="single" w:sz="2" w:space="0" w:color="auto"/>
              <w:left w:val="single" w:sz="2" w:space="0" w:color="auto"/>
              <w:bottom w:val="single" w:sz="2" w:space="0" w:color="auto"/>
              <w:right w:val="single" w:sz="2" w:space="0" w:color="auto"/>
            </w:tcBorders>
            <w:shd w:val="clear" w:color="auto" w:fill="auto"/>
            <w:vAlign w:val="center"/>
          </w:tcPr>
          <w:p w14:paraId="73334D5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成都润家商业管理有限公司</w:t>
            </w:r>
          </w:p>
        </w:tc>
        <w:tc>
          <w:tcPr>
            <w:tcW w:w="849" w:type="dxa"/>
            <w:tcBorders>
              <w:top w:val="single" w:sz="2" w:space="0" w:color="auto"/>
              <w:left w:val="single" w:sz="2" w:space="0" w:color="auto"/>
              <w:bottom w:val="single" w:sz="2" w:space="0" w:color="auto"/>
              <w:right w:val="single" w:sz="2" w:space="0" w:color="auto"/>
            </w:tcBorders>
            <w:shd w:val="clear" w:color="auto" w:fill="auto"/>
            <w:vAlign w:val="center"/>
          </w:tcPr>
          <w:p w14:paraId="122A0A3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房屋租赁</w:t>
            </w:r>
          </w:p>
        </w:tc>
        <w:tc>
          <w:tcPr>
            <w:tcW w:w="849" w:type="dxa"/>
            <w:tcBorders>
              <w:top w:val="single" w:sz="2" w:space="0" w:color="auto"/>
              <w:left w:val="single" w:sz="2" w:space="0" w:color="auto"/>
              <w:bottom w:val="single" w:sz="2" w:space="0" w:color="auto"/>
              <w:right w:val="single" w:sz="2" w:space="0" w:color="auto"/>
            </w:tcBorders>
            <w:shd w:val="clear" w:color="auto" w:fill="auto"/>
            <w:vAlign w:val="center"/>
          </w:tcPr>
          <w:p w14:paraId="71D5FE0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48" w:type="dxa"/>
            <w:tcBorders>
              <w:top w:val="single" w:sz="2" w:space="0" w:color="auto"/>
              <w:left w:val="single" w:sz="2" w:space="0" w:color="auto"/>
              <w:bottom w:val="single" w:sz="2" w:space="0" w:color="auto"/>
              <w:right w:val="single" w:sz="2" w:space="0" w:color="auto"/>
            </w:tcBorders>
            <w:shd w:val="clear" w:color="auto" w:fill="auto"/>
            <w:vAlign w:val="center"/>
          </w:tcPr>
          <w:p w14:paraId="3980030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47" w:type="dxa"/>
            <w:tcBorders>
              <w:top w:val="single" w:sz="2" w:space="0" w:color="auto"/>
              <w:left w:val="single" w:sz="2" w:space="0" w:color="auto"/>
              <w:bottom w:val="single" w:sz="2" w:space="0" w:color="auto"/>
              <w:right w:val="single" w:sz="2" w:space="0" w:color="auto"/>
            </w:tcBorders>
            <w:shd w:val="clear" w:color="auto" w:fill="auto"/>
            <w:vAlign w:val="center"/>
          </w:tcPr>
          <w:p w14:paraId="7F01EAC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1" w:type="dxa"/>
            <w:tcBorders>
              <w:top w:val="single" w:sz="2" w:space="0" w:color="auto"/>
              <w:left w:val="single" w:sz="2" w:space="0" w:color="auto"/>
              <w:bottom w:val="single" w:sz="2" w:space="0" w:color="auto"/>
              <w:right w:val="single" w:sz="2" w:space="0" w:color="auto"/>
            </w:tcBorders>
            <w:shd w:val="clear" w:color="auto" w:fill="auto"/>
            <w:vAlign w:val="center"/>
          </w:tcPr>
          <w:p w14:paraId="0797D09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23" w:type="dxa"/>
            <w:tcBorders>
              <w:top w:val="single" w:sz="2" w:space="0" w:color="auto"/>
              <w:left w:val="single" w:sz="2" w:space="0" w:color="auto"/>
              <w:bottom w:val="single" w:sz="2" w:space="0" w:color="auto"/>
              <w:right w:val="single" w:sz="2" w:space="0" w:color="auto"/>
            </w:tcBorders>
            <w:shd w:val="clear" w:color="auto" w:fill="auto"/>
            <w:vAlign w:val="center"/>
          </w:tcPr>
          <w:p w14:paraId="66293E9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322,600.06</w:t>
            </w:r>
          </w:p>
        </w:tc>
        <w:tc>
          <w:tcPr>
            <w:tcW w:w="1138" w:type="dxa"/>
            <w:tcBorders>
              <w:top w:val="single" w:sz="2" w:space="0" w:color="auto"/>
              <w:left w:val="single" w:sz="2" w:space="0" w:color="auto"/>
              <w:bottom w:val="single" w:sz="2" w:space="0" w:color="auto"/>
              <w:right w:val="single" w:sz="2" w:space="0" w:color="auto"/>
            </w:tcBorders>
            <w:shd w:val="clear" w:color="auto" w:fill="auto"/>
            <w:vAlign w:val="center"/>
          </w:tcPr>
          <w:p w14:paraId="575300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327,708.42</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64B9E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61,930.13</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3E0B18B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73,372.18</w:t>
            </w:r>
          </w:p>
        </w:tc>
        <w:tc>
          <w:tcPr>
            <w:tcW w:w="673" w:type="dxa"/>
            <w:tcBorders>
              <w:top w:val="single" w:sz="2" w:space="0" w:color="auto"/>
              <w:left w:val="single" w:sz="2" w:space="0" w:color="auto"/>
              <w:bottom w:val="single" w:sz="2" w:space="0" w:color="auto"/>
              <w:right w:val="single" w:sz="2" w:space="0" w:color="auto"/>
            </w:tcBorders>
            <w:shd w:val="clear" w:color="auto" w:fill="auto"/>
            <w:vAlign w:val="center"/>
          </w:tcPr>
          <w:p w14:paraId="4AC0FE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28" w:type="dxa"/>
            <w:tcBorders>
              <w:top w:val="single" w:sz="2" w:space="0" w:color="auto"/>
              <w:left w:val="single" w:sz="2" w:space="0" w:color="auto"/>
              <w:bottom w:val="single" w:sz="2" w:space="0" w:color="auto"/>
              <w:right w:val="single" w:sz="2" w:space="0" w:color="auto"/>
            </w:tcBorders>
            <w:shd w:val="clear" w:color="auto" w:fill="auto"/>
            <w:vAlign w:val="center"/>
          </w:tcPr>
          <w:p w14:paraId="68FEA6A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D05A56" w:rsidRPr="005B5EC1" w14:paraId="72F95D05" w14:textId="77777777" w:rsidTr="00D05A56">
        <w:trPr>
          <w:trHeight w:val="243"/>
          <w:jc w:val="center"/>
        </w:trPr>
        <w:tc>
          <w:tcPr>
            <w:tcW w:w="848" w:type="dxa"/>
            <w:tcBorders>
              <w:top w:val="single" w:sz="2" w:space="0" w:color="auto"/>
              <w:left w:val="single" w:sz="2" w:space="0" w:color="auto"/>
              <w:bottom w:val="single" w:sz="2" w:space="0" w:color="auto"/>
              <w:right w:val="single" w:sz="2" w:space="0" w:color="auto"/>
            </w:tcBorders>
            <w:shd w:val="clear" w:color="auto" w:fill="auto"/>
            <w:vAlign w:val="center"/>
          </w:tcPr>
          <w:p w14:paraId="5CE3F97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成都润家商业管理有限公司</w:t>
            </w:r>
          </w:p>
        </w:tc>
        <w:tc>
          <w:tcPr>
            <w:tcW w:w="849" w:type="dxa"/>
            <w:tcBorders>
              <w:top w:val="single" w:sz="2" w:space="0" w:color="auto"/>
              <w:left w:val="single" w:sz="2" w:space="0" w:color="auto"/>
              <w:bottom w:val="single" w:sz="2" w:space="0" w:color="auto"/>
              <w:right w:val="single" w:sz="2" w:space="0" w:color="auto"/>
            </w:tcBorders>
            <w:shd w:val="clear" w:color="auto" w:fill="auto"/>
            <w:vAlign w:val="center"/>
          </w:tcPr>
          <w:p w14:paraId="30E67D1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房屋租赁</w:t>
            </w:r>
          </w:p>
        </w:tc>
        <w:tc>
          <w:tcPr>
            <w:tcW w:w="849" w:type="dxa"/>
            <w:tcBorders>
              <w:top w:val="single" w:sz="2" w:space="0" w:color="auto"/>
              <w:left w:val="single" w:sz="2" w:space="0" w:color="auto"/>
              <w:bottom w:val="single" w:sz="2" w:space="0" w:color="auto"/>
              <w:right w:val="single" w:sz="2" w:space="0" w:color="auto"/>
            </w:tcBorders>
            <w:shd w:val="clear" w:color="auto" w:fill="auto"/>
            <w:vAlign w:val="center"/>
          </w:tcPr>
          <w:p w14:paraId="15597E9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48" w:type="dxa"/>
            <w:tcBorders>
              <w:top w:val="single" w:sz="2" w:space="0" w:color="auto"/>
              <w:left w:val="single" w:sz="2" w:space="0" w:color="auto"/>
              <w:bottom w:val="single" w:sz="2" w:space="0" w:color="auto"/>
              <w:right w:val="single" w:sz="2" w:space="0" w:color="auto"/>
            </w:tcBorders>
            <w:shd w:val="clear" w:color="auto" w:fill="auto"/>
            <w:vAlign w:val="center"/>
          </w:tcPr>
          <w:p w14:paraId="25598F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47" w:type="dxa"/>
            <w:tcBorders>
              <w:top w:val="single" w:sz="2" w:space="0" w:color="auto"/>
              <w:left w:val="single" w:sz="2" w:space="0" w:color="auto"/>
              <w:bottom w:val="single" w:sz="2" w:space="0" w:color="auto"/>
              <w:right w:val="single" w:sz="2" w:space="0" w:color="auto"/>
            </w:tcBorders>
            <w:shd w:val="clear" w:color="auto" w:fill="auto"/>
            <w:vAlign w:val="center"/>
          </w:tcPr>
          <w:p w14:paraId="77D430D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1" w:type="dxa"/>
            <w:tcBorders>
              <w:top w:val="single" w:sz="2" w:space="0" w:color="auto"/>
              <w:left w:val="single" w:sz="2" w:space="0" w:color="auto"/>
              <w:bottom w:val="single" w:sz="2" w:space="0" w:color="auto"/>
              <w:right w:val="single" w:sz="2" w:space="0" w:color="auto"/>
            </w:tcBorders>
            <w:shd w:val="clear" w:color="auto" w:fill="auto"/>
            <w:vAlign w:val="center"/>
          </w:tcPr>
          <w:p w14:paraId="226271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23" w:type="dxa"/>
            <w:tcBorders>
              <w:top w:val="single" w:sz="2" w:space="0" w:color="auto"/>
              <w:left w:val="single" w:sz="2" w:space="0" w:color="auto"/>
              <w:bottom w:val="single" w:sz="2" w:space="0" w:color="auto"/>
              <w:right w:val="single" w:sz="2" w:space="0" w:color="auto"/>
            </w:tcBorders>
            <w:shd w:val="clear" w:color="auto" w:fill="auto"/>
            <w:vAlign w:val="center"/>
          </w:tcPr>
          <w:p w14:paraId="35B30E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8" w:type="dxa"/>
            <w:tcBorders>
              <w:top w:val="single" w:sz="2" w:space="0" w:color="auto"/>
              <w:left w:val="single" w:sz="2" w:space="0" w:color="auto"/>
              <w:bottom w:val="single" w:sz="2" w:space="0" w:color="auto"/>
              <w:right w:val="single" w:sz="2" w:space="0" w:color="auto"/>
            </w:tcBorders>
            <w:shd w:val="clear" w:color="auto" w:fill="auto"/>
            <w:vAlign w:val="center"/>
          </w:tcPr>
          <w:p w14:paraId="3143C5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1,536,247.49</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0FF7936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27DF5BC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67,559.37</w:t>
            </w:r>
          </w:p>
        </w:tc>
        <w:tc>
          <w:tcPr>
            <w:tcW w:w="673" w:type="dxa"/>
            <w:tcBorders>
              <w:top w:val="single" w:sz="2" w:space="0" w:color="auto"/>
              <w:left w:val="single" w:sz="2" w:space="0" w:color="auto"/>
              <w:bottom w:val="single" w:sz="2" w:space="0" w:color="auto"/>
              <w:right w:val="single" w:sz="2" w:space="0" w:color="auto"/>
            </w:tcBorders>
            <w:shd w:val="clear" w:color="auto" w:fill="auto"/>
            <w:vAlign w:val="center"/>
          </w:tcPr>
          <w:p w14:paraId="3ED05D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28" w:type="dxa"/>
            <w:tcBorders>
              <w:top w:val="single" w:sz="2" w:space="0" w:color="auto"/>
              <w:left w:val="single" w:sz="2" w:space="0" w:color="auto"/>
              <w:bottom w:val="single" w:sz="2" w:space="0" w:color="auto"/>
              <w:right w:val="single" w:sz="2" w:space="0" w:color="auto"/>
            </w:tcBorders>
            <w:shd w:val="clear" w:color="auto" w:fill="auto"/>
            <w:vAlign w:val="center"/>
          </w:tcPr>
          <w:p w14:paraId="5AA47A6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D05A56" w:rsidRPr="005B5EC1" w14:paraId="6120DCBA" w14:textId="77777777" w:rsidTr="00D05A56">
        <w:trPr>
          <w:trHeight w:val="243"/>
          <w:jc w:val="center"/>
        </w:trPr>
        <w:tc>
          <w:tcPr>
            <w:tcW w:w="848" w:type="dxa"/>
            <w:tcBorders>
              <w:top w:val="single" w:sz="2" w:space="0" w:color="auto"/>
              <w:left w:val="single" w:sz="2" w:space="0" w:color="auto"/>
              <w:bottom w:val="single" w:sz="2" w:space="0" w:color="auto"/>
              <w:right w:val="single" w:sz="2" w:space="0" w:color="auto"/>
            </w:tcBorders>
            <w:shd w:val="clear" w:color="auto" w:fill="auto"/>
            <w:vAlign w:val="center"/>
          </w:tcPr>
          <w:p w14:paraId="6372763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成都润家商业管理有限公司</w:t>
            </w:r>
          </w:p>
        </w:tc>
        <w:tc>
          <w:tcPr>
            <w:tcW w:w="849" w:type="dxa"/>
            <w:tcBorders>
              <w:top w:val="single" w:sz="2" w:space="0" w:color="auto"/>
              <w:left w:val="single" w:sz="2" w:space="0" w:color="auto"/>
              <w:bottom w:val="single" w:sz="2" w:space="0" w:color="auto"/>
              <w:right w:val="single" w:sz="2" w:space="0" w:color="auto"/>
            </w:tcBorders>
            <w:shd w:val="clear" w:color="auto" w:fill="auto"/>
            <w:vAlign w:val="center"/>
          </w:tcPr>
          <w:p w14:paraId="392DD6F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房屋租赁</w:t>
            </w:r>
          </w:p>
        </w:tc>
        <w:tc>
          <w:tcPr>
            <w:tcW w:w="849" w:type="dxa"/>
            <w:tcBorders>
              <w:top w:val="single" w:sz="2" w:space="0" w:color="auto"/>
              <w:left w:val="single" w:sz="2" w:space="0" w:color="auto"/>
              <w:bottom w:val="single" w:sz="2" w:space="0" w:color="auto"/>
              <w:right w:val="single" w:sz="2" w:space="0" w:color="auto"/>
            </w:tcBorders>
            <w:shd w:val="clear" w:color="auto" w:fill="auto"/>
            <w:vAlign w:val="center"/>
          </w:tcPr>
          <w:p w14:paraId="2E9C003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48" w:type="dxa"/>
            <w:tcBorders>
              <w:top w:val="single" w:sz="2" w:space="0" w:color="auto"/>
              <w:left w:val="single" w:sz="2" w:space="0" w:color="auto"/>
              <w:bottom w:val="single" w:sz="2" w:space="0" w:color="auto"/>
              <w:right w:val="single" w:sz="2" w:space="0" w:color="auto"/>
            </w:tcBorders>
            <w:shd w:val="clear" w:color="auto" w:fill="auto"/>
            <w:vAlign w:val="center"/>
          </w:tcPr>
          <w:p w14:paraId="31C22D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47" w:type="dxa"/>
            <w:tcBorders>
              <w:top w:val="single" w:sz="2" w:space="0" w:color="auto"/>
              <w:left w:val="single" w:sz="2" w:space="0" w:color="auto"/>
              <w:bottom w:val="single" w:sz="2" w:space="0" w:color="auto"/>
              <w:right w:val="single" w:sz="2" w:space="0" w:color="auto"/>
            </w:tcBorders>
            <w:shd w:val="clear" w:color="auto" w:fill="auto"/>
            <w:vAlign w:val="center"/>
          </w:tcPr>
          <w:p w14:paraId="0164052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671" w:type="dxa"/>
            <w:tcBorders>
              <w:top w:val="single" w:sz="2" w:space="0" w:color="auto"/>
              <w:left w:val="single" w:sz="2" w:space="0" w:color="auto"/>
              <w:bottom w:val="single" w:sz="2" w:space="0" w:color="auto"/>
              <w:right w:val="single" w:sz="2" w:space="0" w:color="auto"/>
            </w:tcBorders>
            <w:shd w:val="clear" w:color="auto" w:fill="auto"/>
            <w:vAlign w:val="center"/>
          </w:tcPr>
          <w:p w14:paraId="7526E11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23" w:type="dxa"/>
            <w:tcBorders>
              <w:top w:val="single" w:sz="2" w:space="0" w:color="auto"/>
              <w:left w:val="single" w:sz="2" w:space="0" w:color="auto"/>
              <w:bottom w:val="single" w:sz="2" w:space="0" w:color="auto"/>
              <w:right w:val="single" w:sz="2" w:space="0" w:color="auto"/>
            </w:tcBorders>
            <w:shd w:val="clear" w:color="auto" w:fill="auto"/>
            <w:vAlign w:val="center"/>
          </w:tcPr>
          <w:p w14:paraId="6F9712F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38" w:type="dxa"/>
            <w:tcBorders>
              <w:top w:val="single" w:sz="2" w:space="0" w:color="auto"/>
              <w:left w:val="single" w:sz="2" w:space="0" w:color="auto"/>
              <w:bottom w:val="single" w:sz="2" w:space="0" w:color="auto"/>
              <w:right w:val="single" w:sz="2" w:space="0" w:color="auto"/>
            </w:tcBorders>
            <w:shd w:val="clear" w:color="auto" w:fill="auto"/>
            <w:vAlign w:val="center"/>
          </w:tcPr>
          <w:p w14:paraId="11BF75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62,648.68</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7911857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303A4BD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5,314.53</w:t>
            </w:r>
          </w:p>
        </w:tc>
        <w:tc>
          <w:tcPr>
            <w:tcW w:w="673" w:type="dxa"/>
            <w:tcBorders>
              <w:top w:val="single" w:sz="2" w:space="0" w:color="auto"/>
              <w:left w:val="single" w:sz="2" w:space="0" w:color="auto"/>
              <w:bottom w:val="single" w:sz="2" w:space="0" w:color="auto"/>
              <w:right w:val="single" w:sz="2" w:space="0" w:color="auto"/>
            </w:tcBorders>
            <w:shd w:val="clear" w:color="auto" w:fill="auto"/>
            <w:vAlign w:val="center"/>
          </w:tcPr>
          <w:p w14:paraId="477BA19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028" w:type="dxa"/>
            <w:tcBorders>
              <w:top w:val="single" w:sz="2" w:space="0" w:color="auto"/>
              <w:left w:val="single" w:sz="2" w:space="0" w:color="auto"/>
              <w:bottom w:val="single" w:sz="2" w:space="0" w:color="auto"/>
              <w:right w:val="single" w:sz="2" w:space="0" w:color="auto"/>
            </w:tcBorders>
            <w:shd w:val="clear" w:color="auto" w:fill="auto"/>
            <w:vAlign w:val="center"/>
          </w:tcPr>
          <w:p w14:paraId="6CF3D4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292,357.11</w:t>
            </w:r>
          </w:p>
        </w:tc>
      </w:tr>
    </w:tbl>
    <w:p w14:paraId="44C0C5E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关联租赁情况说明</w:t>
      </w:r>
    </w:p>
    <w:p w14:paraId="327606B1" w14:textId="22BD3F5D" w:rsidR="00AF139E" w:rsidRPr="005B5EC1" w:rsidRDefault="00000000">
      <w:pPr>
        <w:pStyle w:val="a3"/>
        <w:spacing w:before="0" w:beforeAutospacing="0" w:after="0" w:afterAutospacing="0"/>
        <w:textAlignment w:val="baseline"/>
        <w:divId w:val="531958438"/>
        <w:rPr>
          <w:rFonts w:ascii="Times New Roman" w:hAnsi="Times New Roman" w:cs="Times New Roman"/>
          <w:color w:val="000000"/>
          <w:sz w:val="21"/>
          <w:szCs w:val="21"/>
        </w:rPr>
      </w:pPr>
      <w:r w:rsidRPr="005B5EC1">
        <w:rPr>
          <w:rFonts w:ascii="Times New Roman" w:hAnsi="Times New Roman" w:cs="Times New Roman"/>
          <w:color w:val="000000"/>
          <w:spacing w:val="-3"/>
          <w:sz w:val="18"/>
          <w:szCs w:val="18"/>
        </w:rPr>
        <w:t>山东龙大生猪产品工程技术研究有限公司租入成都润家商业管理有限公司房屋，租赁起始日为</w:t>
      </w:r>
      <w:r w:rsidRPr="005B5EC1">
        <w:rPr>
          <w:rFonts w:ascii="Times New Roman" w:hAnsi="Times New Roman" w:cs="Times New Roman"/>
          <w:color w:val="000000"/>
          <w:spacing w:val="-3"/>
          <w:sz w:val="18"/>
          <w:szCs w:val="18"/>
        </w:rPr>
        <w:t xml:space="preserve">2021 </w:t>
      </w:r>
      <w:r w:rsidRPr="005B5EC1">
        <w:rPr>
          <w:rFonts w:ascii="Times New Roman" w:hAnsi="Times New Roman" w:cs="Times New Roman"/>
          <w:color w:val="000000"/>
          <w:spacing w:val="-3"/>
          <w:sz w:val="18"/>
          <w:szCs w:val="18"/>
        </w:rPr>
        <w:t>年</w:t>
      </w:r>
      <w:r w:rsidRPr="005B5EC1">
        <w:rPr>
          <w:rFonts w:ascii="Times New Roman" w:hAnsi="Times New Roman" w:cs="Times New Roman"/>
          <w:color w:val="000000"/>
          <w:spacing w:val="-3"/>
          <w:sz w:val="18"/>
          <w:szCs w:val="18"/>
        </w:rPr>
        <w:t>8</w:t>
      </w:r>
      <w:r w:rsidRPr="005B5EC1">
        <w:rPr>
          <w:rFonts w:ascii="Times New Roman" w:hAnsi="Times New Roman" w:cs="Times New Roman"/>
          <w:color w:val="000000"/>
          <w:spacing w:val="-4"/>
          <w:sz w:val="18"/>
          <w:szCs w:val="18"/>
        </w:rPr>
        <w:t> </w:t>
      </w:r>
      <w:r w:rsidRPr="005B5EC1">
        <w:rPr>
          <w:rFonts w:ascii="Times New Roman" w:hAnsi="Times New Roman" w:cs="Times New Roman"/>
          <w:color w:val="000000"/>
          <w:spacing w:val="-4"/>
          <w:sz w:val="18"/>
          <w:szCs w:val="18"/>
        </w:rPr>
        <w:t>月</w:t>
      </w:r>
      <w:r w:rsidRPr="005B5EC1">
        <w:rPr>
          <w:rFonts w:ascii="Times New Roman" w:hAnsi="Times New Roman" w:cs="Times New Roman"/>
          <w:color w:val="000000"/>
          <w:spacing w:val="-4"/>
          <w:sz w:val="18"/>
          <w:szCs w:val="18"/>
        </w:rPr>
        <w:t>1</w:t>
      </w:r>
      <w:r w:rsidRPr="005B5EC1">
        <w:rPr>
          <w:rFonts w:ascii="Times New Roman" w:hAnsi="Times New Roman" w:cs="Times New Roman"/>
          <w:color w:val="000000"/>
          <w:spacing w:val="-4"/>
          <w:sz w:val="18"/>
          <w:szCs w:val="18"/>
        </w:rPr>
        <w:t>日，租赁终止日为</w:t>
      </w:r>
      <w:r w:rsidRPr="005B5EC1">
        <w:rPr>
          <w:rFonts w:ascii="Times New Roman" w:hAnsi="Times New Roman" w:cs="Times New Roman"/>
          <w:color w:val="000000"/>
          <w:spacing w:val="-4"/>
          <w:sz w:val="18"/>
          <w:szCs w:val="18"/>
        </w:rPr>
        <w:t>2028</w:t>
      </w:r>
      <w:r w:rsidRPr="005B5EC1">
        <w:rPr>
          <w:rFonts w:ascii="Times New Roman" w:hAnsi="Times New Roman" w:cs="Times New Roman"/>
          <w:color w:val="000000"/>
          <w:spacing w:val="-4"/>
          <w:sz w:val="18"/>
          <w:szCs w:val="18"/>
        </w:rPr>
        <w:t>年</w:t>
      </w:r>
      <w:r w:rsidRPr="005B5EC1">
        <w:rPr>
          <w:rFonts w:ascii="Times New Roman" w:hAnsi="Times New Roman" w:cs="Times New Roman"/>
          <w:color w:val="000000"/>
          <w:spacing w:val="-4"/>
          <w:sz w:val="18"/>
          <w:szCs w:val="18"/>
        </w:rPr>
        <w:t xml:space="preserve">10 </w:t>
      </w:r>
      <w:r w:rsidRPr="005B5EC1">
        <w:rPr>
          <w:rFonts w:ascii="Times New Roman" w:hAnsi="Times New Roman" w:cs="Times New Roman"/>
          <w:color w:val="000000"/>
          <w:spacing w:val="-4"/>
          <w:sz w:val="18"/>
          <w:szCs w:val="18"/>
        </w:rPr>
        <w:t>月</w:t>
      </w:r>
      <w:r w:rsidRPr="005B5EC1">
        <w:rPr>
          <w:rFonts w:ascii="Times New Roman" w:hAnsi="Times New Roman" w:cs="Times New Roman"/>
          <w:color w:val="000000"/>
          <w:spacing w:val="-4"/>
          <w:sz w:val="18"/>
          <w:szCs w:val="18"/>
        </w:rPr>
        <w:t>16</w:t>
      </w:r>
      <w:r w:rsidRPr="005B5EC1">
        <w:rPr>
          <w:rFonts w:ascii="Times New Roman" w:hAnsi="Times New Roman" w:cs="Times New Roman"/>
          <w:color w:val="000000"/>
          <w:spacing w:val="27"/>
          <w:sz w:val="18"/>
          <w:szCs w:val="18"/>
        </w:rPr>
        <w:t> </w:t>
      </w:r>
      <w:r w:rsidRPr="005B5EC1">
        <w:rPr>
          <w:rFonts w:ascii="Times New Roman" w:hAnsi="Times New Roman" w:cs="Times New Roman"/>
          <w:color w:val="000000"/>
          <w:spacing w:val="-4"/>
          <w:sz w:val="18"/>
          <w:szCs w:val="18"/>
        </w:rPr>
        <w:t>日，租赁费定</w:t>
      </w:r>
      <w:r w:rsidRPr="005B5EC1">
        <w:rPr>
          <w:rFonts w:ascii="Times New Roman" w:hAnsi="Times New Roman" w:cs="Times New Roman"/>
          <w:color w:val="000000"/>
          <w:spacing w:val="-2"/>
          <w:sz w:val="18"/>
          <w:szCs w:val="18"/>
        </w:rPr>
        <w:t>价依据为市场价格</w:t>
      </w:r>
      <w:r w:rsidR="00A12739">
        <w:rPr>
          <w:rFonts w:ascii="Times New Roman" w:hAnsi="Times New Roman" w:cs="Times New Roman" w:hint="eastAsia"/>
          <w:color w:val="000000"/>
          <w:spacing w:val="-2"/>
          <w:sz w:val="18"/>
          <w:szCs w:val="18"/>
        </w:rPr>
        <w:t>。</w:t>
      </w:r>
    </w:p>
    <w:p w14:paraId="74EB75DC"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78" w:name="_Toc98942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关联担保情况</w:t>
      </w:r>
      <w:bookmarkEnd w:id="478"/>
    </w:p>
    <w:p w14:paraId="081576A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本公司作为担保方</w:t>
      </w:r>
    </w:p>
    <w:p w14:paraId="3A75B6B7"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1D3832E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EF605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被担保方</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A50165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D74EF0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A03A67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9159D1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担保是否已经履行完毕</w:t>
            </w:r>
          </w:p>
        </w:tc>
      </w:tr>
    </w:tbl>
    <w:p w14:paraId="1004AC1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本公司作为被担保方</w:t>
      </w:r>
    </w:p>
    <w:p w14:paraId="1E49E936"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6C896976" w14:textId="77777777" w:rsidTr="00D05A5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48478B6"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担保方</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917AB85"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担保金额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C1BD924"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担保起始日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3663363"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担保到期日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2CE39B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担保是否已经履行完毕</w:t>
            </w:r>
          </w:p>
        </w:tc>
      </w:tr>
      <w:tr w:rsidR="00E32FE0" w:rsidRPr="005B5EC1" w14:paraId="0E7B00C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E9FCC6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372557B"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12,400,000.00</w:t>
            </w:r>
          </w:p>
        </w:tc>
        <w:tc>
          <w:tcPr>
            <w:tcW w:w="1928" w:type="dxa"/>
            <w:tcBorders>
              <w:top w:val="single" w:sz="2" w:space="0" w:color="auto"/>
              <w:left w:val="single" w:sz="2" w:space="0" w:color="auto"/>
              <w:bottom w:val="single" w:sz="2" w:space="0" w:color="auto"/>
              <w:right w:val="single" w:sz="2" w:space="0" w:color="auto"/>
            </w:tcBorders>
            <w:vAlign w:val="center"/>
          </w:tcPr>
          <w:p w14:paraId="5446081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DB1C50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7E099D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75BEF1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FD9E887"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5BA3DCA"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2,580,000.00</w:t>
            </w:r>
          </w:p>
        </w:tc>
        <w:tc>
          <w:tcPr>
            <w:tcW w:w="1928" w:type="dxa"/>
            <w:tcBorders>
              <w:top w:val="single" w:sz="2" w:space="0" w:color="auto"/>
              <w:left w:val="single" w:sz="2" w:space="0" w:color="auto"/>
              <w:bottom w:val="single" w:sz="2" w:space="0" w:color="auto"/>
              <w:right w:val="single" w:sz="2" w:space="0" w:color="auto"/>
            </w:tcBorders>
            <w:vAlign w:val="center"/>
          </w:tcPr>
          <w:p w14:paraId="54E1317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E32ABB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8F197DD"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327709E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CEF740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w:t>
            </w:r>
            <w:r w:rsidRPr="005B5EC1">
              <w:rPr>
                <w:rFonts w:ascii="Times New Roman" w:eastAsia="宋体" w:hAnsi="Times New Roman" w:cs="Times New Roman"/>
                <w:sz w:val="18"/>
                <w:szCs w:val="18"/>
              </w:rPr>
              <w:lastRenderedPageBreak/>
              <w:t>限公司</w:t>
            </w:r>
          </w:p>
        </w:tc>
        <w:tc>
          <w:tcPr>
            <w:tcW w:w="1928" w:type="dxa"/>
            <w:tcBorders>
              <w:top w:val="single" w:sz="2" w:space="0" w:color="auto"/>
              <w:left w:val="single" w:sz="2" w:space="0" w:color="auto"/>
              <w:bottom w:val="single" w:sz="2" w:space="0" w:color="auto"/>
              <w:right w:val="single" w:sz="2" w:space="0" w:color="auto"/>
            </w:tcBorders>
            <w:vAlign w:val="center"/>
          </w:tcPr>
          <w:p w14:paraId="79443A37"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15,000,000.00</w:t>
            </w:r>
          </w:p>
        </w:tc>
        <w:tc>
          <w:tcPr>
            <w:tcW w:w="1928" w:type="dxa"/>
            <w:tcBorders>
              <w:top w:val="single" w:sz="2" w:space="0" w:color="auto"/>
              <w:left w:val="single" w:sz="2" w:space="0" w:color="auto"/>
              <w:bottom w:val="single" w:sz="2" w:space="0" w:color="auto"/>
              <w:right w:val="single" w:sz="2" w:space="0" w:color="auto"/>
            </w:tcBorders>
            <w:vAlign w:val="center"/>
          </w:tcPr>
          <w:p w14:paraId="497A36D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097588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92C459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34793A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BC2A3A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50C1562"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77,200,000.00</w:t>
            </w:r>
          </w:p>
        </w:tc>
        <w:tc>
          <w:tcPr>
            <w:tcW w:w="1928" w:type="dxa"/>
            <w:tcBorders>
              <w:top w:val="single" w:sz="2" w:space="0" w:color="auto"/>
              <w:left w:val="single" w:sz="2" w:space="0" w:color="auto"/>
              <w:bottom w:val="single" w:sz="2" w:space="0" w:color="auto"/>
              <w:right w:val="single" w:sz="2" w:space="0" w:color="auto"/>
            </w:tcBorders>
            <w:vAlign w:val="center"/>
          </w:tcPr>
          <w:p w14:paraId="0B9D056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1E6029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FFEF69D"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985930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BF7D3A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D801FD6"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4,240,000.00</w:t>
            </w:r>
          </w:p>
        </w:tc>
        <w:tc>
          <w:tcPr>
            <w:tcW w:w="1928" w:type="dxa"/>
            <w:tcBorders>
              <w:top w:val="single" w:sz="2" w:space="0" w:color="auto"/>
              <w:left w:val="single" w:sz="2" w:space="0" w:color="auto"/>
              <w:bottom w:val="single" w:sz="2" w:space="0" w:color="auto"/>
              <w:right w:val="single" w:sz="2" w:space="0" w:color="auto"/>
            </w:tcBorders>
            <w:vAlign w:val="center"/>
          </w:tcPr>
          <w:p w14:paraId="175230F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25</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72DD7A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4B75D5D"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5881AA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4653527"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9B4DDF3"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5,760,000.00</w:t>
            </w:r>
          </w:p>
        </w:tc>
        <w:tc>
          <w:tcPr>
            <w:tcW w:w="1928" w:type="dxa"/>
            <w:tcBorders>
              <w:top w:val="single" w:sz="2" w:space="0" w:color="auto"/>
              <w:left w:val="single" w:sz="2" w:space="0" w:color="auto"/>
              <w:bottom w:val="single" w:sz="2" w:space="0" w:color="auto"/>
              <w:right w:val="single" w:sz="2" w:space="0" w:color="auto"/>
            </w:tcBorders>
            <w:vAlign w:val="center"/>
          </w:tcPr>
          <w:p w14:paraId="0AB3A9B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983982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87181AA"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036CF6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172F527"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233781D"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55,100,000.00</w:t>
            </w:r>
          </w:p>
        </w:tc>
        <w:tc>
          <w:tcPr>
            <w:tcW w:w="1928" w:type="dxa"/>
            <w:tcBorders>
              <w:top w:val="single" w:sz="2" w:space="0" w:color="auto"/>
              <w:left w:val="single" w:sz="2" w:space="0" w:color="auto"/>
              <w:bottom w:val="single" w:sz="2" w:space="0" w:color="auto"/>
              <w:right w:val="single" w:sz="2" w:space="0" w:color="auto"/>
            </w:tcBorders>
            <w:vAlign w:val="center"/>
          </w:tcPr>
          <w:p w14:paraId="7B93CB0C"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FE180E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91A4787"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9AB635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1BF4F3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34F2F5F"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9,000,000.00</w:t>
            </w:r>
          </w:p>
        </w:tc>
        <w:tc>
          <w:tcPr>
            <w:tcW w:w="1928" w:type="dxa"/>
            <w:tcBorders>
              <w:top w:val="single" w:sz="2" w:space="0" w:color="auto"/>
              <w:left w:val="single" w:sz="2" w:space="0" w:color="auto"/>
              <w:bottom w:val="single" w:sz="2" w:space="0" w:color="auto"/>
              <w:right w:val="single" w:sz="2" w:space="0" w:color="auto"/>
            </w:tcBorders>
            <w:vAlign w:val="center"/>
          </w:tcPr>
          <w:p w14:paraId="3FD93E6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C3BEF0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24DB1D0"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4BCAA1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F0EADF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133A5E7"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9,000,000.00</w:t>
            </w:r>
          </w:p>
        </w:tc>
        <w:tc>
          <w:tcPr>
            <w:tcW w:w="1928" w:type="dxa"/>
            <w:tcBorders>
              <w:top w:val="single" w:sz="2" w:space="0" w:color="auto"/>
              <w:left w:val="single" w:sz="2" w:space="0" w:color="auto"/>
              <w:bottom w:val="single" w:sz="2" w:space="0" w:color="auto"/>
              <w:right w:val="single" w:sz="2" w:space="0" w:color="auto"/>
            </w:tcBorders>
            <w:vAlign w:val="center"/>
          </w:tcPr>
          <w:p w14:paraId="1570875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904776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B64CA95"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E588D5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14D721A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C320A70"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46C7223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0783BF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FA093F1"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5DB8A6A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634431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DFD9694"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4,220,000.00</w:t>
            </w:r>
          </w:p>
        </w:tc>
        <w:tc>
          <w:tcPr>
            <w:tcW w:w="1928" w:type="dxa"/>
            <w:tcBorders>
              <w:top w:val="single" w:sz="2" w:space="0" w:color="auto"/>
              <w:left w:val="single" w:sz="2" w:space="0" w:color="auto"/>
              <w:bottom w:val="single" w:sz="2" w:space="0" w:color="auto"/>
              <w:right w:val="single" w:sz="2" w:space="0" w:color="auto"/>
            </w:tcBorders>
            <w:vAlign w:val="center"/>
          </w:tcPr>
          <w:p w14:paraId="5486767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57BB71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62C54A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AE1AB3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FDECEB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1ACAE66"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35,000,000.00</w:t>
            </w:r>
          </w:p>
        </w:tc>
        <w:tc>
          <w:tcPr>
            <w:tcW w:w="1928" w:type="dxa"/>
            <w:tcBorders>
              <w:top w:val="single" w:sz="2" w:space="0" w:color="auto"/>
              <w:left w:val="single" w:sz="2" w:space="0" w:color="auto"/>
              <w:bottom w:val="single" w:sz="2" w:space="0" w:color="auto"/>
              <w:right w:val="single" w:sz="2" w:space="0" w:color="auto"/>
            </w:tcBorders>
            <w:vAlign w:val="center"/>
          </w:tcPr>
          <w:p w14:paraId="08AB653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25585B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5F81F9E"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359FE87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E724D5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20F2109"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5,070,000.00</w:t>
            </w:r>
          </w:p>
        </w:tc>
        <w:tc>
          <w:tcPr>
            <w:tcW w:w="1928" w:type="dxa"/>
            <w:tcBorders>
              <w:top w:val="single" w:sz="2" w:space="0" w:color="auto"/>
              <w:left w:val="single" w:sz="2" w:space="0" w:color="auto"/>
              <w:bottom w:val="single" w:sz="2" w:space="0" w:color="auto"/>
              <w:right w:val="single" w:sz="2" w:space="0" w:color="auto"/>
            </w:tcBorders>
            <w:vAlign w:val="center"/>
          </w:tcPr>
          <w:p w14:paraId="097322E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10F8A9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C45321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B04DEAC"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2A5C89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烟台银丰农牧科技有限公司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D0E0F65"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29,990,000.00</w:t>
            </w:r>
          </w:p>
        </w:tc>
        <w:tc>
          <w:tcPr>
            <w:tcW w:w="1928" w:type="dxa"/>
            <w:tcBorders>
              <w:top w:val="single" w:sz="2" w:space="0" w:color="auto"/>
              <w:left w:val="single" w:sz="2" w:space="0" w:color="auto"/>
              <w:bottom w:val="single" w:sz="2" w:space="0" w:color="auto"/>
              <w:right w:val="single" w:sz="2" w:space="0" w:color="auto"/>
            </w:tcBorders>
            <w:vAlign w:val="center"/>
          </w:tcPr>
          <w:p w14:paraId="5F715FC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28</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B74E13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DF1A99D"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53EFF3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4DF696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9DAF35F"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14:paraId="5FB77FB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DAC7C2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D23E617"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1EAA066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CD1820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C75FDFD"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82,800,000.00</w:t>
            </w:r>
          </w:p>
        </w:tc>
        <w:tc>
          <w:tcPr>
            <w:tcW w:w="1928" w:type="dxa"/>
            <w:tcBorders>
              <w:top w:val="single" w:sz="2" w:space="0" w:color="auto"/>
              <w:left w:val="single" w:sz="2" w:space="0" w:color="auto"/>
              <w:bottom w:val="single" w:sz="2" w:space="0" w:color="auto"/>
              <w:right w:val="single" w:sz="2" w:space="0" w:color="auto"/>
            </w:tcBorders>
            <w:vAlign w:val="center"/>
          </w:tcPr>
          <w:p w14:paraId="659DBCA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F5A780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CBAA071"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1C6E064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BC4D19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8AA94AE"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60,000,000.00</w:t>
            </w:r>
          </w:p>
        </w:tc>
        <w:tc>
          <w:tcPr>
            <w:tcW w:w="1928" w:type="dxa"/>
            <w:tcBorders>
              <w:top w:val="single" w:sz="2" w:space="0" w:color="auto"/>
              <w:left w:val="single" w:sz="2" w:space="0" w:color="auto"/>
              <w:bottom w:val="single" w:sz="2" w:space="0" w:color="auto"/>
              <w:right w:val="single" w:sz="2" w:space="0" w:color="auto"/>
            </w:tcBorders>
            <w:vAlign w:val="center"/>
          </w:tcPr>
          <w:p w14:paraId="5316C1D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B16F46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AABD097"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523AD468"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3F387F7"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聊城龙大肉食品有限公司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0B3F514"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40,000,000.00</w:t>
            </w:r>
          </w:p>
        </w:tc>
        <w:tc>
          <w:tcPr>
            <w:tcW w:w="1928" w:type="dxa"/>
            <w:tcBorders>
              <w:top w:val="single" w:sz="2" w:space="0" w:color="auto"/>
              <w:left w:val="single" w:sz="2" w:space="0" w:color="auto"/>
              <w:bottom w:val="single" w:sz="2" w:space="0" w:color="auto"/>
              <w:right w:val="single" w:sz="2" w:space="0" w:color="auto"/>
            </w:tcBorders>
            <w:vAlign w:val="center"/>
          </w:tcPr>
          <w:p w14:paraId="42CE051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4A7055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684082F"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BBC3A8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5F371B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75F8FAA"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9,930,000.00</w:t>
            </w:r>
          </w:p>
        </w:tc>
        <w:tc>
          <w:tcPr>
            <w:tcW w:w="1928" w:type="dxa"/>
            <w:tcBorders>
              <w:top w:val="single" w:sz="2" w:space="0" w:color="auto"/>
              <w:left w:val="single" w:sz="2" w:space="0" w:color="auto"/>
              <w:bottom w:val="single" w:sz="2" w:space="0" w:color="auto"/>
              <w:right w:val="single" w:sz="2" w:space="0" w:color="auto"/>
            </w:tcBorders>
            <w:vAlign w:val="center"/>
          </w:tcPr>
          <w:p w14:paraId="0817607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3DBE0A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545A44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563C859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F1EBEE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98ED75F"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57E9328C"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845194D"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DE85CC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F42AF8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ADE451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C0CEBD3"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46BFFCA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E4C8E6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9FECE71"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7E5FB2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C5485C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19D759F"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10B6032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1A366A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4A4F8B4"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094506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CE0DC9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97B4308"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28C749E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06AB4A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8A22C90"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53B371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4DC63D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5EEA241"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6ED37EF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2B9A98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7A9B96B"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84DE14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BBDDC9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DC4D909"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3,000,000.00</w:t>
            </w:r>
          </w:p>
        </w:tc>
        <w:tc>
          <w:tcPr>
            <w:tcW w:w="1928" w:type="dxa"/>
            <w:tcBorders>
              <w:top w:val="single" w:sz="2" w:space="0" w:color="auto"/>
              <w:left w:val="single" w:sz="2" w:space="0" w:color="auto"/>
              <w:bottom w:val="single" w:sz="2" w:space="0" w:color="auto"/>
              <w:right w:val="single" w:sz="2" w:space="0" w:color="auto"/>
            </w:tcBorders>
            <w:vAlign w:val="center"/>
          </w:tcPr>
          <w:p w14:paraId="43C7070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566ADA7"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F20CC64"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DED931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EC96A6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0035E4F"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9,500,000.00</w:t>
            </w:r>
          </w:p>
        </w:tc>
        <w:tc>
          <w:tcPr>
            <w:tcW w:w="1928" w:type="dxa"/>
            <w:tcBorders>
              <w:top w:val="single" w:sz="2" w:space="0" w:color="auto"/>
              <w:left w:val="single" w:sz="2" w:space="0" w:color="auto"/>
              <w:bottom w:val="single" w:sz="2" w:space="0" w:color="auto"/>
              <w:right w:val="single" w:sz="2" w:space="0" w:color="auto"/>
            </w:tcBorders>
            <w:vAlign w:val="center"/>
          </w:tcPr>
          <w:p w14:paraId="4C45F0B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22F70AC"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05</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1023D11"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1FADC7F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0E2F972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2C6211C"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6,000,000.00</w:t>
            </w:r>
          </w:p>
        </w:tc>
        <w:tc>
          <w:tcPr>
            <w:tcW w:w="1928" w:type="dxa"/>
            <w:tcBorders>
              <w:top w:val="single" w:sz="2" w:space="0" w:color="auto"/>
              <w:left w:val="single" w:sz="2" w:space="0" w:color="auto"/>
              <w:bottom w:val="single" w:sz="2" w:space="0" w:color="auto"/>
              <w:right w:val="single" w:sz="2" w:space="0" w:color="auto"/>
            </w:tcBorders>
            <w:vAlign w:val="center"/>
          </w:tcPr>
          <w:p w14:paraId="15F111A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C3E1AE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59A68A8"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E475DC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8DD9E9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9198F06"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0490AB4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08</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D0885C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B023211"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798712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2E6D1C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C0A7146"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27A843D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D3ED4BC"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E741D64"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B66569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E39A75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4D52A56"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8,600,000.00</w:t>
            </w:r>
          </w:p>
        </w:tc>
        <w:tc>
          <w:tcPr>
            <w:tcW w:w="1928" w:type="dxa"/>
            <w:tcBorders>
              <w:top w:val="single" w:sz="2" w:space="0" w:color="auto"/>
              <w:left w:val="single" w:sz="2" w:space="0" w:color="auto"/>
              <w:bottom w:val="single" w:sz="2" w:space="0" w:color="auto"/>
              <w:right w:val="single" w:sz="2" w:space="0" w:color="auto"/>
            </w:tcBorders>
            <w:vAlign w:val="center"/>
          </w:tcPr>
          <w:p w14:paraId="30C629D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D40F09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F5B44AB"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BE95342"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014020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A9E51B5"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1,400,000.00</w:t>
            </w:r>
          </w:p>
        </w:tc>
        <w:tc>
          <w:tcPr>
            <w:tcW w:w="1928" w:type="dxa"/>
            <w:tcBorders>
              <w:top w:val="single" w:sz="2" w:space="0" w:color="auto"/>
              <w:left w:val="single" w:sz="2" w:space="0" w:color="auto"/>
              <w:bottom w:val="single" w:sz="2" w:space="0" w:color="auto"/>
              <w:right w:val="single" w:sz="2" w:space="0" w:color="auto"/>
            </w:tcBorders>
            <w:vAlign w:val="center"/>
          </w:tcPr>
          <w:p w14:paraId="16B1691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F1882A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A57F89C"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9850895"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12BFBF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F6E2FA3"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3,470,000.00</w:t>
            </w:r>
          </w:p>
        </w:tc>
        <w:tc>
          <w:tcPr>
            <w:tcW w:w="1928" w:type="dxa"/>
            <w:tcBorders>
              <w:top w:val="single" w:sz="2" w:space="0" w:color="auto"/>
              <w:left w:val="single" w:sz="2" w:space="0" w:color="auto"/>
              <w:bottom w:val="single" w:sz="2" w:space="0" w:color="auto"/>
              <w:right w:val="single" w:sz="2" w:space="0" w:color="auto"/>
            </w:tcBorders>
            <w:vAlign w:val="center"/>
          </w:tcPr>
          <w:p w14:paraId="5126523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18</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62BCA5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17</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8FE295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6543BF97"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FA7206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9922ACA"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6,530,000.00</w:t>
            </w:r>
          </w:p>
        </w:tc>
        <w:tc>
          <w:tcPr>
            <w:tcW w:w="1928" w:type="dxa"/>
            <w:tcBorders>
              <w:top w:val="single" w:sz="2" w:space="0" w:color="auto"/>
              <w:left w:val="single" w:sz="2" w:space="0" w:color="auto"/>
              <w:bottom w:val="single" w:sz="2" w:space="0" w:color="auto"/>
              <w:right w:val="single" w:sz="2" w:space="0" w:color="auto"/>
            </w:tcBorders>
            <w:vAlign w:val="center"/>
          </w:tcPr>
          <w:p w14:paraId="3780636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371F5A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5E8F675"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5DED1F7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31A02E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7EF6710"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46519B5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3C234B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C6D734E"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6307FA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CDE32C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34E44B3"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0CAE433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1454A98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EF8B47B"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3574DC0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D9D8FD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60A32BA7"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5,780,000.00</w:t>
            </w:r>
          </w:p>
        </w:tc>
        <w:tc>
          <w:tcPr>
            <w:tcW w:w="1928" w:type="dxa"/>
            <w:tcBorders>
              <w:top w:val="single" w:sz="2" w:space="0" w:color="auto"/>
              <w:left w:val="single" w:sz="2" w:space="0" w:color="auto"/>
              <w:bottom w:val="single" w:sz="2" w:space="0" w:color="auto"/>
              <w:right w:val="single" w:sz="2" w:space="0" w:color="auto"/>
            </w:tcBorders>
            <w:vAlign w:val="center"/>
          </w:tcPr>
          <w:p w14:paraId="6ECE80A1"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3298DF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C37D860"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2B6EE63"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F2AD555"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9470C54"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50,000,000.00</w:t>
            </w:r>
          </w:p>
        </w:tc>
        <w:tc>
          <w:tcPr>
            <w:tcW w:w="1928" w:type="dxa"/>
            <w:tcBorders>
              <w:top w:val="single" w:sz="2" w:space="0" w:color="auto"/>
              <w:left w:val="single" w:sz="2" w:space="0" w:color="auto"/>
              <w:bottom w:val="single" w:sz="2" w:space="0" w:color="auto"/>
              <w:right w:val="single" w:sz="2" w:space="0" w:color="auto"/>
            </w:tcBorders>
            <w:vAlign w:val="center"/>
          </w:tcPr>
          <w:p w14:paraId="05B09BF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635BA44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24</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4DB9F9F4"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B38519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EE4499E"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46E923C4"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790DE94C"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5BBF34F"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19</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671EA5A"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0E62F56"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A9DFD78"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2A11BD9C"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928" w:type="dxa"/>
            <w:tcBorders>
              <w:top w:val="single" w:sz="2" w:space="0" w:color="auto"/>
              <w:left w:val="single" w:sz="2" w:space="0" w:color="auto"/>
              <w:bottom w:val="single" w:sz="2" w:space="0" w:color="auto"/>
              <w:right w:val="single" w:sz="2" w:space="0" w:color="auto"/>
            </w:tcBorders>
            <w:vAlign w:val="center"/>
          </w:tcPr>
          <w:p w14:paraId="05A3DB6C"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A25783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07</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A82398B"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C75B074"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59B2C5AA"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3A55F947"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4,500,000.00</w:t>
            </w:r>
          </w:p>
        </w:tc>
        <w:tc>
          <w:tcPr>
            <w:tcW w:w="1928" w:type="dxa"/>
            <w:tcBorders>
              <w:top w:val="single" w:sz="2" w:space="0" w:color="auto"/>
              <w:left w:val="single" w:sz="2" w:space="0" w:color="auto"/>
              <w:bottom w:val="single" w:sz="2" w:space="0" w:color="auto"/>
              <w:right w:val="single" w:sz="2" w:space="0" w:color="auto"/>
            </w:tcBorders>
            <w:vAlign w:val="center"/>
          </w:tcPr>
          <w:p w14:paraId="0F48EF9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C1B27D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09</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8D3B28D"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2F0F3E49"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39FF14D4"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09CED5D2"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52,500,000.00</w:t>
            </w:r>
          </w:p>
        </w:tc>
        <w:tc>
          <w:tcPr>
            <w:tcW w:w="1928" w:type="dxa"/>
            <w:tcBorders>
              <w:top w:val="single" w:sz="2" w:space="0" w:color="auto"/>
              <w:left w:val="single" w:sz="2" w:space="0" w:color="auto"/>
              <w:bottom w:val="single" w:sz="2" w:space="0" w:color="auto"/>
              <w:right w:val="single" w:sz="2" w:space="0" w:color="auto"/>
            </w:tcBorders>
            <w:vAlign w:val="center"/>
          </w:tcPr>
          <w:p w14:paraId="5EED93BB"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02</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5B4960D9"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2026</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29153E99"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4F8B52A1"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6D55407"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烟台龙大养殖有限公司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10584C1"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42,000,000.00</w:t>
            </w:r>
          </w:p>
        </w:tc>
        <w:tc>
          <w:tcPr>
            <w:tcW w:w="1928" w:type="dxa"/>
            <w:tcBorders>
              <w:top w:val="single" w:sz="2" w:space="0" w:color="auto"/>
              <w:left w:val="single" w:sz="2" w:space="0" w:color="auto"/>
              <w:bottom w:val="single" w:sz="2" w:space="0" w:color="auto"/>
              <w:right w:val="single" w:sz="2" w:space="0" w:color="auto"/>
            </w:tcBorders>
            <w:vAlign w:val="center"/>
          </w:tcPr>
          <w:p w14:paraId="7BC2D5D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2021</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04</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06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7C91E746"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2026</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03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26</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46270BA"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7CFE748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EEDDA22"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山东龙大美食股份有限公司</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蓝润发展控股集团有限公司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75D6168D" w14:textId="77777777" w:rsidR="00E32FE0" w:rsidRPr="005B5EC1" w:rsidRDefault="00000000" w:rsidP="00D05A56">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350,000,000.00</w:t>
            </w:r>
          </w:p>
        </w:tc>
        <w:tc>
          <w:tcPr>
            <w:tcW w:w="1928" w:type="dxa"/>
            <w:tcBorders>
              <w:top w:val="single" w:sz="2" w:space="0" w:color="auto"/>
              <w:left w:val="single" w:sz="2" w:space="0" w:color="auto"/>
              <w:bottom w:val="single" w:sz="2" w:space="0" w:color="auto"/>
              <w:right w:val="single" w:sz="2" w:space="0" w:color="auto"/>
            </w:tcBorders>
            <w:vAlign w:val="center"/>
          </w:tcPr>
          <w:p w14:paraId="312C1503"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032EDC40" w14:textId="77777777" w:rsidR="00E32FE0" w:rsidRPr="005B5EC1" w:rsidRDefault="00000000" w:rsidP="00D05A56">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2025</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10</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21</w:t>
            </w:r>
            <w:r w:rsidRPr="005B5EC1">
              <w:rPr>
                <w:rFonts w:ascii="Times New Roman" w:eastAsia="宋体" w:hAnsi="Times New Roman" w:cs="Times New Roman"/>
                <w:sz w:val="18"/>
                <w:szCs w:val="18"/>
              </w:rPr>
              <w:t>日</w:t>
            </w:r>
          </w:p>
        </w:tc>
        <w:tc>
          <w:tcPr>
            <w:tcW w:w="1928" w:type="dxa"/>
            <w:tcBorders>
              <w:top w:val="single" w:sz="2" w:space="0" w:color="auto"/>
              <w:left w:val="single" w:sz="2" w:space="0" w:color="auto"/>
              <w:bottom w:val="single" w:sz="2" w:space="0" w:color="auto"/>
              <w:right w:val="single" w:sz="2" w:space="0" w:color="auto"/>
            </w:tcBorders>
            <w:vAlign w:val="center"/>
          </w:tcPr>
          <w:p w14:paraId="37C433A8" w14:textId="77777777" w:rsidR="00E32FE0" w:rsidRPr="005B5EC1" w:rsidRDefault="00000000" w:rsidP="00D05A56">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bl>
    <w:p w14:paraId="48C9F86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关联担保情况说明</w:t>
      </w:r>
    </w:p>
    <w:p w14:paraId="074B3D4C" w14:textId="77777777" w:rsidR="00AF139E" w:rsidRPr="005B5EC1" w:rsidRDefault="00000000">
      <w:pPr>
        <w:pStyle w:val="a3"/>
        <w:divId w:val="1226451246"/>
        <w:rPr>
          <w:rFonts w:ascii="Times New Roman" w:hAnsi="Times New Roman" w:cs="Times New Roman"/>
          <w:sz w:val="18"/>
          <w:szCs w:val="18"/>
        </w:rPr>
      </w:pPr>
      <w:r w:rsidRPr="005B5EC1">
        <w:rPr>
          <w:rFonts w:ascii="Times New Roman" w:hAnsi="Times New Roman" w:cs="Times New Roman"/>
          <w:sz w:val="18"/>
          <w:szCs w:val="18"/>
        </w:rPr>
        <w:lastRenderedPageBreak/>
        <w:t>无</w:t>
      </w:r>
    </w:p>
    <w:p w14:paraId="6C7B30B9"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79" w:name="_Toc98942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关联方资金拆借</w:t>
      </w:r>
      <w:bookmarkEnd w:id="479"/>
    </w:p>
    <w:p w14:paraId="53730706" w14:textId="77777777" w:rsidR="00A12739" w:rsidRPr="005B5EC1" w:rsidRDefault="00A12739" w:rsidP="00A12739">
      <w:pPr>
        <w:pStyle w:val="a3"/>
        <w:rPr>
          <w:rFonts w:ascii="Times New Roman" w:hAnsi="Times New Roman" w:cs="Times New Roman"/>
          <w:sz w:val="18"/>
          <w:szCs w:val="18"/>
        </w:rPr>
      </w:pPr>
      <w:bookmarkStart w:id="480" w:name="_Toc989427"/>
      <w:r w:rsidRPr="005B5EC1">
        <w:rPr>
          <w:rFonts w:ascii="Times New Roman" w:hAnsi="Times New Roman" w:cs="Times New Roman"/>
          <w:sz w:val="18"/>
          <w:szCs w:val="18"/>
        </w:rPr>
        <w:t>无</w:t>
      </w:r>
    </w:p>
    <w:p w14:paraId="78E3BEB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6</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关联方资产转让、债务重组情况</w:t>
      </w:r>
      <w:bookmarkEnd w:id="480"/>
    </w:p>
    <w:p w14:paraId="7EE14266" w14:textId="77777777" w:rsidR="00A12739" w:rsidRPr="005B5EC1" w:rsidRDefault="00A12739" w:rsidP="00A12739">
      <w:pPr>
        <w:pStyle w:val="a3"/>
        <w:rPr>
          <w:rFonts w:ascii="Times New Roman" w:hAnsi="Times New Roman" w:cs="Times New Roman"/>
          <w:sz w:val="18"/>
          <w:szCs w:val="18"/>
        </w:rPr>
      </w:pPr>
      <w:bookmarkStart w:id="481" w:name="_Toc989428"/>
      <w:r w:rsidRPr="005B5EC1">
        <w:rPr>
          <w:rFonts w:ascii="Times New Roman" w:hAnsi="Times New Roman" w:cs="Times New Roman"/>
          <w:sz w:val="18"/>
          <w:szCs w:val="18"/>
        </w:rPr>
        <w:t>无</w:t>
      </w:r>
    </w:p>
    <w:p w14:paraId="0804226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7</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关键管理人员报酬</w:t>
      </w:r>
      <w:bookmarkEnd w:id="481"/>
    </w:p>
    <w:p w14:paraId="21A7F8DF"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D05A56" w14:paraId="4D38107C"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40352BC" w14:textId="77777777" w:rsidR="00E32FE0" w:rsidRPr="00D05A56" w:rsidRDefault="00000000">
            <w:pPr>
              <w:spacing w:before="40" w:after="40" w:line="240" w:lineRule="exact"/>
              <w:jc w:val="center"/>
              <w:rPr>
                <w:rFonts w:ascii="Times New Roman" w:eastAsia="宋体" w:hAnsi="Times New Roman" w:cs="Times New Roman"/>
                <w:sz w:val="18"/>
                <w:szCs w:val="18"/>
              </w:rPr>
            </w:pPr>
            <w:r w:rsidRPr="00D05A56">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89DA53" w14:textId="77777777" w:rsidR="00E32FE0" w:rsidRPr="00D05A56" w:rsidRDefault="00000000">
            <w:pPr>
              <w:spacing w:before="40" w:after="40" w:line="240" w:lineRule="exact"/>
              <w:jc w:val="center"/>
              <w:rPr>
                <w:rFonts w:ascii="Times New Roman" w:eastAsia="宋体" w:hAnsi="Times New Roman" w:cs="Times New Roman"/>
                <w:sz w:val="18"/>
                <w:szCs w:val="18"/>
              </w:rPr>
            </w:pPr>
            <w:r w:rsidRPr="00D05A56">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898ECD" w14:textId="77777777" w:rsidR="00E32FE0" w:rsidRPr="00D05A56" w:rsidRDefault="00000000">
            <w:pPr>
              <w:spacing w:before="40" w:after="40" w:line="240" w:lineRule="exact"/>
              <w:jc w:val="center"/>
              <w:rPr>
                <w:rFonts w:ascii="Times New Roman" w:eastAsia="宋体" w:hAnsi="Times New Roman" w:cs="Times New Roman"/>
                <w:sz w:val="18"/>
                <w:szCs w:val="18"/>
              </w:rPr>
            </w:pPr>
            <w:r w:rsidRPr="00D05A56">
              <w:rPr>
                <w:rFonts w:ascii="Times New Roman" w:eastAsia="宋体" w:hAnsi="Times New Roman" w:cs="Times New Roman"/>
                <w:sz w:val="18"/>
                <w:szCs w:val="18"/>
              </w:rPr>
              <w:t>上期发生额</w:t>
            </w:r>
          </w:p>
        </w:tc>
      </w:tr>
      <w:tr w:rsidR="00E32FE0" w:rsidRPr="00D05A56" w14:paraId="399CC08B"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ADD3FDB" w14:textId="77777777" w:rsidR="00E32FE0" w:rsidRPr="00D05A56" w:rsidRDefault="00000000">
            <w:pPr>
              <w:spacing w:after="0" w:line="240" w:lineRule="exact"/>
              <w:rPr>
                <w:rFonts w:ascii="Times New Roman" w:eastAsia="宋体" w:hAnsi="Times New Roman" w:cs="Times New Roman"/>
                <w:sz w:val="18"/>
                <w:szCs w:val="18"/>
              </w:rPr>
            </w:pPr>
            <w:r w:rsidRPr="00D05A56">
              <w:rPr>
                <w:rFonts w:ascii="Times New Roman" w:eastAsia="宋体" w:hAnsi="Times New Roman" w:cs="Times New Roman"/>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4E7BA75" w14:textId="77777777" w:rsidR="00E32FE0" w:rsidRPr="00D05A56" w:rsidRDefault="00000000">
            <w:pPr>
              <w:spacing w:after="0" w:line="240" w:lineRule="exact"/>
              <w:jc w:val="right"/>
              <w:rPr>
                <w:rFonts w:ascii="Times New Roman" w:eastAsia="宋体" w:hAnsi="Times New Roman" w:cs="Times New Roman"/>
                <w:sz w:val="18"/>
                <w:szCs w:val="18"/>
              </w:rPr>
            </w:pPr>
            <w:r w:rsidRPr="00D05A56">
              <w:rPr>
                <w:rFonts w:ascii="Times New Roman" w:eastAsia="宋体" w:hAnsi="Times New Roman" w:cs="Times New Roman"/>
                <w:sz w:val="18"/>
                <w:szCs w:val="18"/>
              </w:rPr>
              <w:t>2,083,506.03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8E8E4C3" w14:textId="77777777" w:rsidR="00E32FE0" w:rsidRPr="00D05A56" w:rsidRDefault="00000000">
            <w:pPr>
              <w:spacing w:after="0" w:line="240" w:lineRule="exact"/>
              <w:jc w:val="right"/>
              <w:rPr>
                <w:rFonts w:ascii="Times New Roman" w:eastAsia="宋体" w:hAnsi="Times New Roman" w:cs="Times New Roman"/>
                <w:sz w:val="18"/>
                <w:szCs w:val="18"/>
              </w:rPr>
            </w:pPr>
            <w:r w:rsidRPr="00D05A56">
              <w:rPr>
                <w:rFonts w:ascii="Times New Roman" w:eastAsia="宋体" w:hAnsi="Times New Roman" w:cs="Times New Roman"/>
                <w:sz w:val="18"/>
                <w:szCs w:val="18"/>
              </w:rPr>
              <w:t>2,309,810.36</w:t>
            </w:r>
          </w:p>
        </w:tc>
      </w:tr>
    </w:tbl>
    <w:p w14:paraId="4D9354B6"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82" w:name="_Toc989429"/>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8</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其他关联交易</w:t>
      </w:r>
      <w:bookmarkEnd w:id="482"/>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6"/>
        <w:gridCol w:w="1763"/>
        <w:gridCol w:w="2397"/>
        <w:gridCol w:w="2466"/>
      </w:tblGrid>
      <w:tr w:rsidR="00AF139E" w:rsidRPr="00D05A56" w14:paraId="0FB6E09F" w14:textId="77777777" w:rsidTr="00D05A56">
        <w:trPr>
          <w:divId w:val="777335231"/>
          <w:trHeight w:val="345"/>
        </w:trPr>
        <w:tc>
          <w:tcPr>
            <w:tcW w:w="3006" w:type="dxa"/>
            <w:tcMar>
              <w:top w:w="0" w:type="dxa"/>
              <w:left w:w="0" w:type="dxa"/>
              <w:bottom w:w="0" w:type="dxa"/>
              <w:right w:w="0" w:type="dxa"/>
            </w:tcMar>
            <w:hideMark/>
          </w:tcPr>
          <w:p w14:paraId="28259725" w14:textId="77777777" w:rsidR="00AF139E" w:rsidRPr="00D05A56" w:rsidRDefault="00000000">
            <w:pPr>
              <w:pStyle w:val="a3"/>
              <w:spacing w:before="79" w:beforeAutospacing="0" w:after="0" w:afterAutospacing="0"/>
              <w:ind w:left="1246"/>
              <w:textAlignment w:val="baseline"/>
              <w:rPr>
                <w:rFonts w:ascii="Times New Roman" w:hAnsi="Times New Roman" w:cs="Times New Roman"/>
                <w:color w:val="000000"/>
                <w:sz w:val="18"/>
                <w:szCs w:val="18"/>
              </w:rPr>
            </w:pPr>
            <w:r w:rsidRPr="00D05A56">
              <w:rPr>
                <w:rFonts w:ascii="Times New Roman" w:hAnsi="Times New Roman" w:cs="Times New Roman"/>
                <w:color w:val="000000"/>
                <w:spacing w:val="-3"/>
                <w:sz w:val="18"/>
                <w:szCs w:val="18"/>
              </w:rPr>
              <w:t>关联方</w:t>
            </w:r>
          </w:p>
        </w:tc>
        <w:tc>
          <w:tcPr>
            <w:tcW w:w="1763" w:type="dxa"/>
            <w:tcMar>
              <w:top w:w="0" w:type="dxa"/>
              <w:left w:w="0" w:type="dxa"/>
              <w:bottom w:w="0" w:type="dxa"/>
              <w:right w:w="0" w:type="dxa"/>
            </w:tcMar>
            <w:hideMark/>
          </w:tcPr>
          <w:p w14:paraId="452435CA" w14:textId="77777777" w:rsidR="00AF139E" w:rsidRPr="00D05A56" w:rsidRDefault="00000000">
            <w:pPr>
              <w:pStyle w:val="a3"/>
              <w:spacing w:before="79" w:beforeAutospacing="0" w:after="0" w:afterAutospacing="0"/>
              <w:ind w:left="353"/>
              <w:textAlignment w:val="baseline"/>
              <w:rPr>
                <w:rFonts w:ascii="Times New Roman" w:hAnsi="Times New Roman" w:cs="Times New Roman"/>
                <w:color w:val="000000"/>
                <w:sz w:val="18"/>
                <w:szCs w:val="18"/>
              </w:rPr>
            </w:pPr>
            <w:r w:rsidRPr="00D05A56">
              <w:rPr>
                <w:rFonts w:ascii="Times New Roman" w:hAnsi="Times New Roman" w:cs="Times New Roman"/>
                <w:color w:val="000000"/>
                <w:spacing w:val="-2"/>
                <w:sz w:val="18"/>
                <w:szCs w:val="18"/>
              </w:rPr>
              <w:t>关联交易内容</w:t>
            </w:r>
          </w:p>
        </w:tc>
        <w:tc>
          <w:tcPr>
            <w:tcW w:w="2397" w:type="dxa"/>
            <w:tcMar>
              <w:top w:w="0" w:type="dxa"/>
              <w:left w:w="0" w:type="dxa"/>
              <w:bottom w:w="0" w:type="dxa"/>
              <w:right w:w="0" w:type="dxa"/>
            </w:tcMar>
            <w:hideMark/>
          </w:tcPr>
          <w:p w14:paraId="19306DF0" w14:textId="77777777" w:rsidR="00AF139E" w:rsidRPr="00D05A56" w:rsidRDefault="00000000">
            <w:pPr>
              <w:pStyle w:val="a3"/>
              <w:spacing w:before="79" w:beforeAutospacing="0" w:after="0" w:afterAutospacing="0"/>
              <w:ind w:left="752"/>
              <w:textAlignment w:val="baseline"/>
              <w:rPr>
                <w:rFonts w:ascii="Times New Roman" w:hAnsi="Times New Roman" w:cs="Times New Roman"/>
                <w:color w:val="000000"/>
                <w:sz w:val="18"/>
                <w:szCs w:val="18"/>
              </w:rPr>
            </w:pPr>
            <w:r w:rsidRPr="00D05A56">
              <w:rPr>
                <w:rFonts w:ascii="Times New Roman" w:hAnsi="Times New Roman" w:cs="Times New Roman"/>
                <w:color w:val="000000"/>
                <w:spacing w:val="-1"/>
                <w:sz w:val="18"/>
                <w:szCs w:val="18"/>
              </w:rPr>
              <w:t>本年发生额</w:t>
            </w:r>
          </w:p>
        </w:tc>
        <w:tc>
          <w:tcPr>
            <w:tcW w:w="2466" w:type="dxa"/>
            <w:tcMar>
              <w:top w:w="0" w:type="dxa"/>
              <w:left w:w="0" w:type="dxa"/>
              <w:bottom w:w="0" w:type="dxa"/>
              <w:right w:w="0" w:type="dxa"/>
            </w:tcMar>
            <w:hideMark/>
          </w:tcPr>
          <w:p w14:paraId="71F644B6" w14:textId="77777777" w:rsidR="00AF139E" w:rsidRPr="00D05A56" w:rsidRDefault="00000000">
            <w:pPr>
              <w:pStyle w:val="a3"/>
              <w:spacing w:before="79" w:beforeAutospacing="0" w:after="0" w:afterAutospacing="0"/>
              <w:ind w:left="793"/>
              <w:textAlignment w:val="baseline"/>
              <w:rPr>
                <w:rFonts w:ascii="Times New Roman" w:hAnsi="Times New Roman" w:cs="Times New Roman"/>
                <w:color w:val="000000"/>
                <w:sz w:val="18"/>
                <w:szCs w:val="18"/>
              </w:rPr>
            </w:pPr>
            <w:r w:rsidRPr="00D05A56">
              <w:rPr>
                <w:rFonts w:ascii="Times New Roman" w:hAnsi="Times New Roman" w:cs="Times New Roman"/>
                <w:color w:val="000000"/>
                <w:spacing w:val="-2"/>
                <w:sz w:val="18"/>
                <w:szCs w:val="18"/>
              </w:rPr>
              <w:t>上年发生额</w:t>
            </w:r>
          </w:p>
        </w:tc>
      </w:tr>
      <w:tr w:rsidR="00AF139E" w:rsidRPr="00D05A56" w14:paraId="1ADB19CB" w14:textId="77777777" w:rsidTr="00D05A56">
        <w:trPr>
          <w:divId w:val="777335231"/>
          <w:trHeight w:val="348"/>
        </w:trPr>
        <w:tc>
          <w:tcPr>
            <w:tcW w:w="3006" w:type="dxa"/>
            <w:tcMar>
              <w:top w:w="0" w:type="dxa"/>
              <w:left w:w="0" w:type="dxa"/>
              <w:bottom w:w="0" w:type="dxa"/>
              <w:right w:w="0" w:type="dxa"/>
            </w:tcMar>
            <w:hideMark/>
          </w:tcPr>
          <w:p w14:paraId="75D3F9D1" w14:textId="77777777" w:rsidR="00AF139E" w:rsidRPr="00D05A56" w:rsidRDefault="00000000">
            <w:pPr>
              <w:pStyle w:val="a3"/>
              <w:spacing w:before="80" w:beforeAutospacing="0" w:after="0" w:afterAutospacing="0"/>
              <w:ind w:left="117"/>
              <w:textAlignment w:val="baseline"/>
              <w:rPr>
                <w:rFonts w:ascii="Times New Roman" w:hAnsi="Times New Roman" w:cs="Times New Roman"/>
                <w:color w:val="000000"/>
                <w:sz w:val="18"/>
                <w:szCs w:val="18"/>
              </w:rPr>
            </w:pPr>
            <w:r w:rsidRPr="00D05A56">
              <w:rPr>
                <w:rFonts w:ascii="Times New Roman" w:hAnsi="Times New Roman" w:cs="Times New Roman"/>
                <w:color w:val="000000"/>
                <w:spacing w:val="-1"/>
                <w:sz w:val="18"/>
                <w:szCs w:val="18"/>
              </w:rPr>
              <w:t>达州银行股份有限公司</w:t>
            </w:r>
          </w:p>
        </w:tc>
        <w:tc>
          <w:tcPr>
            <w:tcW w:w="1763" w:type="dxa"/>
            <w:tcMar>
              <w:top w:w="0" w:type="dxa"/>
              <w:left w:w="0" w:type="dxa"/>
              <w:bottom w:w="0" w:type="dxa"/>
              <w:right w:w="0" w:type="dxa"/>
            </w:tcMar>
            <w:hideMark/>
          </w:tcPr>
          <w:p w14:paraId="6023C0C2" w14:textId="77777777" w:rsidR="00AF139E" w:rsidRPr="00D05A56" w:rsidRDefault="00000000">
            <w:pPr>
              <w:pStyle w:val="a3"/>
              <w:spacing w:before="80" w:beforeAutospacing="0" w:after="0" w:afterAutospacing="0"/>
              <w:ind w:left="529"/>
              <w:textAlignment w:val="baseline"/>
              <w:rPr>
                <w:rFonts w:ascii="Times New Roman" w:hAnsi="Times New Roman" w:cs="Times New Roman"/>
                <w:color w:val="000000"/>
                <w:sz w:val="18"/>
                <w:szCs w:val="18"/>
              </w:rPr>
            </w:pPr>
            <w:r w:rsidRPr="00D05A56">
              <w:rPr>
                <w:rFonts w:ascii="Times New Roman" w:hAnsi="Times New Roman" w:cs="Times New Roman"/>
                <w:color w:val="000000"/>
                <w:spacing w:val="-2"/>
                <w:sz w:val="18"/>
                <w:szCs w:val="18"/>
              </w:rPr>
              <w:t>利息收入</w:t>
            </w:r>
          </w:p>
        </w:tc>
        <w:tc>
          <w:tcPr>
            <w:tcW w:w="2397" w:type="dxa"/>
            <w:tcMar>
              <w:top w:w="0" w:type="dxa"/>
              <w:left w:w="0" w:type="dxa"/>
              <w:bottom w:w="0" w:type="dxa"/>
              <w:right w:w="0" w:type="dxa"/>
            </w:tcMar>
            <w:hideMark/>
          </w:tcPr>
          <w:p w14:paraId="56A6B9CD" w14:textId="77777777" w:rsidR="00AF139E" w:rsidRPr="00D05A56" w:rsidRDefault="00000000">
            <w:pPr>
              <w:pStyle w:val="a3"/>
              <w:spacing w:before="109" w:beforeAutospacing="0" w:after="0" w:afterAutospacing="0"/>
              <w:ind w:left="1257"/>
              <w:textAlignment w:val="baseline"/>
              <w:rPr>
                <w:rFonts w:ascii="Times New Roman" w:hAnsi="Times New Roman" w:cs="Times New Roman"/>
                <w:color w:val="000000"/>
                <w:sz w:val="18"/>
                <w:szCs w:val="18"/>
              </w:rPr>
            </w:pPr>
            <w:r w:rsidRPr="00D05A56">
              <w:rPr>
                <w:rFonts w:ascii="Times New Roman" w:hAnsi="Times New Roman" w:cs="Times New Roman"/>
                <w:color w:val="000000"/>
                <w:sz w:val="18"/>
                <w:szCs w:val="18"/>
              </w:rPr>
              <w:t>14,534,977.44</w:t>
            </w:r>
          </w:p>
        </w:tc>
        <w:tc>
          <w:tcPr>
            <w:tcW w:w="2466" w:type="dxa"/>
            <w:tcMar>
              <w:top w:w="0" w:type="dxa"/>
              <w:left w:w="0" w:type="dxa"/>
              <w:bottom w:w="0" w:type="dxa"/>
              <w:right w:w="0" w:type="dxa"/>
            </w:tcMar>
            <w:hideMark/>
          </w:tcPr>
          <w:p w14:paraId="5532D9D1" w14:textId="77777777" w:rsidR="00AF139E" w:rsidRPr="00D05A56" w:rsidRDefault="00000000">
            <w:pPr>
              <w:pStyle w:val="a3"/>
              <w:spacing w:before="109" w:beforeAutospacing="0" w:after="0" w:afterAutospacing="0"/>
              <w:ind w:left="1322"/>
              <w:textAlignment w:val="baseline"/>
              <w:rPr>
                <w:rFonts w:ascii="Times New Roman" w:hAnsi="Times New Roman" w:cs="Times New Roman"/>
                <w:color w:val="000000"/>
                <w:sz w:val="18"/>
                <w:szCs w:val="18"/>
              </w:rPr>
            </w:pPr>
            <w:r w:rsidRPr="00D05A56">
              <w:rPr>
                <w:rFonts w:ascii="Times New Roman" w:hAnsi="Times New Roman" w:cs="Times New Roman"/>
                <w:color w:val="000000"/>
                <w:spacing w:val="-1"/>
                <w:sz w:val="18"/>
                <w:szCs w:val="18"/>
              </w:rPr>
              <w:t>20,024,977.99</w:t>
            </w:r>
          </w:p>
        </w:tc>
      </w:tr>
    </w:tbl>
    <w:p w14:paraId="627945AE" w14:textId="77777777" w:rsidR="00AF139E" w:rsidRPr="005B5EC1" w:rsidRDefault="00AF139E">
      <w:pPr>
        <w:divId w:val="777335231"/>
        <w:rPr>
          <w:rFonts w:ascii="Times New Roman" w:hAnsi="Times New Roman" w:cs="Times New Roman"/>
        </w:rPr>
      </w:pPr>
    </w:p>
    <w:p w14:paraId="6173023F" w14:textId="77777777" w:rsidR="00E32FE0" w:rsidRPr="005B5EC1" w:rsidRDefault="00000000">
      <w:pPr>
        <w:pStyle w:val="3"/>
        <w:spacing w:line="280" w:lineRule="exact"/>
        <w:jc w:val="left"/>
        <w:rPr>
          <w:rFonts w:ascii="Times New Roman" w:hAnsi="Times New Roman" w:cs="Times New Roman"/>
          <w:b/>
          <w:bCs/>
        </w:rPr>
      </w:pPr>
      <w:bookmarkStart w:id="483" w:name="_Toc989430"/>
      <w:r w:rsidRPr="005B5EC1">
        <w:rPr>
          <w:rFonts w:ascii="Times New Roman" w:hAnsi="Times New Roman" w:cs="Times New Roman"/>
          <w:b/>
          <w:bCs/>
        </w:rPr>
        <w:t>6</w:t>
      </w:r>
      <w:r w:rsidRPr="005B5EC1">
        <w:rPr>
          <w:rFonts w:ascii="Times New Roman" w:hAnsi="Times New Roman" w:cs="Times New Roman"/>
          <w:b/>
          <w:bCs/>
        </w:rPr>
        <w:t>、关联方应收应付款项</w:t>
      </w:r>
      <w:bookmarkEnd w:id="483"/>
    </w:p>
    <w:p w14:paraId="142A0328"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84" w:name="_Toc98943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应收项目</w:t>
      </w:r>
      <w:bookmarkEnd w:id="484"/>
    </w:p>
    <w:p w14:paraId="2AC7C7F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7"/>
        <w:gridCol w:w="1606"/>
        <w:gridCol w:w="1606"/>
        <w:gridCol w:w="1607"/>
        <w:gridCol w:w="1606"/>
        <w:gridCol w:w="1607"/>
      </w:tblGrid>
      <w:tr w:rsidR="00E32FE0" w:rsidRPr="005B5EC1" w14:paraId="5BB2DB2A" w14:textId="77777777" w:rsidTr="00D05A56">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D4EE53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66BC0EF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79755C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3C3702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6A15C4F7" w14:textId="77777777" w:rsidTr="00D05A56">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78EC747" w14:textId="77777777" w:rsidR="00E32FE0" w:rsidRPr="005B5EC1" w:rsidRDefault="00E32FE0">
            <w:pPr>
              <w:rPr>
                <w:rFonts w:ascii="Times New Roman" w:hAnsi="Times New Roman" w:cs="Times New Roman"/>
              </w:rPr>
            </w:pPr>
          </w:p>
        </w:tc>
        <w:tc>
          <w:tcPr>
            <w:tcW w:w="1606"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B7FD3A6"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1E74DA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19B3BB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B4F985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794949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r>
      <w:tr w:rsidR="00E32FE0" w:rsidRPr="005B5EC1" w14:paraId="64C1B635"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0321C9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D7F6CB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成都璞悦酒店管理有限公司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C79F0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D09B14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7E2102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1,249,207.64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691DC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233,000.88</w:t>
            </w:r>
          </w:p>
        </w:tc>
      </w:tr>
      <w:tr w:rsidR="00E32FE0" w:rsidRPr="005B5EC1" w14:paraId="1D28696D"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677F8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374F58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蓝润发展控股集团有限公司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8FC02F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70BF1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03A38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49FAFC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06ACFF1"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2612A2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49BE74C" w14:textId="77777777" w:rsidR="00E32FE0" w:rsidRPr="005B5EC1" w:rsidRDefault="00000000">
            <w:pPr>
              <w:spacing w:after="0" w:line="240" w:lineRule="exact"/>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五仓农牧</w:t>
            </w:r>
            <w:proofErr w:type="gramEnd"/>
            <w:r w:rsidRPr="005B5EC1">
              <w:rPr>
                <w:rFonts w:ascii="Times New Roman" w:eastAsia="宋体" w:hAnsi="Times New Roman" w:cs="Times New Roman"/>
                <w:sz w:val="18"/>
                <w:szCs w:val="18"/>
              </w:rPr>
              <w:t>集团有限公司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C053E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11,032.20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03AAF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248.22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668D20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E4DF98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E0D8824"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CB81BD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E11691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w:t>
            </w:r>
            <w:proofErr w:type="gramStart"/>
            <w:r w:rsidRPr="005B5EC1">
              <w:rPr>
                <w:rFonts w:ascii="Times New Roman" w:eastAsia="宋体" w:hAnsi="Times New Roman" w:cs="Times New Roman"/>
                <w:sz w:val="18"/>
                <w:szCs w:val="18"/>
              </w:rPr>
              <w:t>五仓宝</w:t>
            </w:r>
            <w:proofErr w:type="gramEnd"/>
            <w:r w:rsidRPr="005B5EC1">
              <w:rPr>
                <w:rFonts w:ascii="Times New Roman" w:eastAsia="宋体" w:hAnsi="Times New Roman" w:cs="Times New Roman"/>
                <w:sz w:val="18"/>
                <w:szCs w:val="18"/>
              </w:rPr>
              <w:t>裕农牧有限公司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CF96A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17,954.00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77B68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403.97</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45CD0B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7BF397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B84F723"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82CA01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306C2D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西充</w:t>
            </w:r>
            <w:proofErr w:type="gramStart"/>
            <w:r w:rsidRPr="005B5EC1">
              <w:rPr>
                <w:rFonts w:ascii="Times New Roman" w:eastAsia="宋体" w:hAnsi="Times New Roman" w:cs="Times New Roman"/>
                <w:sz w:val="18"/>
                <w:szCs w:val="18"/>
              </w:rPr>
              <w:t>五仓宝廪</w:t>
            </w:r>
            <w:proofErr w:type="gramEnd"/>
            <w:r w:rsidRPr="005B5EC1">
              <w:rPr>
                <w:rFonts w:ascii="Times New Roman" w:eastAsia="宋体" w:hAnsi="Times New Roman" w:cs="Times New Roman"/>
                <w:sz w:val="18"/>
                <w:szCs w:val="18"/>
              </w:rPr>
              <w:t>农牧有限公司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56C765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45,317.00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D0493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1,019.63</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3A492F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BA7481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0F205C1"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709EBA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2A356B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F418E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59,215.32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0F298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47,372.26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5D35C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86,575.32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89616B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35,876.85</w:t>
            </w:r>
          </w:p>
        </w:tc>
      </w:tr>
      <w:tr w:rsidR="00E32FE0" w:rsidRPr="005B5EC1" w14:paraId="17C40F58"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FD39B7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FF588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宣威市鼎宏食品有限公司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5F507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43C9A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2,296,000.00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40132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CE993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2,296,000.00</w:t>
            </w:r>
          </w:p>
        </w:tc>
      </w:tr>
      <w:tr w:rsidR="00E32FE0" w:rsidRPr="005B5EC1" w14:paraId="2476F2F1"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78D62C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预付款项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6146FBF" w14:textId="77777777" w:rsidR="00E32FE0" w:rsidRPr="005B5EC1" w:rsidRDefault="00000000">
            <w:pPr>
              <w:spacing w:after="0" w:line="240" w:lineRule="exact"/>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牧原食品</w:t>
            </w:r>
            <w:proofErr w:type="gramEnd"/>
            <w:r w:rsidRPr="005B5EC1">
              <w:rPr>
                <w:rFonts w:ascii="Times New Roman" w:eastAsia="宋体" w:hAnsi="Times New Roman" w:cs="Times New Roman"/>
                <w:sz w:val="18"/>
                <w:szCs w:val="18"/>
              </w:rPr>
              <w:t>股份有限公司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90FD65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1,714,653.58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F9EAD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56A8FA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1,998,216.64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415D41C"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2E782BD"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252C6F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预付款项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CA6D8A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成都润家商业管理有限公司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7D254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B1341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CD70C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102C90B"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435331D"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68F5B0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预付账款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4A441F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青岛联合友和食品有限公司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C833E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1,304,137.69</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1F24D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783C5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545DCD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FFA296B"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7F6BCA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货币资金</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FB0E3D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达州银行股份有</w:t>
            </w:r>
            <w:r w:rsidRPr="005B5EC1">
              <w:rPr>
                <w:rFonts w:ascii="Times New Roman" w:eastAsia="宋体" w:hAnsi="Times New Roman" w:cs="Times New Roman"/>
                <w:sz w:val="18"/>
                <w:szCs w:val="18"/>
              </w:rPr>
              <w:lastRenderedPageBreak/>
              <w:t>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0222C7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203,269,483.81</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A0FA3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4FC4A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408,966,390.02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DBB92C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0CBCEC3" w14:textId="77777777" w:rsidTr="00D05A5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B13BAF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EF8B8C7" w14:textId="77777777" w:rsidR="00E32FE0" w:rsidRPr="005B5EC1" w:rsidRDefault="00E32FE0">
            <w:pPr>
              <w:spacing w:after="0" w:line="240" w:lineRule="exac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6D5675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209,391,793.60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3EB0FB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2,347,294.08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BC58F8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415,190,389.62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521126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2,564,877.73</w:t>
            </w:r>
          </w:p>
        </w:tc>
      </w:tr>
    </w:tbl>
    <w:p w14:paraId="15C7E469"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85" w:name="_Toc989432"/>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应付项目</w:t>
      </w:r>
      <w:bookmarkEnd w:id="485"/>
    </w:p>
    <w:p w14:paraId="3092544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4A73C253"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8B71FB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448DB7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A1752C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BD0204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期初账面余额</w:t>
            </w:r>
          </w:p>
        </w:tc>
      </w:tr>
      <w:tr w:rsidR="00E32FE0" w:rsidRPr="005B5EC1" w14:paraId="37CFD057"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5F2C54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应付账款</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8696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青岛东方睿智商贸有限公司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F51FD7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14,238.25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774D3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14,238.25</w:t>
            </w:r>
          </w:p>
        </w:tc>
      </w:tr>
      <w:tr w:rsidR="00E32FE0" w:rsidRPr="005B5EC1" w14:paraId="24096BC9"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A78609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应付账款</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71D4EA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青岛优尼特</w:t>
            </w:r>
            <w:proofErr w:type="gramStart"/>
            <w:r w:rsidRPr="005B5EC1">
              <w:rPr>
                <w:rFonts w:ascii="Times New Roman" w:eastAsia="宋体" w:hAnsi="Times New Roman" w:cs="Times New Roman"/>
                <w:sz w:val="18"/>
                <w:szCs w:val="18"/>
              </w:rPr>
              <w:t>尚品食品</w:t>
            </w:r>
            <w:proofErr w:type="gramEnd"/>
            <w:r w:rsidRPr="005B5EC1">
              <w:rPr>
                <w:rFonts w:ascii="Times New Roman" w:eastAsia="宋体" w:hAnsi="Times New Roman" w:cs="Times New Roman"/>
                <w:sz w:val="18"/>
                <w:szCs w:val="18"/>
              </w:rPr>
              <w:t>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A601EE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48F99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3,155.96</w:t>
            </w:r>
          </w:p>
        </w:tc>
      </w:tr>
      <w:tr w:rsidR="00E32FE0" w:rsidRPr="005B5EC1" w14:paraId="60831B89"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878B12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应付账款</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92FC774" w14:textId="77777777" w:rsidR="00E32FE0" w:rsidRPr="005B5EC1" w:rsidRDefault="00000000">
            <w:pPr>
              <w:spacing w:after="0" w:line="240" w:lineRule="exact"/>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牧原食品</w:t>
            </w:r>
            <w:proofErr w:type="gramEnd"/>
            <w:r w:rsidRPr="005B5EC1">
              <w:rPr>
                <w:rFonts w:ascii="Times New Roman" w:eastAsia="宋体" w:hAnsi="Times New Roman" w:cs="Times New Roman"/>
                <w:sz w:val="18"/>
                <w:szCs w:val="18"/>
              </w:rPr>
              <w:t>股份有限公司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9039B2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1,035,118.51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A635A1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DDA6950"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0C43D0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应付票据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366CCE1" w14:textId="77777777" w:rsidR="00E32FE0" w:rsidRPr="005B5EC1" w:rsidRDefault="00000000">
            <w:pPr>
              <w:spacing w:after="0" w:line="240" w:lineRule="exact"/>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牧原食品</w:t>
            </w:r>
            <w:proofErr w:type="gramEnd"/>
            <w:r w:rsidRPr="005B5EC1">
              <w:rPr>
                <w:rFonts w:ascii="Times New Roman" w:eastAsia="宋体" w:hAnsi="Times New Roman" w:cs="Times New Roman"/>
                <w:sz w:val="18"/>
                <w:szCs w:val="18"/>
              </w:rPr>
              <w:t>股份有限公司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CE8D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210,900,000.00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40C10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129,090,000.00</w:t>
            </w:r>
          </w:p>
        </w:tc>
      </w:tr>
      <w:tr w:rsidR="00E32FE0" w:rsidRPr="005B5EC1" w14:paraId="330147C4"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F06E7E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应付票据</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6FB21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青岛飞熊领鲜科技有限公司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B326F7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8E9F8F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69,764,916.67</w:t>
            </w:r>
          </w:p>
        </w:tc>
      </w:tr>
      <w:tr w:rsidR="00E32FE0" w:rsidRPr="005B5EC1" w14:paraId="0307398A"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32B05D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其他应付款</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48BE89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上海新农科技股份有限公司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665C5E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656C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61,740,000.00</w:t>
            </w:r>
          </w:p>
        </w:tc>
      </w:tr>
      <w:tr w:rsidR="00E32FE0" w:rsidRPr="005B5EC1" w14:paraId="174AFDE5"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7370CF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租赁负债</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5F8610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成都润家商业管理有限公司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4AF34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1,534,165.37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07C9A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1,856,765.43</w:t>
            </w:r>
          </w:p>
        </w:tc>
      </w:tr>
      <w:tr w:rsidR="00E32FE0" w:rsidRPr="005B5EC1" w14:paraId="452F54FD"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2FAEA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合同负债</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F0C6F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成都璞悦酒店管理有限公司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B2B45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612400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0.78</w:t>
            </w:r>
          </w:p>
        </w:tc>
      </w:tr>
      <w:tr w:rsidR="00E32FE0" w:rsidRPr="005B5EC1" w14:paraId="6B4AC547"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3DC3ED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合同负债</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36351C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青岛联合友和食品有限公司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44669A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C4F5A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2,276.48</w:t>
            </w:r>
          </w:p>
        </w:tc>
      </w:tr>
      <w:tr w:rsidR="00E32FE0" w:rsidRPr="005B5EC1" w14:paraId="0ED1215E"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E7F1BA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合同负债</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55581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蓬莱富华冷藏有限公司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E217C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5C201E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828,541.15</w:t>
            </w:r>
          </w:p>
        </w:tc>
      </w:tr>
      <w:tr w:rsidR="00E32FE0" w:rsidRPr="005B5EC1" w14:paraId="77108A4B"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7F9CA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合同负债</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4C9F3D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青岛飞熊领鲜科技有限公司</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29CA7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1,035,467.94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ED1860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D4F3650" w14:textId="77777777" w:rsidTr="00D05A5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0965CE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376D4EC" w14:textId="77777777" w:rsidR="00E32FE0" w:rsidRPr="005B5EC1" w:rsidRDefault="00E32FE0">
            <w:pPr>
              <w:spacing w:after="0" w:line="240" w:lineRule="exact"/>
              <w:rPr>
                <w:rFonts w:ascii="Times New Roman" w:eastAsia="宋体" w:hAnsi="Times New Roman" w:cs="Times New Roman"/>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0D334C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214,518,990.07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19BB3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263,299,894.72</w:t>
            </w:r>
          </w:p>
        </w:tc>
      </w:tr>
    </w:tbl>
    <w:p w14:paraId="62E39AF7" w14:textId="77777777" w:rsidR="00E32FE0" w:rsidRPr="005B5EC1" w:rsidRDefault="00000000">
      <w:pPr>
        <w:pStyle w:val="3"/>
        <w:spacing w:line="280" w:lineRule="exact"/>
        <w:jc w:val="left"/>
        <w:rPr>
          <w:rFonts w:ascii="Times New Roman" w:hAnsi="Times New Roman" w:cs="Times New Roman"/>
          <w:b/>
          <w:bCs/>
        </w:rPr>
      </w:pPr>
      <w:bookmarkStart w:id="486" w:name="_Toc989433"/>
      <w:r w:rsidRPr="005B5EC1">
        <w:rPr>
          <w:rFonts w:ascii="Times New Roman" w:hAnsi="Times New Roman" w:cs="Times New Roman"/>
          <w:b/>
          <w:bCs/>
        </w:rPr>
        <w:t>7</w:t>
      </w:r>
      <w:r w:rsidRPr="005B5EC1">
        <w:rPr>
          <w:rFonts w:ascii="Times New Roman" w:hAnsi="Times New Roman" w:cs="Times New Roman"/>
          <w:b/>
          <w:bCs/>
        </w:rPr>
        <w:t>、关联方承诺</w:t>
      </w:r>
      <w:bookmarkEnd w:id="486"/>
    </w:p>
    <w:p w14:paraId="50BCD1F7" w14:textId="31D63EFF" w:rsidR="00AF139E" w:rsidRPr="00D05A56" w:rsidRDefault="00000000" w:rsidP="00D05A56">
      <w:pPr>
        <w:pStyle w:val="a3"/>
        <w:spacing w:before="0" w:beforeAutospacing="0" w:after="0" w:afterAutospacing="0" w:line="276" w:lineRule="auto"/>
        <w:ind w:firstLineChars="200" w:firstLine="360"/>
        <w:jc w:val="both"/>
        <w:textAlignment w:val="baseline"/>
        <w:divId w:val="754666535"/>
        <w:rPr>
          <w:rFonts w:ascii="Times New Roman" w:hAnsi="Times New Roman" w:cs="Times New Roman"/>
          <w:color w:val="000000"/>
          <w:sz w:val="21"/>
          <w:szCs w:val="21"/>
        </w:rPr>
      </w:pPr>
      <w:r w:rsidRPr="00D05A56">
        <w:rPr>
          <w:rFonts w:ascii="Times New Roman" w:hAnsi="Times New Roman" w:cs="Times New Roman"/>
          <w:color w:val="000000"/>
          <w:sz w:val="18"/>
          <w:szCs w:val="18"/>
        </w:rPr>
        <w:t>公司实际控制人戴学斌、董翔，公司控股股东蓝润发展控股集团有限公司，公司股</w:t>
      </w:r>
      <w:r w:rsidRPr="00D05A56">
        <w:rPr>
          <w:rFonts w:ascii="Times New Roman" w:hAnsi="Times New Roman" w:cs="Times New Roman"/>
          <w:color w:val="000000"/>
          <w:spacing w:val="-1"/>
          <w:sz w:val="18"/>
          <w:szCs w:val="18"/>
        </w:rPr>
        <w:t>东龙大食品集团有限公司、伊藤</w:t>
      </w:r>
      <w:r w:rsidRPr="00D05A56">
        <w:rPr>
          <w:rFonts w:ascii="Times New Roman" w:hAnsi="Times New Roman" w:cs="Times New Roman"/>
          <w:color w:val="000000"/>
          <w:spacing w:val="1"/>
          <w:sz w:val="18"/>
          <w:szCs w:val="18"/>
        </w:rPr>
        <w:t>忠（中国）集团有限公司（</w:t>
      </w:r>
      <w:r w:rsidRPr="00D05A56">
        <w:rPr>
          <w:rFonts w:ascii="Times New Roman" w:hAnsi="Times New Roman" w:cs="Times New Roman"/>
          <w:color w:val="000000"/>
          <w:spacing w:val="1"/>
          <w:sz w:val="18"/>
          <w:szCs w:val="18"/>
        </w:rPr>
        <w:t>2021</w:t>
      </w:r>
      <w:r w:rsidRPr="00D05A56">
        <w:rPr>
          <w:rFonts w:ascii="Times New Roman" w:hAnsi="Times New Roman" w:cs="Times New Roman"/>
          <w:color w:val="000000"/>
          <w:spacing w:val="1"/>
          <w:sz w:val="18"/>
          <w:szCs w:val="18"/>
        </w:rPr>
        <w:t>年度已减持）、莱阳银龙投资有限公</w:t>
      </w:r>
      <w:r w:rsidRPr="00D05A56">
        <w:rPr>
          <w:rFonts w:ascii="Times New Roman" w:hAnsi="Times New Roman" w:cs="Times New Roman"/>
          <w:color w:val="000000"/>
          <w:sz w:val="18"/>
          <w:szCs w:val="18"/>
        </w:rPr>
        <w:t>司，公司董事、监事、高级管理人员已</w:t>
      </w:r>
      <w:proofErr w:type="gramStart"/>
      <w:r w:rsidRPr="00D05A56">
        <w:rPr>
          <w:rFonts w:ascii="Times New Roman" w:hAnsi="Times New Roman" w:cs="Times New Roman"/>
          <w:color w:val="000000"/>
          <w:sz w:val="18"/>
          <w:szCs w:val="18"/>
        </w:rPr>
        <w:t>作出</w:t>
      </w:r>
      <w:proofErr w:type="gramEnd"/>
      <w:r w:rsidRPr="00D05A56">
        <w:rPr>
          <w:rFonts w:ascii="Times New Roman" w:hAnsi="Times New Roman" w:cs="Times New Roman"/>
          <w:color w:val="000000"/>
          <w:sz w:val="18"/>
          <w:szCs w:val="18"/>
        </w:rPr>
        <w:t>关于避免</w:t>
      </w:r>
      <w:r w:rsidRPr="00D05A56">
        <w:rPr>
          <w:rFonts w:ascii="Times New Roman" w:hAnsi="Times New Roman" w:cs="Times New Roman"/>
          <w:color w:val="000000"/>
          <w:sz w:val="18"/>
          <w:szCs w:val="18"/>
        </w:rPr>
        <w:t xml:space="preserve"> </w:t>
      </w:r>
      <w:r w:rsidRPr="00D05A56">
        <w:rPr>
          <w:rFonts w:ascii="Times New Roman" w:hAnsi="Times New Roman" w:cs="Times New Roman"/>
          <w:color w:val="000000"/>
          <w:sz w:val="18"/>
          <w:szCs w:val="18"/>
        </w:rPr>
        <w:t>或减少关联交易的承诺，承诺</w:t>
      </w:r>
      <w:proofErr w:type="gramStart"/>
      <w:r w:rsidRPr="00D05A56">
        <w:rPr>
          <w:rFonts w:ascii="Times New Roman" w:hAnsi="Times New Roman" w:cs="Times New Roman"/>
          <w:color w:val="000000"/>
          <w:sz w:val="18"/>
          <w:szCs w:val="18"/>
        </w:rPr>
        <w:t>其及其</w:t>
      </w:r>
      <w:proofErr w:type="gramEnd"/>
      <w:r w:rsidRPr="00D05A56">
        <w:rPr>
          <w:rFonts w:ascii="Times New Roman" w:hAnsi="Times New Roman" w:cs="Times New Roman"/>
          <w:color w:val="000000"/>
          <w:sz w:val="18"/>
          <w:szCs w:val="18"/>
        </w:rPr>
        <w:t>控股或控制的企业（公司及其控股或控制的企业除外）与公司及其控股</w:t>
      </w:r>
      <w:r w:rsidRPr="00D05A56">
        <w:rPr>
          <w:rFonts w:ascii="Times New Roman" w:hAnsi="Times New Roman" w:cs="Times New Roman"/>
          <w:color w:val="000000"/>
          <w:spacing w:val="-1"/>
          <w:sz w:val="18"/>
          <w:szCs w:val="18"/>
        </w:rPr>
        <w:t>或控制的企业</w:t>
      </w:r>
      <w:r w:rsidRPr="00D05A56">
        <w:rPr>
          <w:rFonts w:ascii="Times New Roman" w:hAnsi="Times New Roman" w:cs="Times New Roman"/>
          <w:color w:val="000000"/>
          <w:sz w:val="18"/>
          <w:szCs w:val="18"/>
        </w:rPr>
        <w:t>之间将尽可能地避免或减少关联交易；对于无法避免或者有合理原因而发生的关联交易，将遵循市场公正</w:t>
      </w:r>
      <w:r w:rsidRPr="00D05A56">
        <w:rPr>
          <w:rFonts w:ascii="Times New Roman" w:hAnsi="Times New Roman" w:cs="Times New Roman"/>
          <w:color w:val="000000"/>
          <w:spacing w:val="-1"/>
          <w:sz w:val="18"/>
          <w:szCs w:val="18"/>
        </w:rPr>
        <w:t>、公平、公开的</w:t>
      </w:r>
      <w:r w:rsidRPr="00D05A56">
        <w:rPr>
          <w:rFonts w:ascii="Times New Roman" w:hAnsi="Times New Roman" w:cs="Times New Roman"/>
          <w:color w:val="000000"/>
          <w:sz w:val="18"/>
          <w:szCs w:val="18"/>
        </w:rPr>
        <w:t> </w:t>
      </w:r>
      <w:r w:rsidRPr="00D05A56">
        <w:rPr>
          <w:rFonts w:ascii="Times New Roman" w:hAnsi="Times New Roman" w:cs="Times New Roman"/>
          <w:color w:val="000000"/>
          <w:sz w:val="18"/>
          <w:szCs w:val="18"/>
        </w:rPr>
        <w:t>原则，并依法签订协议，履行合法程序，按照有关法律法规、规则以及公司章程等有关规定履行信息披露</w:t>
      </w:r>
      <w:r w:rsidRPr="00D05A56">
        <w:rPr>
          <w:rFonts w:ascii="Times New Roman" w:hAnsi="Times New Roman" w:cs="Times New Roman"/>
          <w:color w:val="000000"/>
          <w:spacing w:val="-1"/>
          <w:sz w:val="18"/>
          <w:szCs w:val="18"/>
        </w:rPr>
        <w:t>义务和办理有关</w:t>
      </w:r>
      <w:r w:rsidRPr="00D05A56">
        <w:rPr>
          <w:rFonts w:ascii="Times New Roman" w:hAnsi="Times New Roman" w:cs="Times New Roman"/>
          <w:color w:val="000000"/>
          <w:sz w:val="18"/>
          <w:szCs w:val="18"/>
        </w:rPr>
        <w:t>报批手续，保证不通过关联交易损害公司及其他股东的合法权益。</w:t>
      </w:r>
      <w:r w:rsidR="0053739A" w:rsidRPr="0053739A">
        <w:rPr>
          <w:rFonts w:ascii="Times New Roman" w:hAnsi="Times New Roman" w:cs="Times New Roman" w:hint="eastAsia"/>
          <w:color w:val="000000"/>
          <w:sz w:val="18"/>
          <w:szCs w:val="18"/>
        </w:rPr>
        <w:t>承诺</w:t>
      </w:r>
      <w:proofErr w:type="gramStart"/>
      <w:r w:rsidR="0053739A" w:rsidRPr="0053739A">
        <w:rPr>
          <w:rFonts w:ascii="Times New Roman" w:hAnsi="Times New Roman" w:cs="Times New Roman" w:hint="eastAsia"/>
          <w:color w:val="000000"/>
          <w:sz w:val="18"/>
          <w:szCs w:val="18"/>
        </w:rPr>
        <w:t>其</w:t>
      </w:r>
      <w:r w:rsidRPr="00D05A56">
        <w:rPr>
          <w:rFonts w:ascii="Times New Roman" w:hAnsi="Times New Roman" w:cs="Times New Roman"/>
          <w:color w:val="000000"/>
          <w:sz w:val="18"/>
          <w:szCs w:val="18"/>
        </w:rPr>
        <w:t>及其</w:t>
      </w:r>
      <w:proofErr w:type="gramEnd"/>
      <w:r w:rsidRPr="00D05A56">
        <w:rPr>
          <w:rFonts w:ascii="Times New Roman" w:hAnsi="Times New Roman" w:cs="Times New Roman"/>
          <w:color w:val="000000"/>
          <w:sz w:val="18"/>
          <w:szCs w:val="18"/>
        </w:rPr>
        <w:t>控股或控制的企业（公司及其控股</w:t>
      </w:r>
      <w:r w:rsidRPr="00D05A56">
        <w:rPr>
          <w:rFonts w:ascii="Times New Roman" w:hAnsi="Times New Roman" w:cs="Times New Roman"/>
          <w:color w:val="000000"/>
          <w:spacing w:val="-1"/>
          <w:sz w:val="18"/>
          <w:szCs w:val="18"/>
        </w:rPr>
        <w:t>或控制的企业除外）不向公司拆借、占用公司资金或采取由公司代垫款、代偿债务等方式侵占公司资金。</w:t>
      </w:r>
    </w:p>
    <w:p w14:paraId="76CFE192" w14:textId="77777777" w:rsidR="00E32FE0" w:rsidRPr="005B5EC1" w:rsidRDefault="00000000">
      <w:pPr>
        <w:pStyle w:val="3"/>
        <w:spacing w:line="280" w:lineRule="exact"/>
        <w:jc w:val="left"/>
        <w:rPr>
          <w:rFonts w:ascii="Times New Roman" w:hAnsi="Times New Roman" w:cs="Times New Roman"/>
          <w:b/>
          <w:bCs/>
        </w:rPr>
      </w:pPr>
      <w:bookmarkStart w:id="487" w:name="_Toc989434"/>
      <w:r w:rsidRPr="005B5EC1">
        <w:rPr>
          <w:rFonts w:ascii="Times New Roman" w:hAnsi="Times New Roman" w:cs="Times New Roman"/>
          <w:b/>
          <w:bCs/>
        </w:rPr>
        <w:t>8</w:t>
      </w:r>
      <w:r w:rsidRPr="005B5EC1">
        <w:rPr>
          <w:rFonts w:ascii="Times New Roman" w:hAnsi="Times New Roman" w:cs="Times New Roman"/>
          <w:b/>
          <w:bCs/>
        </w:rPr>
        <w:t>、其他</w:t>
      </w:r>
      <w:bookmarkEnd w:id="487"/>
    </w:p>
    <w:p w14:paraId="200D8D03" w14:textId="77777777" w:rsidR="00AF139E" w:rsidRPr="005B5EC1" w:rsidRDefault="00000000">
      <w:pPr>
        <w:pStyle w:val="a3"/>
        <w:divId w:val="911164382"/>
        <w:rPr>
          <w:rFonts w:ascii="Times New Roman" w:hAnsi="Times New Roman" w:cs="Times New Roman"/>
          <w:sz w:val="18"/>
          <w:szCs w:val="18"/>
        </w:rPr>
      </w:pPr>
      <w:r w:rsidRPr="005B5EC1">
        <w:rPr>
          <w:rFonts w:ascii="Times New Roman" w:hAnsi="Times New Roman" w:cs="Times New Roman"/>
          <w:sz w:val="18"/>
          <w:szCs w:val="18"/>
        </w:rPr>
        <w:t>无</w:t>
      </w:r>
    </w:p>
    <w:p w14:paraId="42E76004"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88" w:name="_Toc989435"/>
      <w:r w:rsidRPr="005B5EC1">
        <w:rPr>
          <w:rFonts w:ascii="Times New Roman" w:eastAsia="宋体" w:hAnsi="Times New Roman" w:cs="Times New Roman"/>
          <w:b/>
          <w:bCs/>
          <w:sz w:val="24"/>
          <w:szCs w:val="24"/>
        </w:rPr>
        <w:t>十五、股份支付</w:t>
      </w:r>
      <w:bookmarkEnd w:id="488"/>
    </w:p>
    <w:p w14:paraId="415B4E92" w14:textId="77777777" w:rsidR="00E32FE0" w:rsidRPr="005B5EC1" w:rsidRDefault="00000000">
      <w:pPr>
        <w:pStyle w:val="3"/>
        <w:spacing w:line="280" w:lineRule="exact"/>
        <w:jc w:val="left"/>
        <w:rPr>
          <w:rFonts w:ascii="Times New Roman" w:hAnsi="Times New Roman" w:cs="Times New Roman"/>
          <w:b/>
          <w:bCs/>
        </w:rPr>
      </w:pPr>
      <w:bookmarkStart w:id="489" w:name="_Toc989436"/>
      <w:r w:rsidRPr="005B5EC1">
        <w:rPr>
          <w:rFonts w:ascii="Times New Roman" w:hAnsi="Times New Roman" w:cs="Times New Roman"/>
          <w:b/>
          <w:bCs/>
        </w:rPr>
        <w:t>1</w:t>
      </w:r>
      <w:r w:rsidRPr="005B5EC1">
        <w:rPr>
          <w:rFonts w:ascii="Times New Roman" w:hAnsi="Times New Roman" w:cs="Times New Roman"/>
          <w:b/>
          <w:bCs/>
        </w:rPr>
        <w:t>、股份支付总体情况</w:t>
      </w:r>
      <w:bookmarkEnd w:id="489"/>
    </w:p>
    <w:p w14:paraId="66E21E10"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BA842A7" w14:textId="77777777" w:rsidR="00E32FE0" w:rsidRPr="005B5EC1" w:rsidRDefault="00000000">
      <w:pPr>
        <w:pStyle w:val="3"/>
        <w:spacing w:line="280" w:lineRule="exact"/>
        <w:jc w:val="left"/>
        <w:rPr>
          <w:rFonts w:ascii="Times New Roman" w:hAnsi="Times New Roman" w:cs="Times New Roman"/>
          <w:b/>
          <w:bCs/>
        </w:rPr>
      </w:pPr>
      <w:bookmarkStart w:id="490" w:name="_Toc989437"/>
      <w:r w:rsidRPr="005B5EC1">
        <w:rPr>
          <w:rFonts w:ascii="Times New Roman" w:hAnsi="Times New Roman" w:cs="Times New Roman"/>
          <w:b/>
          <w:bCs/>
        </w:rPr>
        <w:t>2</w:t>
      </w:r>
      <w:r w:rsidRPr="005B5EC1">
        <w:rPr>
          <w:rFonts w:ascii="Times New Roman" w:hAnsi="Times New Roman" w:cs="Times New Roman"/>
          <w:b/>
          <w:bCs/>
        </w:rPr>
        <w:t>、以权益结算的股份支付情况</w:t>
      </w:r>
      <w:bookmarkEnd w:id="490"/>
    </w:p>
    <w:p w14:paraId="5111B74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FB17BAF" w14:textId="77777777" w:rsidR="00E32FE0" w:rsidRPr="005B5EC1" w:rsidRDefault="00000000">
      <w:pPr>
        <w:pStyle w:val="3"/>
        <w:spacing w:line="280" w:lineRule="exact"/>
        <w:jc w:val="left"/>
        <w:rPr>
          <w:rFonts w:ascii="Times New Roman" w:hAnsi="Times New Roman" w:cs="Times New Roman"/>
          <w:b/>
          <w:bCs/>
        </w:rPr>
      </w:pPr>
      <w:bookmarkStart w:id="491" w:name="_Toc989438"/>
      <w:r w:rsidRPr="005B5EC1">
        <w:rPr>
          <w:rFonts w:ascii="Times New Roman" w:hAnsi="Times New Roman" w:cs="Times New Roman"/>
          <w:b/>
          <w:bCs/>
        </w:rPr>
        <w:t>3</w:t>
      </w:r>
      <w:r w:rsidRPr="005B5EC1">
        <w:rPr>
          <w:rFonts w:ascii="Times New Roman" w:hAnsi="Times New Roman" w:cs="Times New Roman"/>
          <w:b/>
          <w:bCs/>
        </w:rPr>
        <w:t>、以现金结算的股份支付情况</w:t>
      </w:r>
      <w:bookmarkEnd w:id="491"/>
    </w:p>
    <w:p w14:paraId="46E2AE5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146D0D8" w14:textId="77777777" w:rsidR="00E32FE0" w:rsidRPr="005B5EC1" w:rsidRDefault="00000000">
      <w:pPr>
        <w:pStyle w:val="3"/>
        <w:spacing w:line="280" w:lineRule="exact"/>
        <w:jc w:val="left"/>
        <w:rPr>
          <w:rFonts w:ascii="Times New Roman" w:hAnsi="Times New Roman" w:cs="Times New Roman"/>
          <w:b/>
          <w:bCs/>
        </w:rPr>
      </w:pPr>
      <w:bookmarkStart w:id="492" w:name="_Toc989439"/>
      <w:r w:rsidRPr="005B5EC1">
        <w:rPr>
          <w:rFonts w:ascii="Times New Roman" w:hAnsi="Times New Roman" w:cs="Times New Roman"/>
          <w:b/>
          <w:bCs/>
        </w:rPr>
        <w:lastRenderedPageBreak/>
        <w:t>4</w:t>
      </w:r>
      <w:r w:rsidRPr="005B5EC1">
        <w:rPr>
          <w:rFonts w:ascii="Times New Roman" w:hAnsi="Times New Roman" w:cs="Times New Roman"/>
          <w:b/>
          <w:bCs/>
        </w:rPr>
        <w:t>、本期股份支付费用</w:t>
      </w:r>
      <w:bookmarkEnd w:id="492"/>
    </w:p>
    <w:p w14:paraId="14C6996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21F7E155" w14:textId="77777777" w:rsidR="00E32FE0" w:rsidRPr="005B5EC1" w:rsidRDefault="00000000">
      <w:pPr>
        <w:pStyle w:val="3"/>
        <w:spacing w:line="280" w:lineRule="exact"/>
        <w:jc w:val="left"/>
        <w:rPr>
          <w:rFonts w:ascii="Times New Roman" w:hAnsi="Times New Roman" w:cs="Times New Roman"/>
          <w:b/>
          <w:bCs/>
        </w:rPr>
      </w:pPr>
      <w:bookmarkStart w:id="493" w:name="_Toc989440"/>
      <w:r w:rsidRPr="005B5EC1">
        <w:rPr>
          <w:rFonts w:ascii="Times New Roman" w:hAnsi="Times New Roman" w:cs="Times New Roman"/>
          <w:b/>
          <w:bCs/>
        </w:rPr>
        <w:t>5</w:t>
      </w:r>
      <w:r w:rsidRPr="005B5EC1">
        <w:rPr>
          <w:rFonts w:ascii="Times New Roman" w:hAnsi="Times New Roman" w:cs="Times New Roman"/>
          <w:b/>
          <w:bCs/>
        </w:rPr>
        <w:t>、股份支付的修改、终止情况</w:t>
      </w:r>
      <w:bookmarkEnd w:id="493"/>
    </w:p>
    <w:p w14:paraId="3D8C41D9" w14:textId="77777777" w:rsidR="00AF139E" w:rsidRPr="005B5EC1" w:rsidRDefault="00000000">
      <w:pPr>
        <w:pStyle w:val="a3"/>
        <w:divId w:val="175190008"/>
        <w:rPr>
          <w:rFonts w:ascii="Times New Roman" w:hAnsi="Times New Roman" w:cs="Times New Roman"/>
          <w:sz w:val="18"/>
          <w:szCs w:val="18"/>
        </w:rPr>
      </w:pPr>
      <w:r w:rsidRPr="005B5EC1">
        <w:rPr>
          <w:rFonts w:ascii="Times New Roman" w:hAnsi="Times New Roman" w:cs="Times New Roman"/>
          <w:sz w:val="18"/>
          <w:szCs w:val="18"/>
        </w:rPr>
        <w:t>无</w:t>
      </w:r>
    </w:p>
    <w:p w14:paraId="48C6FA5C" w14:textId="77777777" w:rsidR="00E32FE0" w:rsidRPr="005B5EC1" w:rsidRDefault="00000000">
      <w:pPr>
        <w:pStyle w:val="3"/>
        <w:spacing w:line="280" w:lineRule="exact"/>
        <w:jc w:val="left"/>
        <w:rPr>
          <w:rFonts w:ascii="Times New Roman" w:hAnsi="Times New Roman" w:cs="Times New Roman"/>
          <w:b/>
          <w:bCs/>
        </w:rPr>
      </w:pPr>
      <w:bookmarkStart w:id="494" w:name="_Toc989441"/>
      <w:r w:rsidRPr="005B5EC1">
        <w:rPr>
          <w:rFonts w:ascii="Times New Roman" w:hAnsi="Times New Roman" w:cs="Times New Roman"/>
          <w:b/>
          <w:bCs/>
        </w:rPr>
        <w:t>6</w:t>
      </w:r>
      <w:r w:rsidRPr="005B5EC1">
        <w:rPr>
          <w:rFonts w:ascii="Times New Roman" w:hAnsi="Times New Roman" w:cs="Times New Roman"/>
          <w:b/>
          <w:bCs/>
        </w:rPr>
        <w:t>、其他</w:t>
      </w:r>
      <w:r w:rsidRPr="005B5EC1">
        <w:rPr>
          <w:rFonts w:ascii="Times New Roman" w:hAnsi="Times New Roman" w:cs="Times New Roman"/>
          <w:b/>
          <w:bCs/>
        </w:rPr>
        <w:t xml:space="preserve"> </w:t>
      </w:r>
      <w:bookmarkEnd w:id="494"/>
    </w:p>
    <w:p w14:paraId="147F7963" w14:textId="77777777" w:rsidR="00AF139E" w:rsidRPr="005B5EC1" w:rsidRDefault="00000000">
      <w:pPr>
        <w:pStyle w:val="a3"/>
        <w:divId w:val="148518057"/>
        <w:rPr>
          <w:rFonts w:ascii="Times New Roman" w:hAnsi="Times New Roman" w:cs="Times New Roman"/>
          <w:sz w:val="18"/>
          <w:szCs w:val="18"/>
        </w:rPr>
      </w:pPr>
      <w:r w:rsidRPr="005B5EC1">
        <w:rPr>
          <w:rFonts w:ascii="Times New Roman" w:hAnsi="Times New Roman" w:cs="Times New Roman"/>
          <w:sz w:val="18"/>
          <w:szCs w:val="18"/>
        </w:rPr>
        <w:t>无</w:t>
      </w:r>
    </w:p>
    <w:p w14:paraId="796075E5"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495" w:name="_Toc989442"/>
      <w:r w:rsidRPr="005B5EC1">
        <w:rPr>
          <w:rFonts w:ascii="Times New Roman" w:eastAsia="宋体" w:hAnsi="Times New Roman" w:cs="Times New Roman"/>
          <w:b/>
          <w:bCs/>
          <w:sz w:val="24"/>
          <w:szCs w:val="24"/>
        </w:rPr>
        <w:t>十六、承诺及或有事项</w:t>
      </w:r>
      <w:bookmarkEnd w:id="495"/>
    </w:p>
    <w:p w14:paraId="0497D578" w14:textId="77777777" w:rsidR="00E32FE0" w:rsidRPr="005B5EC1" w:rsidRDefault="00000000">
      <w:pPr>
        <w:pStyle w:val="3"/>
        <w:spacing w:line="280" w:lineRule="exact"/>
        <w:jc w:val="left"/>
        <w:rPr>
          <w:rFonts w:ascii="Times New Roman" w:hAnsi="Times New Roman" w:cs="Times New Roman"/>
          <w:b/>
          <w:bCs/>
        </w:rPr>
      </w:pPr>
      <w:bookmarkStart w:id="496" w:name="_Toc989443"/>
      <w:r w:rsidRPr="005B5EC1">
        <w:rPr>
          <w:rFonts w:ascii="Times New Roman" w:hAnsi="Times New Roman" w:cs="Times New Roman"/>
          <w:b/>
          <w:bCs/>
        </w:rPr>
        <w:t>1</w:t>
      </w:r>
      <w:r w:rsidRPr="005B5EC1">
        <w:rPr>
          <w:rFonts w:ascii="Times New Roman" w:hAnsi="Times New Roman" w:cs="Times New Roman"/>
          <w:b/>
          <w:bCs/>
        </w:rPr>
        <w:t>、重要承诺事项</w:t>
      </w:r>
      <w:bookmarkEnd w:id="496"/>
    </w:p>
    <w:p w14:paraId="4FE5190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资产负债表</w:t>
      </w:r>
      <w:proofErr w:type="gramStart"/>
      <w:r w:rsidRPr="005B5EC1">
        <w:rPr>
          <w:rFonts w:ascii="Times New Roman" w:eastAsia="宋体" w:hAnsi="Times New Roman" w:cs="Times New Roman"/>
          <w:sz w:val="18"/>
          <w:szCs w:val="18"/>
        </w:rPr>
        <w:t>日存在</w:t>
      </w:r>
      <w:proofErr w:type="gramEnd"/>
      <w:r w:rsidRPr="005B5EC1">
        <w:rPr>
          <w:rFonts w:ascii="Times New Roman" w:eastAsia="宋体" w:hAnsi="Times New Roman" w:cs="Times New Roman"/>
          <w:sz w:val="18"/>
          <w:szCs w:val="18"/>
        </w:rPr>
        <w:t>的重要承诺</w:t>
      </w:r>
    </w:p>
    <w:p w14:paraId="22FF44B2" w14:textId="77777777" w:rsidR="00AF139E" w:rsidRPr="00D05A56" w:rsidRDefault="00000000" w:rsidP="00D05A56">
      <w:pPr>
        <w:pStyle w:val="a3"/>
        <w:spacing w:before="0" w:beforeAutospacing="0" w:after="0" w:afterAutospacing="0" w:line="276" w:lineRule="auto"/>
        <w:ind w:firstLineChars="200" w:firstLine="360"/>
        <w:jc w:val="both"/>
        <w:divId w:val="632642271"/>
        <w:rPr>
          <w:rFonts w:ascii="Times New Roman" w:hAnsi="Times New Roman" w:cs="Times New Roman"/>
          <w:color w:val="000000"/>
          <w:sz w:val="18"/>
          <w:szCs w:val="18"/>
        </w:rPr>
      </w:pPr>
      <w:r w:rsidRPr="00D05A56">
        <w:rPr>
          <w:rFonts w:ascii="Times New Roman" w:hAnsi="Times New Roman" w:cs="Times New Roman"/>
          <w:color w:val="000000"/>
          <w:sz w:val="18"/>
          <w:szCs w:val="18"/>
        </w:rPr>
        <w:t>（</w:t>
      </w:r>
      <w:r w:rsidRPr="00D05A56">
        <w:rPr>
          <w:rFonts w:ascii="Times New Roman" w:hAnsi="Times New Roman" w:cs="Times New Roman"/>
          <w:color w:val="000000"/>
          <w:sz w:val="18"/>
          <w:szCs w:val="18"/>
        </w:rPr>
        <w:t>1</w:t>
      </w:r>
      <w:r w:rsidRPr="00D05A56">
        <w:rPr>
          <w:rFonts w:ascii="Times New Roman" w:hAnsi="Times New Roman" w:cs="Times New Roman"/>
          <w:color w:val="000000"/>
          <w:sz w:val="18"/>
          <w:szCs w:val="18"/>
        </w:rPr>
        <w:t>）本公司于</w:t>
      </w:r>
      <w:r w:rsidRPr="00D05A56">
        <w:rPr>
          <w:rFonts w:ascii="Times New Roman" w:hAnsi="Times New Roman" w:cs="Times New Roman"/>
          <w:color w:val="000000"/>
          <w:sz w:val="18"/>
          <w:szCs w:val="18"/>
        </w:rPr>
        <w:t>2020</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9</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24</w:t>
      </w:r>
      <w:r w:rsidRPr="00D05A56">
        <w:rPr>
          <w:rFonts w:ascii="Times New Roman" w:hAnsi="Times New Roman" w:cs="Times New Roman"/>
          <w:color w:val="000000"/>
          <w:sz w:val="18"/>
          <w:szCs w:val="18"/>
        </w:rPr>
        <w:t>日，设立控股子公司江苏龙大沁侬食品有限公司，注册资本为</w:t>
      </w:r>
      <w:r w:rsidRPr="00D05A56">
        <w:rPr>
          <w:rFonts w:ascii="Times New Roman" w:hAnsi="Times New Roman" w:cs="Times New Roman"/>
          <w:color w:val="000000"/>
          <w:sz w:val="18"/>
          <w:szCs w:val="18"/>
        </w:rPr>
        <w:t>2</w:t>
      </w:r>
      <w:r w:rsidRPr="00D05A56">
        <w:rPr>
          <w:rFonts w:ascii="Times New Roman" w:hAnsi="Times New Roman" w:cs="Times New Roman"/>
          <w:color w:val="000000"/>
          <w:sz w:val="18"/>
          <w:szCs w:val="18"/>
        </w:rPr>
        <w:t>亿元，</w:t>
      </w:r>
      <w:r w:rsidRPr="00D05A56">
        <w:rPr>
          <w:rFonts w:ascii="Times New Roman" w:hAnsi="Times New Roman" w:cs="Times New Roman"/>
          <w:color w:val="000000"/>
          <w:sz w:val="18"/>
          <w:szCs w:val="18"/>
        </w:rPr>
        <w:t>2023</w:t>
      </w:r>
      <w:r w:rsidRPr="00D05A56">
        <w:rPr>
          <w:rFonts w:ascii="Times New Roman" w:hAnsi="Times New Roman" w:cs="Times New Roman"/>
          <w:color w:val="000000"/>
          <w:sz w:val="18"/>
          <w:szCs w:val="18"/>
        </w:rPr>
        <w:t>年收购少数股东股权后，本公司持股比例为</w:t>
      </w:r>
      <w:r w:rsidRPr="00D05A56">
        <w:rPr>
          <w:rFonts w:ascii="Times New Roman" w:hAnsi="Times New Roman" w:cs="Times New Roman"/>
          <w:color w:val="000000"/>
          <w:sz w:val="18"/>
          <w:szCs w:val="18"/>
        </w:rPr>
        <w:t>100.00%</w:t>
      </w:r>
      <w:r w:rsidRPr="00D05A56">
        <w:rPr>
          <w:rFonts w:ascii="Times New Roman" w:hAnsi="Times New Roman" w:cs="Times New Roman"/>
          <w:color w:val="000000"/>
          <w:sz w:val="18"/>
          <w:szCs w:val="18"/>
        </w:rPr>
        <w:t>，约定出资时间为</w:t>
      </w:r>
      <w:r w:rsidRPr="00D05A56">
        <w:rPr>
          <w:rFonts w:ascii="Times New Roman" w:hAnsi="Times New Roman" w:cs="Times New Roman"/>
          <w:color w:val="000000"/>
          <w:sz w:val="18"/>
          <w:szCs w:val="18"/>
        </w:rPr>
        <w:t>2040</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09</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23</w:t>
      </w:r>
      <w:r w:rsidRPr="00D05A56">
        <w:rPr>
          <w:rFonts w:ascii="Times New Roman" w:hAnsi="Times New Roman" w:cs="Times New Roman"/>
          <w:color w:val="000000"/>
          <w:sz w:val="18"/>
          <w:szCs w:val="18"/>
        </w:rPr>
        <w:t>日前。</w:t>
      </w:r>
    </w:p>
    <w:p w14:paraId="35FB17E3" w14:textId="77777777" w:rsidR="00AF139E" w:rsidRPr="00D05A56" w:rsidRDefault="00000000" w:rsidP="00D05A56">
      <w:pPr>
        <w:pStyle w:val="a3"/>
        <w:spacing w:before="0" w:beforeAutospacing="0" w:after="0" w:afterAutospacing="0" w:line="276" w:lineRule="auto"/>
        <w:ind w:firstLineChars="200" w:firstLine="360"/>
        <w:jc w:val="both"/>
        <w:divId w:val="632642271"/>
        <w:rPr>
          <w:rFonts w:ascii="Times New Roman" w:hAnsi="Times New Roman" w:cs="Times New Roman"/>
          <w:color w:val="000000"/>
          <w:sz w:val="18"/>
          <w:szCs w:val="18"/>
        </w:rPr>
      </w:pPr>
      <w:r w:rsidRPr="00D05A56">
        <w:rPr>
          <w:rFonts w:ascii="Times New Roman" w:hAnsi="Times New Roman" w:cs="Times New Roman"/>
          <w:color w:val="000000"/>
          <w:sz w:val="18"/>
          <w:szCs w:val="18"/>
        </w:rPr>
        <w:t>截至</w:t>
      </w:r>
      <w:r w:rsidRPr="00D05A56">
        <w:rPr>
          <w:rFonts w:ascii="Times New Roman" w:hAnsi="Times New Roman" w:cs="Times New Roman"/>
          <w:color w:val="000000"/>
          <w:sz w:val="18"/>
          <w:szCs w:val="18"/>
        </w:rPr>
        <w:t>2024</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12</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31</w:t>
      </w:r>
      <w:r w:rsidRPr="00D05A56">
        <w:rPr>
          <w:rFonts w:ascii="Times New Roman" w:hAnsi="Times New Roman" w:cs="Times New Roman"/>
          <w:color w:val="000000"/>
          <w:sz w:val="18"/>
          <w:szCs w:val="18"/>
        </w:rPr>
        <w:t>日，本公司实缴出资</w:t>
      </w:r>
      <w:r w:rsidRPr="00D05A56">
        <w:rPr>
          <w:rFonts w:ascii="Times New Roman" w:hAnsi="Times New Roman" w:cs="Times New Roman"/>
          <w:color w:val="000000"/>
          <w:sz w:val="18"/>
          <w:szCs w:val="18"/>
        </w:rPr>
        <w:t>140,000,000.00</w:t>
      </w:r>
      <w:r w:rsidRPr="00D05A56">
        <w:rPr>
          <w:rFonts w:ascii="Times New Roman" w:hAnsi="Times New Roman" w:cs="Times New Roman"/>
          <w:color w:val="000000"/>
          <w:sz w:val="18"/>
          <w:szCs w:val="18"/>
        </w:rPr>
        <w:t>元，剩余</w:t>
      </w:r>
      <w:r w:rsidRPr="00D05A56">
        <w:rPr>
          <w:rFonts w:ascii="Times New Roman" w:hAnsi="Times New Roman" w:cs="Times New Roman"/>
          <w:color w:val="000000"/>
          <w:sz w:val="18"/>
          <w:szCs w:val="18"/>
        </w:rPr>
        <w:t>60,000,000.00</w:t>
      </w:r>
      <w:r w:rsidRPr="00D05A56">
        <w:rPr>
          <w:rFonts w:ascii="Times New Roman" w:hAnsi="Times New Roman" w:cs="Times New Roman"/>
          <w:color w:val="000000"/>
          <w:sz w:val="18"/>
          <w:szCs w:val="18"/>
        </w:rPr>
        <w:t>元尚未出资。</w:t>
      </w:r>
    </w:p>
    <w:p w14:paraId="7CD03448" w14:textId="77777777" w:rsidR="00AF139E" w:rsidRPr="00D05A56" w:rsidRDefault="00000000" w:rsidP="00D05A56">
      <w:pPr>
        <w:pStyle w:val="a3"/>
        <w:spacing w:before="0" w:beforeAutospacing="0" w:after="0" w:afterAutospacing="0" w:line="276" w:lineRule="auto"/>
        <w:ind w:firstLineChars="200" w:firstLine="360"/>
        <w:jc w:val="both"/>
        <w:divId w:val="632642271"/>
        <w:rPr>
          <w:rFonts w:ascii="Times New Roman" w:hAnsi="Times New Roman" w:cs="Times New Roman"/>
          <w:color w:val="000000"/>
          <w:sz w:val="18"/>
          <w:szCs w:val="18"/>
        </w:rPr>
      </w:pPr>
      <w:r w:rsidRPr="00D05A56">
        <w:rPr>
          <w:rFonts w:ascii="Times New Roman" w:hAnsi="Times New Roman" w:cs="Times New Roman"/>
          <w:color w:val="000000"/>
          <w:sz w:val="18"/>
          <w:szCs w:val="18"/>
        </w:rPr>
        <w:t>（</w:t>
      </w:r>
      <w:r w:rsidRPr="00D05A56">
        <w:rPr>
          <w:rFonts w:ascii="Times New Roman" w:hAnsi="Times New Roman" w:cs="Times New Roman"/>
          <w:color w:val="000000"/>
          <w:sz w:val="18"/>
          <w:szCs w:val="18"/>
        </w:rPr>
        <w:t>2</w:t>
      </w:r>
      <w:r w:rsidRPr="00D05A56">
        <w:rPr>
          <w:rFonts w:ascii="Times New Roman" w:hAnsi="Times New Roman" w:cs="Times New Roman"/>
          <w:color w:val="000000"/>
          <w:sz w:val="18"/>
          <w:szCs w:val="18"/>
        </w:rPr>
        <w:t>）本公司于</w:t>
      </w:r>
      <w:r w:rsidRPr="00D05A56">
        <w:rPr>
          <w:rFonts w:ascii="Times New Roman" w:hAnsi="Times New Roman" w:cs="Times New Roman"/>
          <w:color w:val="000000"/>
          <w:sz w:val="18"/>
          <w:szCs w:val="18"/>
        </w:rPr>
        <w:t>2023</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3</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15</w:t>
      </w:r>
      <w:r w:rsidRPr="00D05A56">
        <w:rPr>
          <w:rFonts w:ascii="Times New Roman" w:hAnsi="Times New Roman" w:cs="Times New Roman"/>
          <w:color w:val="000000"/>
          <w:sz w:val="18"/>
          <w:szCs w:val="18"/>
        </w:rPr>
        <w:t>日设立全资子公司龙大美食（北京）食品科技有限公司注册资本为</w:t>
      </w:r>
      <w:r w:rsidRPr="00D05A56">
        <w:rPr>
          <w:rFonts w:ascii="Times New Roman" w:hAnsi="Times New Roman" w:cs="Times New Roman"/>
          <w:color w:val="000000"/>
          <w:sz w:val="18"/>
          <w:szCs w:val="18"/>
        </w:rPr>
        <w:t>500</w:t>
      </w:r>
      <w:r w:rsidRPr="00D05A56">
        <w:rPr>
          <w:rFonts w:ascii="Times New Roman" w:hAnsi="Times New Roman" w:cs="Times New Roman"/>
          <w:color w:val="000000"/>
          <w:sz w:val="18"/>
          <w:szCs w:val="18"/>
        </w:rPr>
        <w:t>万元，章程约定出资时间为</w:t>
      </w:r>
      <w:r w:rsidRPr="00D05A56">
        <w:rPr>
          <w:rFonts w:ascii="Times New Roman" w:hAnsi="Times New Roman" w:cs="Times New Roman"/>
          <w:color w:val="000000"/>
          <w:sz w:val="18"/>
          <w:szCs w:val="18"/>
        </w:rPr>
        <w:t>2033</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3</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13</w:t>
      </w:r>
      <w:r w:rsidRPr="00D05A56">
        <w:rPr>
          <w:rFonts w:ascii="Times New Roman" w:hAnsi="Times New Roman" w:cs="Times New Roman"/>
          <w:color w:val="000000"/>
          <w:sz w:val="18"/>
          <w:szCs w:val="18"/>
        </w:rPr>
        <w:t>日前。</w:t>
      </w:r>
    </w:p>
    <w:p w14:paraId="5A729FAC" w14:textId="77777777" w:rsidR="00AF139E" w:rsidRPr="00D05A56" w:rsidRDefault="00000000" w:rsidP="00D05A56">
      <w:pPr>
        <w:pStyle w:val="a3"/>
        <w:spacing w:before="0" w:beforeAutospacing="0" w:after="0" w:afterAutospacing="0" w:line="276" w:lineRule="auto"/>
        <w:ind w:firstLineChars="200" w:firstLine="360"/>
        <w:jc w:val="both"/>
        <w:divId w:val="632642271"/>
        <w:rPr>
          <w:rFonts w:ascii="Times New Roman" w:hAnsi="Times New Roman" w:cs="Times New Roman"/>
          <w:color w:val="000000"/>
          <w:sz w:val="18"/>
          <w:szCs w:val="18"/>
        </w:rPr>
      </w:pPr>
      <w:r w:rsidRPr="00D05A56">
        <w:rPr>
          <w:rFonts w:ascii="Times New Roman" w:hAnsi="Times New Roman" w:cs="Times New Roman"/>
          <w:color w:val="000000"/>
          <w:sz w:val="18"/>
          <w:szCs w:val="18"/>
        </w:rPr>
        <w:t>截至</w:t>
      </w:r>
      <w:r w:rsidRPr="00D05A56">
        <w:rPr>
          <w:rFonts w:ascii="Times New Roman" w:hAnsi="Times New Roman" w:cs="Times New Roman"/>
          <w:color w:val="000000"/>
          <w:sz w:val="18"/>
          <w:szCs w:val="18"/>
        </w:rPr>
        <w:t>2024</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12</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31</w:t>
      </w:r>
      <w:r w:rsidRPr="00D05A56">
        <w:rPr>
          <w:rFonts w:ascii="Times New Roman" w:hAnsi="Times New Roman" w:cs="Times New Roman"/>
          <w:color w:val="000000"/>
          <w:sz w:val="18"/>
          <w:szCs w:val="18"/>
        </w:rPr>
        <w:t>日，本公司实缴出资</w:t>
      </w:r>
      <w:r w:rsidRPr="00D05A56">
        <w:rPr>
          <w:rFonts w:ascii="Times New Roman" w:hAnsi="Times New Roman" w:cs="Times New Roman"/>
          <w:color w:val="000000"/>
          <w:sz w:val="18"/>
          <w:szCs w:val="18"/>
        </w:rPr>
        <w:t>0</w:t>
      </w:r>
      <w:r w:rsidRPr="00D05A56">
        <w:rPr>
          <w:rFonts w:ascii="Times New Roman" w:hAnsi="Times New Roman" w:cs="Times New Roman"/>
          <w:color w:val="000000"/>
          <w:sz w:val="18"/>
          <w:szCs w:val="18"/>
        </w:rPr>
        <w:t>元，剩余</w:t>
      </w:r>
      <w:r w:rsidRPr="00D05A56">
        <w:rPr>
          <w:rFonts w:ascii="Times New Roman" w:hAnsi="Times New Roman" w:cs="Times New Roman"/>
          <w:color w:val="000000"/>
          <w:sz w:val="18"/>
          <w:szCs w:val="18"/>
        </w:rPr>
        <w:t>500</w:t>
      </w:r>
      <w:r w:rsidRPr="00D05A56">
        <w:rPr>
          <w:rFonts w:ascii="Times New Roman" w:hAnsi="Times New Roman" w:cs="Times New Roman"/>
          <w:color w:val="000000"/>
          <w:sz w:val="18"/>
          <w:szCs w:val="18"/>
        </w:rPr>
        <w:t>万元尚未出资。</w:t>
      </w:r>
    </w:p>
    <w:p w14:paraId="7A646A83" w14:textId="77777777" w:rsidR="00AF139E" w:rsidRPr="00D05A56" w:rsidRDefault="00000000" w:rsidP="00D05A56">
      <w:pPr>
        <w:pStyle w:val="a3"/>
        <w:spacing w:before="0" w:beforeAutospacing="0" w:after="0" w:afterAutospacing="0" w:line="276" w:lineRule="auto"/>
        <w:ind w:firstLineChars="200" w:firstLine="360"/>
        <w:jc w:val="both"/>
        <w:divId w:val="632642271"/>
        <w:rPr>
          <w:rFonts w:ascii="Times New Roman" w:hAnsi="Times New Roman" w:cs="Times New Roman"/>
          <w:color w:val="000000"/>
          <w:sz w:val="18"/>
          <w:szCs w:val="18"/>
        </w:rPr>
      </w:pPr>
      <w:r w:rsidRPr="00D05A56">
        <w:rPr>
          <w:rFonts w:ascii="Times New Roman" w:hAnsi="Times New Roman" w:cs="Times New Roman"/>
          <w:color w:val="000000"/>
          <w:sz w:val="18"/>
          <w:szCs w:val="18"/>
        </w:rPr>
        <w:t>（</w:t>
      </w:r>
      <w:r w:rsidRPr="00D05A56">
        <w:rPr>
          <w:rFonts w:ascii="Times New Roman" w:hAnsi="Times New Roman" w:cs="Times New Roman"/>
          <w:color w:val="000000"/>
          <w:sz w:val="18"/>
          <w:szCs w:val="18"/>
        </w:rPr>
        <w:t>3</w:t>
      </w:r>
      <w:r w:rsidRPr="00D05A56">
        <w:rPr>
          <w:rFonts w:ascii="Times New Roman" w:hAnsi="Times New Roman" w:cs="Times New Roman"/>
          <w:color w:val="000000"/>
          <w:sz w:val="18"/>
          <w:szCs w:val="18"/>
        </w:rPr>
        <w:t>）本公司于</w:t>
      </w:r>
      <w:r w:rsidRPr="00D05A56">
        <w:rPr>
          <w:rFonts w:ascii="Times New Roman" w:hAnsi="Times New Roman" w:cs="Times New Roman"/>
          <w:color w:val="000000"/>
          <w:sz w:val="18"/>
          <w:szCs w:val="18"/>
        </w:rPr>
        <w:t>2023</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3</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28</w:t>
      </w:r>
      <w:r w:rsidRPr="00D05A56">
        <w:rPr>
          <w:rFonts w:ascii="Times New Roman" w:hAnsi="Times New Roman" w:cs="Times New Roman"/>
          <w:color w:val="000000"/>
          <w:sz w:val="18"/>
          <w:szCs w:val="18"/>
        </w:rPr>
        <w:t>日设立全资子公司龙大美食（上海）食品科技有限公司注册资本为</w:t>
      </w:r>
      <w:r w:rsidRPr="00D05A56">
        <w:rPr>
          <w:rFonts w:ascii="Times New Roman" w:hAnsi="Times New Roman" w:cs="Times New Roman"/>
          <w:color w:val="000000"/>
          <w:sz w:val="18"/>
          <w:szCs w:val="18"/>
        </w:rPr>
        <w:t>500</w:t>
      </w:r>
      <w:r w:rsidRPr="00D05A56">
        <w:rPr>
          <w:rFonts w:ascii="Times New Roman" w:hAnsi="Times New Roman" w:cs="Times New Roman"/>
          <w:color w:val="000000"/>
          <w:sz w:val="18"/>
          <w:szCs w:val="18"/>
        </w:rPr>
        <w:t>万元，章程约定出资时间为</w:t>
      </w:r>
      <w:r w:rsidRPr="00D05A56">
        <w:rPr>
          <w:rFonts w:ascii="Times New Roman" w:hAnsi="Times New Roman" w:cs="Times New Roman"/>
          <w:color w:val="000000"/>
          <w:sz w:val="18"/>
          <w:szCs w:val="18"/>
        </w:rPr>
        <w:t>2043</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3</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10</w:t>
      </w:r>
      <w:r w:rsidRPr="00D05A56">
        <w:rPr>
          <w:rFonts w:ascii="Times New Roman" w:hAnsi="Times New Roman" w:cs="Times New Roman"/>
          <w:color w:val="000000"/>
          <w:sz w:val="18"/>
          <w:szCs w:val="18"/>
        </w:rPr>
        <w:t>日前。</w:t>
      </w:r>
    </w:p>
    <w:p w14:paraId="79572C68" w14:textId="77777777" w:rsidR="00AF139E" w:rsidRPr="00D05A56" w:rsidRDefault="00000000" w:rsidP="00D05A56">
      <w:pPr>
        <w:pStyle w:val="a3"/>
        <w:spacing w:before="0" w:beforeAutospacing="0" w:after="0" w:afterAutospacing="0" w:line="276" w:lineRule="auto"/>
        <w:ind w:firstLineChars="200" w:firstLine="360"/>
        <w:jc w:val="both"/>
        <w:divId w:val="632642271"/>
        <w:rPr>
          <w:rFonts w:ascii="Times New Roman" w:hAnsi="Times New Roman" w:cs="Times New Roman"/>
          <w:color w:val="000000"/>
          <w:sz w:val="18"/>
          <w:szCs w:val="18"/>
        </w:rPr>
      </w:pPr>
      <w:r w:rsidRPr="00D05A56">
        <w:rPr>
          <w:rFonts w:ascii="Times New Roman" w:hAnsi="Times New Roman" w:cs="Times New Roman"/>
          <w:color w:val="000000"/>
          <w:sz w:val="18"/>
          <w:szCs w:val="18"/>
        </w:rPr>
        <w:t>截至</w:t>
      </w:r>
      <w:r w:rsidRPr="00D05A56">
        <w:rPr>
          <w:rFonts w:ascii="Times New Roman" w:hAnsi="Times New Roman" w:cs="Times New Roman"/>
          <w:color w:val="000000"/>
          <w:sz w:val="18"/>
          <w:szCs w:val="18"/>
        </w:rPr>
        <w:t>2024</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12</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31</w:t>
      </w:r>
      <w:r w:rsidRPr="00D05A56">
        <w:rPr>
          <w:rFonts w:ascii="Times New Roman" w:hAnsi="Times New Roman" w:cs="Times New Roman"/>
          <w:color w:val="000000"/>
          <w:sz w:val="18"/>
          <w:szCs w:val="18"/>
        </w:rPr>
        <w:t>日，本公司实缴出资</w:t>
      </w:r>
      <w:r w:rsidRPr="00D05A56">
        <w:rPr>
          <w:rFonts w:ascii="Times New Roman" w:hAnsi="Times New Roman" w:cs="Times New Roman"/>
          <w:color w:val="000000"/>
          <w:sz w:val="18"/>
          <w:szCs w:val="18"/>
        </w:rPr>
        <w:t>0</w:t>
      </w:r>
      <w:r w:rsidRPr="00D05A56">
        <w:rPr>
          <w:rFonts w:ascii="Times New Roman" w:hAnsi="Times New Roman" w:cs="Times New Roman"/>
          <w:color w:val="000000"/>
          <w:sz w:val="18"/>
          <w:szCs w:val="18"/>
        </w:rPr>
        <w:t>元，剩余</w:t>
      </w:r>
      <w:r w:rsidRPr="00D05A56">
        <w:rPr>
          <w:rFonts w:ascii="Times New Roman" w:hAnsi="Times New Roman" w:cs="Times New Roman"/>
          <w:color w:val="000000"/>
          <w:sz w:val="18"/>
          <w:szCs w:val="18"/>
        </w:rPr>
        <w:t>500</w:t>
      </w:r>
      <w:r w:rsidRPr="00D05A56">
        <w:rPr>
          <w:rFonts w:ascii="Times New Roman" w:hAnsi="Times New Roman" w:cs="Times New Roman"/>
          <w:color w:val="000000"/>
          <w:sz w:val="18"/>
          <w:szCs w:val="18"/>
        </w:rPr>
        <w:t>万元尚未出资。</w:t>
      </w:r>
    </w:p>
    <w:p w14:paraId="204F85B3" w14:textId="77777777" w:rsidR="00E32FE0" w:rsidRPr="005B5EC1" w:rsidRDefault="00000000">
      <w:pPr>
        <w:pStyle w:val="3"/>
        <w:spacing w:line="280" w:lineRule="exact"/>
        <w:jc w:val="left"/>
        <w:rPr>
          <w:rFonts w:ascii="Times New Roman" w:hAnsi="Times New Roman" w:cs="Times New Roman"/>
          <w:b/>
          <w:bCs/>
        </w:rPr>
      </w:pPr>
      <w:bookmarkStart w:id="497" w:name="_Toc989444"/>
      <w:r w:rsidRPr="005B5EC1">
        <w:rPr>
          <w:rFonts w:ascii="Times New Roman" w:hAnsi="Times New Roman" w:cs="Times New Roman"/>
          <w:b/>
          <w:bCs/>
        </w:rPr>
        <w:t>2</w:t>
      </w:r>
      <w:r w:rsidRPr="005B5EC1">
        <w:rPr>
          <w:rFonts w:ascii="Times New Roman" w:hAnsi="Times New Roman" w:cs="Times New Roman"/>
          <w:b/>
          <w:bCs/>
        </w:rPr>
        <w:t>、或有事项</w:t>
      </w:r>
      <w:bookmarkEnd w:id="497"/>
    </w:p>
    <w:p w14:paraId="25C8D781"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98" w:name="_Toc98944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资产负债表</w:t>
      </w:r>
      <w:proofErr w:type="gramStart"/>
      <w:r w:rsidRPr="005B5EC1">
        <w:rPr>
          <w:rFonts w:ascii="Times New Roman" w:eastAsia="宋体" w:hAnsi="Times New Roman" w:cs="Times New Roman"/>
          <w:b/>
          <w:bCs/>
          <w:sz w:val="21"/>
          <w:szCs w:val="21"/>
        </w:rPr>
        <w:t>日存在</w:t>
      </w:r>
      <w:proofErr w:type="gramEnd"/>
      <w:r w:rsidRPr="005B5EC1">
        <w:rPr>
          <w:rFonts w:ascii="Times New Roman" w:eastAsia="宋体" w:hAnsi="Times New Roman" w:cs="Times New Roman"/>
          <w:b/>
          <w:bCs/>
          <w:sz w:val="21"/>
          <w:szCs w:val="21"/>
        </w:rPr>
        <w:t>的重要或有事项</w:t>
      </w:r>
      <w:bookmarkEnd w:id="498"/>
    </w:p>
    <w:p w14:paraId="25004189" w14:textId="77777777" w:rsidR="00AF139E" w:rsidRPr="005B5EC1" w:rsidRDefault="00000000">
      <w:pPr>
        <w:pStyle w:val="a3"/>
        <w:divId w:val="1259369689"/>
        <w:rPr>
          <w:rFonts w:ascii="Times New Roman" w:hAnsi="Times New Roman" w:cs="Times New Roman"/>
          <w:sz w:val="18"/>
          <w:szCs w:val="18"/>
        </w:rPr>
      </w:pPr>
      <w:r w:rsidRPr="005B5EC1">
        <w:rPr>
          <w:rFonts w:ascii="Times New Roman" w:hAnsi="Times New Roman" w:cs="Times New Roman"/>
          <w:sz w:val="18"/>
          <w:szCs w:val="18"/>
        </w:rPr>
        <w:t>无</w:t>
      </w:r>
    </w:p>
    <w:p w14:paraId="15DEFE29"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499" w:name="_Toc98944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公司没有需要披露的重要或有事项，也应予以说明</w:t>
      </w:r>
      <w:bookmarkEnd w:id="499"/>
    </w:p>
    <w:p w14:paraId="26C9391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公司不存在需要披露的重要或有事项。</w:t>
      </w:r>
    </w:p>
    <w:p w14:paraId="10A12604" w14:textId="77777777" w:rsidR="00E32FE0" w:rsidRPr="005B5EC1" w:rsidRDefault="00000000">
      <w:pPr>
        <w:pStyle w:val="3"/>
        <w:spacing w:line="280" w:lineRule="exact"/>
        <w:jc w:val="left"/>
        <w:rPr>
          <w:rFonts w:ascii="Times New Roman" w:hAnsi="Times New Roman" w:cs="Times New Roman"/>
          <w:b/>
          <w:bCs/>
        </w:rPr>
      </w:pPr>
      <w:bookmarkStart w:id="500" w:name="_Toc989447"/>
      <w:r w:rsidRPr="005B5EC1">
        <w:rPr>
          <w:rFonts w:ascii="Times New Roman" w:hAnsi="Times New Roman" w:cs="Times New Roman"/>
          <w:b/>
          <w:bCs/>
        </w:rPr>
        <w:t>3</w:t>
      </w:r>
      <w:r w:rsidRPr="005B5EC1">
        <w:rPr>
          <w:rFonts w:ascii="Times New Roman" w:hAnsi="Times New Roman" w:cs="Times New Roman"/>
          <w:b/>
          <w:bCs/>
        </w:rPr>
        <w:t>、其他</w:t>
      </w:r>
      <w:bookmarkEnd w:id="500"/>
    </w:p>
    <w:p w14:paraId="113C336F" w14:textId="77777777" w:rsidR="00AF139E" w:rsidRPr="005B5EC1" w:rsidRDefault="00000000">
      <w:pPr>
        <w:pStyle w:val="a3"/>
        <w:divId w:val="1335182610"/>
        <w:rPr>
          <w:rFonts w:ascii="Times New Roman" w:hAnsi="Times New Roman" w:cs="Times New Roman"/>
          <w:sz w:val="18"/>
          <w:szCs w:val="18"/>
        </w:rPr>
      </w:pPr>
      <w:r w:rsidRPr="005B5EC1">
        <w:rPr>
          <w:rFonts w:ascii="Times New Roman" w:hAnsi="Times New Roman" w:cs="Times New Roman"/>
          <w:sz w:val="18"/>
          <w:szCs w:val="18"/>
        </w:rPr>
        <w:t>无</w:t>
      </w:r>
    </w:p>
    <w:p w14:paraId="4D8DE3D8"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01" w:name="_Toc989448"/>
      <w:r w:rsidRPr="005B5EC1">
        <w:rPr>
          <w:rFonts w:ascii="Times New Roman" w:eastAsia="宋体" w:hAnsi="Times New Roman" w:cs="Times New Roman"/>
          <w:b/>
          <w:bCs/>
          <w:sz w:val="24"/>
          <w:szCs w:val="24"/>
        </w:rPr>
        <w:lastRenderedPageBreak/>
        <w:t>十七、资产负债表日后事项</w:t>
      </w:r>
      <w:bookmarkEnd w:id="501"/>
    </w:p>
    <w:p w14:paraId="576AA9FD" w14:textId="77777777" w:rsidR="00E32FE0" w:rsidRPr="005B5EC1" w:rsidRDefault="00000000">
      <w:pPr>
        <w:pStyle w:val="3"/>
        <w:spacing w:line="280" w:lineRule="exact"/>
        <w:jc w:val="left"/>
        <w:rPr>
          <w:rFonts w:ascii="Times New Roman" w:hAnsi="Times New Roman" w:cs="Times New Roman"/>
          <w:b/>
          <w:bCs/>
        </w:rPr>
      </w:pPr>
      <w:bookmarkStart w:id="502" w:name="_Toc989449"/>
      <w:r w:rsidRPr="005B5EC1">
        <w:rPr>
          <w:rFonts w:ascii="Times New Roman" w:hAnsi="Times New Roman" w:cs="Times New Roman"/>
          <w:b/>
          <w:bCs/>
        </w:rPr>
        <w:t>1</w:t>
      </w:r>
      <w:r w:rsidRPr="005B5EC1">
        <w:rPr>
          <w:rFonts w:ascii="Times New Roman" w:hAnsi="Times New Roman" w:cs="Times New Roman"/>
          <w:b/>
          <w:bCs/>
        </w:rPr>
        <w:t>、重要的非调整事项</w:t>
      </w:r>
      <w:bookmarkEnd w:id="502"/>
    </w:p>
    <w:p w14:paraId="51349373" w14:textId="77777777" w:rsidR="00A12739" w:rsidRPr="005B5EC1" w:rsidRDefault="00A12739" w:rsidP="00A12739">
      <w:pPr>
        <w:pStyle w:val="a3"/>
        <w:rPr>
          <w:rFonts w:ascii="Times New Roman" w:hAnsi="Times New Roman" w:cs="Times New Roman"/>
          <w:sz w:val="18"/>
          <w:szCs w:val="18"/>
        </w:rPr>
      </w:pPr>
      <w:bookmarkStart w:id="503" w:name="_Toc989450"/>
      <w:r w:rsidRPr="005B5EC1">
        <w:rPr>
          <w:rFonts w:ascii="Times New Roman" w:hAnsi="Times New Roman" w:cs="Times New Roman"/>
          <w:sz w:val="18"/>
          <w:szCs w:val="18"/>
        </w:rPr>
        <w:t>无</w:t>
      </w:r>
    </w:p>
    <w:p w14:paraId="723D4A8C" w14:textId="026AD8A8" w:rsidR="00E32FE0" w:rsidRDefault="00000000">
      <w:pPr>
        <w:pStyle w:val="3"/>
        <w:numPr>
          <w:ilvl w:val="0"/>
          <w:numId w:val="2"/>
        </w:numPr>
        <w:spacing w:line="280" w:lineRule="exact"/>
        <w:jc w:val="left"/>
        <w:rPr>
          <w:rFonts w:ascii="Times New Roman" w:hAnsi="Times New Roman" w:cs="Times New Roman"/>
          <w:b/>
          <w:bCs/>
        </w:rPr>
      </w:pPr>
      <w:r w:rsidRPr="005B5EC1">
        <w:rPr>
          <w:rFonts w:ascii="Times New Roman" w:hAnsi="Times New Roman" w:cs="Times New Roman"/>
          <w:b/>
          <w:bCs/>
        </w:rPr>
        <w:t>利润分配情况</w:t>
      </w:r>
      <w:bookmarkEnd w:id="503"/>
    </w:p>
    <w:p w14:paraId="70CCFD30" w14:textId="77777777" w:rsidR="00A12739" w:rsidRPr="005B5EC1" w:rsidRDefault="00A12739" w:rsidP="00A12739">
      <w:pPr>
        <w:pStyle w:val="a3"/>
        <w:ind w:left="360"/>
        <w:rPr>
          <w:rFonts w:ascii="Times New Roman" w:hAnsi="Times New Roman" w:cs="Times New Roman"/>
          <w:sz w:val="18"/>
          <w:szCs w:val="18"/>
        </w:rPr>
      </w:pPr>
      <w:r w:rsidRPr="005B5EC1">
        <w:rPr>
          <w:rFonts w:ascii="Times New Roman" w:hAnsi="Times New Roman" w:cs="Times New Roman"/>
          <w:sz w:val="18"/>
          <w:szCs w:val="18"/>
        </w:rPr>
        <w:t>无</w:t>
      </w:r>
    </w:p>
    <w:p w14:paraId="3461C8D5" w14:textId="77777777" w:rsidR="00E32FE0" w:rsidRPr="005B5EC1" w:rsidRDefault="00000000">
      <w:pPr>
        <w:pStyle w:val="3"/>
        <w:spacing w:line="280" w:lineRule="exact"/>
        <w:jc w:val="left"/>
        <w:rPr>
          <w:rFonts w:ascii="Times New Roman" w:hAnsi="Times New Roman" w:cs="Times New Roman"/>
          <w:b/>
          <w:bCs/>
        </w:rPr>
      </w:pPr>
      <w:bookmarkStart w:id="504" w:name="_Toc989451"/>
      <w:r w:rsidRPr="005B5EC1">
        <w:rPr>
          <w:rFonts w:ascii="Times New Roman" w:hAnsi="Times New Roman" w:cs="Times New Roman"/>
          <w:b/>
          <w:bCs/>
        </w:rPr>
        <w:t>3</w:t>
      </w:r>
      <w:r w:rsidRPr="005B5EC1">
        <w:rPr>
          <w:rFonts w:ascii="Times New Roman" w:hAnsi="Times New Roman" w:cs="Times New Roman"/>
          <w:b/>
          <w:bCs/>
        </w:rPr>
        <w:t>、销售退回</w:t>
      </w:r>
      <w:bookmarkEnd w:id="504"/>
    </w:p>
    <w:p w14:paraId="2662637B" w14:textId="77777777" w:rsidR="00AF139E" w:rsidRPr="005B5EC1" w:rsidRDefault="00000000">
      <w:pPr>
        <w:pStyle w:val="a3"/>
        <w:divId w:val="1432163475"/>
        <w:rPr>
          <w:rFonts w:ascii="Times New Roman" w:hAnsi="Times New Roman" w:cs="Times New Roman"/>
          <w:sz w:val="18"/>
          <w:szCs w:val="18"/>
        </w:rPr>
      </w:pPr>
      <w:r w:rsidRPr="005B5EC1">
        <w:rPr>
          <w:rFonts w:ascii="Times New Roman" w:hAnsi="Times New Roman" w:cs="Times New Roman"/>
          <w:sz w:val="18"/>
          <w:szCs w:val="18"/>
        </w:rPr>
        <w:t>无</w:t>
      </w:r>
    </w:p>
    <w:p w14:paraId="278F1FD4" w14:textId="77777777" w:rsidR="00E32FE0" w:rsidRPr="005B5EC1" w:rsidRDefault="00000000">
      <w:pPr>
        <w:pStyle w:val="3"/>
        <w:spacing w:line="280" w:lineRule="exact"/>
        <w:jc w:val="left"/>
        <w:rPr>
          <w:rFonts w:ascii="Times New Roman" w:hAnsi="Times New Roman" w:cs="Times New Roman"/>
          <w:b/>
          <w:bCs/>
        </w:rPr>
      </w:pPr>
      <w:bookmarkStart w:id="505" w:name="_Toc989452"/>
      <w:r w:rsidRPr="005B5EC1">
        <w:rPr>
          <w:rFonts w:ascii="Times New Roman" w:hAnsi="Times New Roman" w:cs="Times New Roman"/>
          <w:b/>
          <w:bCs/>
        </w:rPr>
        <w:t>4</w:t>
      </w:r>
      <w:r w:rsidRPr="005B5EC1">
        <w:rPr>
          <w:rFonts w:ascii="Times New Roman" w:hAnsi="Times New Roman" w:cs="Times New Roman"/>
          <w:b/>
          <w:bCs/>
        </w:rPr>
        <w:t>、其他资产负债表日后事项说明</w:t>
      </w:r>
      <w:bookmarkEnd w:id="505"/>
    </w:p>
    <w:p w14:paraId="38C4E00F" w14:textId="6784F927" w:rsidR="00AF139E" w:rsidRPr="00D05A56" w:rsidRDefault="00000000" w:rsidP="00D05A56">
      <w:pPr>
        <w:pStyle w:val="a3"/>
        <w:spacing w:before="0" w:beforeAutospacing="0" w:after="0" w:afterAutospacing="0" w:line="276" w:lineRule="auto"/>
        <w:ind w:firstLineChars="200" w:firstLine="360"/>
        <w:jc w:val="both"/>
        <w:divId w:val="366486566"/>
        <w:rPr>
          <w:rFonts w:ascii="Times New Roman" w:hAnsi="Times New Roman" w:cs="Times New Roman"/>
          <w:color w:val="000000"/>
          <w:sz w:val="18"/>
          <w:szCs w:val="18"/>
        </w:rPr>
      </w:pPr>
      <w:bookmarkStart w:id="506" w:name="OLE_LINK1"/>
      <w:r w:rsidRPr="00D05A56">
        <w:rPr>
          <w:rFonts w:ascii="Times New Roman" w:hAnsi="Times New Roman" w:cs="Times New Roman"/>
          <w:color w:val="000000"/>
          <w:sz w:val="18"/>
          <w:szCs w:val="18"/>
        </w:rPr>
        <w:t>2025</w:t>
      </w:r>
      <w:r w:rsidRPr="00D05A56">
        <w:rPr>
          <w:rFonts w:ascii="Times New Roman" w:hAnsi="Times New Roman" w:cs="Times New Roman"/>
          <w:color w:val="000000"/>
          <w:sz w:val="18"/>
          <w:szCs w:val="18"/>
        </w:rPr>
        <w:t>年</w:t>
      </w:r>
      <w:r w:rsidRPr="00D05A56">
        <w:rPr>
          <w:rFonts w:ascii="Times New Roman" w:hAnsi="Times New Roman" w:cs="Times New Roman"/>
          <w:color w:val="000000"/>
          <w:sz w:val="18"/>
          <w:szCs w:val="18"/>
        </w:rPr>
        <w:t>3</w:t>
      </w:r>
      <w:r w:rsidRPr="00D05A56">
        <w:rPr>
          <w:rFonts w:ascii="Times New Roman" w:hAnsi="Times New Roman" w:cs="Times New Roman"/>
          <w:color w:val="000000"/>
          <w:sz w:val="18"/>
          <w:szCs w:val="18"/>
        </w:rPr>
        <w:t>月</w:t>
      </w:r>
      <w:r w:rsidRPr="00D05A56">
        <w:rPr>
          <w:rFonts w:ascii="Times New Roman" w:hAnsi="Times New Roman" w:cs="Times New Roman"/>
          <w:color w:val="000000"/>
          <w:sz w:val="18"/>
          <w:szCs w:val="18"/>
        </w:rPr>
        <w:t>24</w:t>
      </w:r>
      <w:r w:rsidRPr="00D05A56">
        <w:rPr>
          <w:rFonts w:ascii="Times New Roman" w:hAnsi="Times New Roman" w:cs="Times New Roman"/>
          <w:color w:val="000000"/>
          <w:sz w:val="18"/>
          <w:szCs w:val="18"/>
        </w:rPr>
        <w:t>日，本公司与四川圣翔农业发展集团有限公司签署股权转让协议之补充协议，四川圣翔农业发展集团有限公司同意提前支付剩余合同价款，同意将原交易总价款从</w:t>
      </w:r>
      <w:r w:rsidRPr="00D05A56">
        <w:rPr>
          <w:rFonts w:ascii="Times New Roman" w:hAnsi="Times New Roman" w:cs="Times New Roman"/>
          <w:color w:val="000000"/>
          <w:sz w:val="18"/>
          <w:szCs w:val="18"/>
        </w:rPr>
        <w:t>8,000</w:t>
      </w:r>
      <w:r w:rsidRPr="00D05A56">
        <w:rPr>
          <w:rFonts w:ascii="Times New Roman" w:hAnsi="Times New Roman" w:cs="Times New Roman"/>
          <w:color w:val="000000"/>
          <w:sz w:val="18"/>
          <w:szCs w:val="18"/>
        </w:rPr>
        <w:t>万元</w:t>
      </w:r>
      <w:r w:rsidR="00E60943">
        <w:rPr>
          <w:rFonts w:ascii="Times New Roman" w:hAnsi="Times New Roman" w:cs="Times New Roman" w:hint="eastAsia"/>
          <w:color w:val="000000"/>
          <w:sz w:val="18"/>
          <w:szCs w:val="18"/>
        </w:rPr>
        <w:t>调整</w:t>
      </w:r>
      <w:r w:rsidRPr="00D05A56">
        <w:rPr>
          <w:rFonts w:ascii="Times New Roman" w:hAnsi="Times New Roman" w:cs="Times New Roman"/>
          <w:color w:val="000000"/>
          <w:sz w:val="18"/>
          <w:szCs w:val="18"/>
        </w:rPr>
        <w:t>至</w:t>
      </w:r>
      <w:r w:rsidRPr="00D05A56">
        <w:rPr>
          <w:rFonts w:ascii="Times New Roman" w:hAnsi="Times New Roman" w:cs="Times New Roman"/>
          <w:color w:val="000000"/>
          <w:sz w:val="18"/>
          <w:szCs w:val="18"/>
        </w:rPr>
        <w:t>7,920</w:t>
      </w:r>
      <w:r w:rsidRPr="00D05A56">
        <w:rPr>
          <w:rFonts w:ascii="Times New Roman" w:hAnsi="Times New Roman" w:cs="Times New Roman"/>
          <w:color w:val="000000"/>
          <w:sz w:val="18"/>
          <w:szCs w:val="18"/>
        </w:rPr>
        <w:t>万元以弥补超出原协议提前支付产生的资金占用损失。</w:t>
      </w:r>
    </w:p>
    <w:p w14:paraId="73D46355"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07" w:name="_Toc989453"/>
      <w:bookmarkEnd w:id="506"/>
      <w:r w:rsidRPr="005B5EC1">
        <w:rPr>
          <w:rFonts w:ascii="Times New Roman" w:eastAsia="宋体" w:hAnsi="Times New Roman" w:cs="Times New Roman"/>
          <w:b/>
          <w:bCs/>
          <w:sz w:val="24"/>
          <w:szCs w:val="24"/>
        </w:rPr>
        <w:t>十八、其他重要事项</w:t>
      </w:r>
      <w:bookmarkEnd w:id="507"/>
    </w:p>
    <w:p w14:paraId="418631FC" w14:textId="77777777" w:rsidR="00AF139E" w:rsidRPr="005B5EC1" w:rsidRDefault="00000000">
      <w:pPr>
        <w:pStyle w:val="a3"/>
        <w:divId w:val="631400955"/>
        <w:rPr>
          <w:rFonts w:ascii="Times New Roman" w:hAnsi="Times New Roman" w:cs="Times New Roman"/>
          <w:sz w:val="18"/>
          <w:szCs w:val="18"/>
        </w:rPr>
      </w:pPr>
      <w:r w:rsidRPr="005B5EC1">
        <w:rPr>
          <w:rFonts w:ascii="Times New Roman" w:hAnsi="Times New Roman" w:cs="Times New Roman"/>
          <w:sz w:val="18"/>
          <w:szCs w:val="18"/>
        </w:rPr>
        <w:t>无</w:t>
      </w:r>
    </w:p>
    <w:p w14:paraId="5438588D"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08" w:name="_Toc989470"/>
      <w:r w:rsidRPr="005B5EC1">
        <w:rPr>
          <w:rFonts w:ascii="Times New Roman" w:eastAsia="宋体" w:hAnsi="Times New Roman" w:cs="Times New Roman"/>
          <w:b/>
          <w:bCs/>
          <w:sz w:val="24"/>
          <w:szCs w:val="24"/>
        </w:rPr>
        <w:t>十九、母公司财务报表主要项目注释</w:t>
      </w:r>
      <w:bookmarkEnd w:id="508"/>
    </w:p>
    <w:p w14:paraId="10AA086B" w14:textId="77777777" w:rsidR="00E32FE0" w:rsidRPr="005B5EC1" w:rsidRDefault="00000000">
      <w:pPr>
        <w:pStyle w:val="3"/>
        <w:spacing w:line="280" w:lineRule="exact"/>
        <w:jc w:val="left"/>
        <w:rPr>
          <w:rFonts w:ascii="Times New Roman" w:hAnsi="Times New Roman" w:cs="Times New Roman"/>
          <w:b/>
          <w:bCs/>
        </w:rPr>
      </w:pPr>
      <w:bookmarkStart w:id="509" w:name="_Toc989471"/>
      <w:r w:rsidRPr="005B5EC1">
        <w:rPr>
          <w:rFonts w:ascii="Times New Roman" w:hAnsi="Times New Roman" w:cs="Times New Roman"/>
          <w:b/>
          <w:bCs/>
        </w:rPr>
        <w:t>1</w:t>
      </w:r>
      <w:r w:rsidRPr="005B5EC1">
        <w:rPr>
          <w:rFonts w:ascii="Times New Roman" w:hAnsi="Times New Roman" w:cs="Times New Roman"/>
          <w:b/>
          <w:bCs/>
        </w:rPr>
        <w:t>、应收账款</w:t>
      </w:r>
      <w:bookmarkEnd w:id="509"/>
    </w:p>
    <w:p w14:paraId="6611B9A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10" w:name="_Toc989472"/>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proofErr w:type="gramStart"/>
      <w:r w:rsidRPr="005B5EC1">
        <w:rPr>
          <w:rFonts w:ascii="Times New Roman" w:eastAsia="宋体" w:hAnsi="Times New Roman" w:cs="Times New Roman"/>
          <w:b/>
          <w:bCs/>
          <w:sz w:val="21"/>
          <w:szCs w:val="21"/>
        </w:rPr>
        <w:t>按账龄</w:t>
      </w:r>
      <w:proofErr w:type="gramEnd"/>
      <w:r w:rsidRPr="005B5EC1">
        <w:rPr>
          <w:rFonts w:ascii="Times New Roman" w:eastAsia="宋体" w:hAnsi="Times New Roman" w:cs="Times New Roman"/>
          <w:b/>
          <w:bCs/>
          <w:sz w:val="21"/>
          <w:szCs w:val="21"/>
        </w:rPr>
        <w:t>披露</w:t>
      </w:r>
      <w:bookmarkEnd w:id="510"/>
    </w:p>
    <w:p w14:paraId="510B174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6F52B0D3"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188C4B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6EEF2E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EA372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期初账面余额</w:t>
            </w:r>
          </w:p>
        </w:tc>
      </w:tr>
      <w:tr w:rsidR="00E32FE0" w:rsidRPr="005B5EC1" w14:paraId="5E994D72"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25690F4" w14:textId="77777777" w:rsidR="00E32FE0" w:rsidRPr="005B5EC1" w:rsidRDefault="00000000" w:rsidP="00D05A56">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年以内（含</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E03B5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381,346,298.26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F5DDA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416,341,029.75</w:t>
            </w:r>
          </w:p>
        </w:tc>
      </w:tr>
      <w:tr w:rsidR="00E32FE0" w:rsidRPr="005B5EC1" w14:paraId="026B2460"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A3CEB07" w14:textId="77777777" w:rsidR="00E32FE0" w:rsidRPr="005B5EC1" w:rsidRDefault="00000000" w:rsidP="00D05A56">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11328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320,469,396.60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4CB32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346,190,583.84</w:t>
            </w:r>
          </w:p>
        </w:tc>
      </w:tr>
      <w:tr w:rsidR="00E32FE0" w:rsidRPr="005B5EC1" w14:paraId="52D1C030"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35F336A" w14:textId="77777777" w:rsidR="00E32FE0" w:rsidRPr="005B5EC1" w:rsidRDefault="00000000" w:rsidP="00D05A56">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64460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36,749,977.97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83F63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50,308,236.62</w:t>
            </w:r>
          </w:p>
        </w:tc>
      </w:tr>
      <w:tr w:rsidR="00E32FE0" w:rsidRPr="005B5EC1" w14:paraId="42DB64C3"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3C6E041" w14:textId="77777777" w:rsidR="00E32FE0" w:rsidRPr="005B5EC1" w:rsidRDefault="00000000" w:rsidP="00D05A56">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7-9</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F96104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9,270,252.29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AFA64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14,546,491.13</w:t>
            </w:r>
          </w:p>
        </w:tc>
      </w:tr>
      <w:tr w:rsidR="00E32FE0" w:rsidRPr="005B5EC1" w14:paraId="2DA4A571"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5B563FA" w14:textId="77777777" w:rsidR="00E32FE0" w:rsidRPr="005B5EC1" w:rsidRDefault="00000000" w:rsidP="00D05A56">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10-12</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AC9778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14,856,671.40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FBBD9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5,295,718.16</w:t>
            </w:r>
          </w:p>
        </w:tc>
      </w:tr>
      <w:tr w:rsidR="00E32FE0" w:rsidRPr="005B5EC1" w14:paraId="34198043"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06BAF41" w14:textId="77777777" w:rsidR="00E32FE0" w:rsidRPr="005B5EC1" w:rsidRDefault="00000000" w:rsidP="00D05A56">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E2F03D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79,170,147.91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CB418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17,199,968.60</w:t>
            </w:r>
          </w:p>
        </w:tc>
      </w:tr>
      <w:tr w:rsidR="00E32FE0" w:rsidRPr="005B5EC1" w14:paraId="1471DE08"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15A5771" w14:textId="77777777" w:rsidR="00E32FE0" w:rsidRPr="005B5EC1" w:rsidRDefault="00000000" w:rsidP="00D05A56">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D960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9,942,626.65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B52D99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5,602,630.30</w:t>
            </w:r>
          </w:p>
        </w:tc>
      </w:tr>
      <w:tr w:rsidR="00E32FE0" w:rsidRPr="005B5EC1" w14:paraId="07DBC241"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F5F9585" w14:textId="77777777" w:rsidR="00E32FE0" w:rsidRPr="005B5EC1" w:rsidRDefault="00000000" w:rsidP="00D05A56">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0F80D7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21,410.80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72A96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6,610,579.61</w:t>
            </w:r>
          </w:p>
        </w:tc>
      </w:tr>
      <w:tr w:rsidR="00E32FE0" w:rsidRPr="005B5EC1" w14:paraId="21915824"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4B7FBBA" w14:textId="77777777" w:rsidR="00E32FE0" w:rsidRPr="005B5EC1" w:rsidRDefault="00000000" w:rsidP="00D05A56">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40C6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21,410.80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D04F0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20,066.23</w:t>
            </w:r>
          </w:p>
        </w:tc>
      </w:tr>
      <w:tr w:rsidR="00E32FE0" w:rsidRPr="005B5EC1" w14:paraId="274B5B98"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FEF2143" w14:textId="77777777" w:rsidR="00E32FE0" w:rsidRPr="005B5EC1" w:rsidRDefault="00000000" w:rsidP="00D05A56">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3DBEC6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7099F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6,590,513.38</w:t>
            </w:r>
          </w:p>
        </w:tc>
      </w:tr>
      <w:tr w:rsidR="00E32FE0" w:rsidRPr="005B5EC1" w14:paraId="664FFCE8" w14:textId="77777777" w:rsidTr="00D05A5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058FEB" w14:textId="77777777" w:rsidR="00E32FE0" w:rsidRPr="005B5EC1" w:rsidRDefault="00000000" w:rsidP="00D05A56">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D6ED89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470,480,483.62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07868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445,754,208.26</w:t>
            </w:r>
          </w:p>
        </w:tc>
      </w:tr>
    </w:tbl>
    <w:p w14:paraId="25A62AA6"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11" w:name="_Toc989473"/>
      <w:r w:rsidRPr="005B5EC1">
        <w:rPr>
          <w:rFonts w:ascii="Times New Roman" w:eastAsia="宋体" w:hAnsi="Times New Roman" w:cs="Times New Roman"/>
          <w:b/>
          <w:bCs/>
          <w:sz w:val="21"/>
          <w:szCs w:val="21"/>
        </w:rPr>
        <w:lastRenderedPageBreak/>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按坏账计提方法分类披露</w:t>
      </w:r>
      <w:bookmarkEnd w:id="511"/>
    </w:p>
    <w:p w14:paraId="72BED807"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96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995"/>
        <w:gridCol w:w="1229"/>
        <w:gridCol w:w="764"/>
        <w:gridCol w:w="1220"/>
        <w:gridCol w:w="709"/>
        <w:gridCol w:w="1134"/>
        <w:gridCol w:w="1134"/>
        <w:gridCol w:w="788"/>
        <w:gridCol w:w="1055"/>
        <w:gridCol w:w="708"/>
        <w:gridCol w:w="1229"/>
      </w:tblGrid>
      <w:tr w:rsidR="00E32FE0" w:rsidRPr="005B5EC1" w14:paraId="39FD8C0D" w14:textId="77777777" w:rsidTr="00A47B24">
        <w:trPr>
          <w:trHeight w:val="247"/>
          <w:jc w:val="center"/>
        </w:trPr>
        <w:tc>
          <w:tcPr>
            <w:tcW w:w="99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E726773"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类别</w:t>
            </w:r>
          </w:p>
        </w:tc>
        <w:tc>
          <w:tcPr>
            <w:tcW w:w="5056"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5F777A0"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491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21B50E97"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A47B24" w:rsidRPr="005B5EC1" w14:paraId="516DC533" w14:textId="77777777" w:rsidTr="00A47B24">
        <w:trPr>
          <w:trHeight w:val="247"/>
          <w:jc w:val="center"/>
        </w:trPr>
        <w:tc>
          <w:tcPr>
            <w:tcW w:w="995" w:type="dxa"/>
            <w:vMerge/>
            <w:tcBorders>
              <w:top w:val="single" w:sz="2" w:space="0" w:color="auto"/>
              <w:left w:val="single" w:sz="2" w:space="0" w:color="auto"/>
              <w:bottom w:val="single" w:sz="2" w:space="0" w:color="auto"/>
              <w:right w:val="single" w:sz="2" w:space="0" w:color="auto"/>
            </w:tcBorders>
            <w:shd w:val="clear" w:color="auto" w:fill="auto"/>
            <w:vAlign w:val="center"/>
          </w:tcPr>
          <w:p w14:paraId="4EF2965B" w14:textId="77777777" w:rsidR="00E32FE0" w:rsidRPr="005B5EC1" w:rsidRDefault="00E32FE0" w:rsidP="00A47B24">
            <w:pPr>
              <w:spacing w:line="276" w:lineRule="auto"/>
              <w:rPr>
                <w:rFonts w:ascii="Times New Roman" w:hAnsi="Times New Roman" w:cs="Times New Roman"/>
              </w:rPr>
            </w:pPr>
          </w:p>
        </w:tc>
        <w:tc>
          <w:tcPr>
            <w:tcW w:w="199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B7EED69"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9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F66B281"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1DAE525"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192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5956D98"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76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9A400F"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229"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8982FC8"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r>
      <w:tr w:rsidR="00A47B24" w:rsidRPr="005B5EC1" w14:paraId="73061C17" w14:textId="77777777" w:rsidTr="00A47B24">
        <w:trPr>
          <w:trHeight w:val="247"/>
          <w:jc w:val="center"/>
        </w:trPr>
        <w:tc>
          <w:tcPr>
            <w:tcW w:w="995"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B33228B" w14:textId="77777777" w:rsidR="00E32FE0" w:rsidRPr="005B5EC1" w:rsidRDefault="00E32FE0" w:rsidP="00A47B24">
            <w:pPr>
              <w:spacing w:line="276" w:lineRule="auto"/>
              <w:rPr>
                <w:rFonts w:ascii="Times New Roman" w:hAnsi="Times New Roman" w:cs="Times New Roman"/>
              </w:rPr>
            </w:pP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73C139B6"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14:paraId="56CFE7D6"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c>
          <w:tcPr>
            <w:tcW w:w="1220" w:type="dxa"/>
            <w:tcBorders>
              <w:top w:val="single" w:sz="2" w:space="0" w:color="auto"/>
              <w:left w:val="single" w:sz="2" w:space="0" w:color="auto"/>
              <w:bottom w:val="single" w:sz="2" w:space="0" w:color="auto"/>
              <w:right w:val="single" w:sz="2" w:space="0" w:color="auto"/>
            </w:tcBorders>
            <w:shd w:val="clear" w:color="auto" w:fill="auto"/>
            <w:vAlign w:val="center"/>
          </w:tcPr>
          <w:p w14:paraId="00FDEC2A"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859BE8F"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c>
          <w:tcPr>
            <w:tcW w:w="1134"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5F02961" w14:textId="77777777" w:rsidR="00E32FE0" w:rsidRPr="005B5EC1" w:rsidRDefault="00E32FE0" w:rsidP="00A47B24">
            <w:pPr>
              <w:spacing w:line="276" w:lineRule="auto"/>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39701A69"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788" w:type="dxa"/>
            <w:tcBorders>
              <w:top w:val="single" w:sz="2" w:space="0" w:color="auto"/>
              <w:left w:val="single" w:sz="2" w:space="0" w:color="auto"/>
              <w:bottom w:val="single" w:sz="2" w:space="0" w:color="auto"/>
              <w:right w:val="single" w:sz="2" w:space="0" w:color="auto"/>
            </w:tcBorders>
            <w:shd w:val="clear" w:color="auto" w:fill="auto"/>
            <w:vAlign w:val="center"/>
          </w:tcPr>
          <w:p w14:paraId="1CB1F7C4"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比例</w:t>
            </w:r>
          </w:p>
        </w:tc>
        <w:tc>
          <w:tcPr>
            <w:tcW w:w="1055" w:type="dxa"/>
            <w:tcBorders>
              <w:top w:val="single" w:sz="2" w:space="0" w:color="auto"/>
              <w:left w:val="single" w:sz="2" w:space="0" w:color="auto"/>
              <w:bottom w:val="single" w:sz="2" w:space="0" w:color="auto"/>
              <w:right w:val="single" w:sz="2" w:space="0" w:color="auto"/>
            </w:tcBorders>
            <w:shd w:val="clear" w:color="auto" w:fill="auto"/>
            <w:vAlign w:val="center"/>
          </w:tcPr>
          <w:p w14:paraId="727ACC41"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6BFAC056"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c>
          <w:tcPr>
            <w:tcW w:w="1229"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DB1A4A6" w14:textId="77777777" w:rsidR="00E32FE0" w:rsidRPr="005B5EC1" w:rsidRDefault="00E32FE0" w:rsidP="00A47B24">
            <w:pPr>
              <w:spacing w:line="276" w:lineRule="auto"/>
              <w:rPr>
                <w:rFonts w:ascii="Times New Roman" w:hAnsi="Times New Roman" w:cs="Times New Roman"/>
              </w:rPr>
            </w:pPr>
          </w:p>
        </w:tc>
      </w:tr>
      <w:tr w:rsidR="00A47B24" w:rsidRPr="005B5EC1" w14:paraId="06CB99D3" w14:textId="77777777" w:rsidTr="00A47B24">
        <w:trPr>
          <w:trHeight w:val="247"/>
          <w:jc w:val="center"/>
        </w:trPr>
        <w:tc>
          <w:tcPr>
            <w:tcW w:w="995" w:type="dxa"/>
            <w:tcBorders>
              <w:top w:val="single" w:sz="2" w:space="0" w:color="auto"/>
              <w:left w:val="single" w:sz="2" w:space="0" w:color="auto"/>
              <w:bottom w:val="single" w:sz="2" w:space="0" w:color="auto"/>
              <w:right w:val="single" w:sz="2" w:space="0" w:color="auto"/>
            </w:tcBorders>
            <w:shd w:val="clear" w:color="auto" w:fill="auto"/>
            <w:vAlign w:val="center"/>
          </w:tcPr>
          <w:p w14:paraId="4C708981"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按单项计提坏账准备的应收账款</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1457EA1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64,685,177.80</w:t>
            </w: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14:paraId="0BBD229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13.75%</w:t>
            </w:r>
          </w:p>
        </w:tc>
        <w:tc>
          <w:tcPr>
            <w:tcW w:w="1220" w:type="dxa"/>
            <w:tcBorders>
              <w:top w:val="single" w:sz="2" w:space="0" w:color="auto"/>
              <w:left w:val="single" w:sz="2" w:space="0" w:color="auto"/>
              <w:bottom w:val="single" w:sz="2" w:space="0" w:color="auto"/>
              <w:right w:val="single" w:sz="2" w:space="0" w:color="auto"/>
            </w:tcBorders>
            <w:shd w:val="clear" w:color="auto" w:fill="auto"/>
            <w:vAlign w:val="center"/>
          </w:tcPr>
          <w:p w14:paraId="71E5D732"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64,685,177.80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197D842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F44016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EF74E9E"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7,646,823.99</w:t>
            </w:r>
          </w:p>
        </w:tc>
        <w:tc>
          <w:tcPr>
            <w:tcW w:w="788" w:type="dxa"/>
            <w:tcBorders>
              <w:top w:val="single" w:sz="2" w:space="0" w:color="auto"/>
              <w:left w:val="single" w:sz="2" w:space="0" w:color="auto"/>
              <w:bottom w:val="single" w:sz="2" w:space="0" w:color="auto"/>
              <w:right w:val="single" w:sz="2" w:space="0" w:color="auto"/>
            </w:tcBorders>
            <w:shd w:val="clear" w:color="auto" w:fill="auto"/>
            <w:vAlign w:val="center"/>
          </w:tcPr>
          <w:p w14:paraId="20900135"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1.72%</w:t>
            </w:r>
          </w:p>
        </w:tc>
        <w:tc>
          <w:tcPr>
            <w:tcW w:w="1055" w:type="dxa"/>
            <w:tcBorders>
              <w:top w:val="single" w:sz="2" w:space="0" w:color="auto"/>
              <w:left w:val="single" w:sz="2" w:space="0" w:color="auto"/>
              <w:bottom w:val="single" w:sz="2" w:space="0" w:color="auto"/>
              <w:right w:val="single" w:sz="2" w:space="0" w:color="auto"/>
            </w:tcBorders>
            <w:shd w:val="clear" w:color="auto" w:fill="auto"/>
            <w:vAlign w:val="center"/>
          </w:tcPr>
          <w:p w14:paraId="4F8B00D4"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7,646,823.99</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22ABB62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30780103"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r>
      <w:tr w:rsidR="00A47B24" w:rsidRPr="005B5EC1" w14:paraId="740CD4DC" w14:textId="77777777" w:rsidTr="00A47B24">
        <w:trPr>
          <w:trHeight w:val="247"/>
          <w:jc w:val="center"/>
        </w:trPr>
        <w:tc>
          <w:tcPr>
            <w:tcW w:w="995" w:type="dxa"/>
            <w:tcBorders>
              <w:top w:val="single" w:sz="2" w:space="0" w:color="auto"/>
              <w:left w:val="single" w:sz="2" w:space="0" w:color="auto"/>
              <w:bottom w:val="single" w:sz="2" w:space="0" w:color="auto"/>
              <w:right w:val="single" w:sz="2" w:space="0" w:color="auto"/>
            </w:tcBorders>
            <w:shd w:val="clear" w:color="auto" w:fill="auto"/>
            <w:vAlign w:val="center"/>
          </w:tcPr>
          <w:p w14:paraId="4BD8DCF0"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59A0C03F" w14:textId="77777777" w:rsidR="00E32FE0" w:rsidRPr="005B5EC1" w:rsidRDefault="00E32FE0" w:rsidP="00A47B24">
            <w:pPr>
              <w:spacing w:line="276" w:lineRule="auto"/>
              <w:rPr>
                <w:rFonts w:ascii="Times New Roman" w:hAnsi="Times New Roman" w:cs="Times New Roman"/>
              </w:rPr>
            </w:pP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14:paraId="06FC21A8" w14:textId="77777777" w:rsidR="00E32FE0" w:rsidRPr="005B5EC1" w:rsidRDefault="00E32FE0" w:rsidP="00A47B24">
            <w:pPr>
              <w:spacing w:line="276" w:lineRule="auto"/>
              <w:rPr>
                <w:rFonts w:ascii="Times New Roman" w:hAnsi="Times New Roman" w:cs="Times New Roman"/>
              </w:rPr>
            </w:pPr>
          </w:p>
        </w:tc>
        <w:tc>
          <w:tcPr>
            <w:tcW w:w="1220" w:type="dxa"/>
            <w:tcBorders>
              <w:top w:val="single" w:sz="2" w:space="0" w:color="auto"/>
              <w:left w:val="single" w:sz="2" w:space="0" w:color="auto"/>
              <w:bottom w:val="single" w:sz="2" w:space="0" w:color="auto"/>
              <w:right w:val="single" w:sz="2" w:space="0" w:color="auto"/>
            </w:tcBorders>
            <w:shd w:val="clear" w:color="auto" w:fill="auto"/>
            <w:vAlign w:val="center"/>
          </w:tcPr>
          <w:p w14:paraId="11A3EBAC" w14:textId="77777777" w:rsidR="00E32FE0" w:rsidRPr="005B5EC1" w:rsidRDefault="00E32FE0" w:rsidP="00A47B24">
            <w:pPr>
              <w:spacing w:line="276" w:lineRule="auto"/>
              <w:rPr>
                <w:rFonts w:ascii="Times New Roman" w:hAnsi="Times New Roman" w:cs="Times New Roman"/>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894DD74" w14:textId="77777777" w:rsidR="00E32FE0" w:rsidRPr="005B5EC1" w:rsidRDefault="00E32FE0" w:rsidP="00A47B24">
            <w:pPr>
              <w:spacing w:line="276" w:lineRule="auto"/>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62009F47" w14:textId="77777777" w:rsidR="00E32FE0" w:rsidRPr="005B5EC1" w:rsidRDefault="00E32FE0" w:rsidP="00A47B24">
            <w:pPr>
              <w:spacing w:line="276" w:lineRule="auto"/>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CEB5576" w14:textId="77777777" w:rsidR="00E32FE0" w:rsidRPr="005B5EC1" w:rsidRDefault="00E32FE0" w:rsidP="00A47B24">
            <w:pPr>
              <w:spacing w:line="276" w:lineRule="auto"/>
              <w:rPr>
                <w:rFonts w:ascii="Times New Roman" w:hAnsi="Times New Roman" w:cs="Times New Roman"/>
              </w:rPr>
            </w:pPr>
          </w:p>
        </w:tc>
        <w:tc>
          <w:tcPr>
            <w:tcW w:w="788" w:type="dxa"/>
            <w:tcBorders>
              <w:top w:val="single" w:sz="2" w:space="0" w:color="auto"/>
              <w:left w:val="single" w:sz="2" w:space="0" w:color="auto"/>
              <w:bottom w:val="single" w:sz="2" w:space="0" w:color="auto"/>
              <w:right w:val="single" w:sz="2" w:space="0" w:color="auto"/>
            </w:tcBorders>
            <w:shd w:val="clear" w:color="auto" w:fill="auto"/>
            <w:vAlign w:val="center"/>
          </w:tcPr>
          <w:p w14:paraId="7B3A7491" w14:textId="77777777" w:rsidR="00E32FE0" w:rsidRPr="005B5EC1" w:rsidRDefault="00E32FE0" w:rsidP="00A47B24">
            <w:pPr>
              <w:spacing w:line="276" w:lineRule="auto"/>
              <w:rPr>
                <w:rFonts w:ascii="Times New Roman" w:hAnsi="Times New Roman" w:cs="Times New Roman"/>
              </w:rPr>
            </w:pPr>
          </w:p>
        </w:tc>
        <w:tc>
          <w:tcPr>
            <w:tcW w:w="1055" w:type="dxa"/>
            <w:tcBorders>
              <w:top w:val="single" w:sz="2" w:space="0" w:color="auto"/>
              <w:left w:val="single" w:sz="2" w:space="0" w:color="auto"/>
              <w:bottom w:val="single" w:sz="2" w:space="0" w:color="auto"/>
              <w:right w:val="single" w:sz="2" w:space="0" w:color="auto"/>
            </w:tcBorders>
            <w:shd w:val="clear" w:color="auto" w:fill="auto"/>
            <w:vAlign w:val="center"/>
          </w:tcPr>
          <w:p w14:paraId="0C96E3AD" w14:textId="77777777" w:rsidR="00E32FE0" w:rsidRPr="005B5EC1" w:rsidRDefault="00E32FE0" w:rsidP="00A47B24">
            <w:pPr>
              <w:spacing w:line="276" w:lineRule="auto"/>
              <w:rPr>
                <w:rFonts w:ascii="Times New Roman" w:hAnsi="Times New Roman" w:cs="Times New Roman"/>
              </w:rPr>
            </w:pP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13A92736" w14:textId="77777777" w:rsidR="00E32FE0" w:rsidRPr="005B5EC1" w:rsidRDefault="00E32FE0" w:rsidP="00A47B24">
            <w:pPr>
              <w:spacing w:line="276" w:lineRule="auto"/>
              <w:rPr>
                <w:rFonts w:ascii="Times New Roman" w:hAnsi="Times New Roman" w:cs="Times New Roman"/>
              </w:rPr>
            </w:pP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5B520168" w14:textId="77777777" w:rsidR="00E32FE0" w:rsidRPr="005B5EC1" w:rsidRDefault="00E32FE0" w:rsidP="00A47B24">
            <w:pPr>
              <w:spacing w:line="276" w:lineRule="auto"/>
              <w:rPr>
                <w:rFonts w:ascii="Times New Roman" w:hAnsi="Times New Roman" w:cs="Times New Roman"/>
              </w:rPr>
            </w:pPr>
          </w:p>
        </w:tc>
      </w:tr>
      <w:tr w:rsidR="00A47B24" w:rsidRPr="005B5EC1" w14:paraId="121B1739" w14:textId="77777777" w:rsidTr="00A47B24">
        <w:trPr>
          <w:trHeight w:val="247"/>
          <w:jc w:val="center"/>
        </w:trPr>
        <w:tc>
          <w:tcPr>
            <w:tcW w:w="995" w:type="dxa"/>
            <w:tcBorders>
              <w:top w:val="single" w:sz="2" w:space="0" w:color="auto"/>
              <w:left w:val="single" w:sz="2" w:space="0" w:color="auto"/>
              <w:bottom w:val="single" w:sz="2" w:space="0" w:color="auto"/>
              <w:right w:val="single" w:sz="2" w:space="0" w:color="auto"/>
            </w:tcBorders>
            <w:shd w:val="clear" w:color="auto" w:fill="auto"/>
            <w:vAlign w:val="center"/>
          </w:tcPr>
          <w:p w14:paraId="2B4EF336"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按组合计提坏账准备的应收账款</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0ED518B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405,795,305.82</w:t>
            </w: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14:paraId="2020E90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86.25%</w:t>
            </w:r>
          </w:p>
        </w:tc>
        <w:tc>
          <w:tcPr>
            <w:tcW w:w="1220" w:type="dxa"/>
            <w:tcBorders>
              <w:top w:val="single" w:sz="2" w:space="0" w:color="auto"/>
              <w:left w:val="single" w:sz="2" w:space="0" w:color="auto"/>
              <w:bottom w:val="single" w:sz="2" w:space="0" w:color="auto"/>
              <w:right w:val="single" w:sz="2" w:space="0" w:color="auto"/>
            </w:tcBorders>
            <w:shd w:val="clear" w:color="auto" w:fill="auto"/>
            <w:vAlign w:val="center"/>
          </w:tcPr>
          <w:p w14:paraId="2997E01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7,312,950.37</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27CE7E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CD9C4C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398,482,355.45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95E54F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438,107,384.27</w:t>
            </w:r>
          </w:p>
        </w:tc>
        <w:tc>
          <w:tcPr>
            <w:tcW w:w="788" w:type="dxa"/>
            <w:tcBorders>
              <w:top w:val="single" w:sz="2" w:space="0" w:color="auto"/>
              <w:left w:val="single" w:sz="2" w:space="0" w:color="auto"/>
              <w:bottom w:val="single" w:sz="2" w:space="0" w:color="auto"/>
              <w:right w:val="single" w:sz="2" w:space="0" w:color="auto"/>
            </w:tcBorders>
            <w:shd w:val="clear" w:color="auto" w:fill="auto"/>
            <w:vAlign w:val="center"/>
          </w:tcPr>
          <w:p w14:paraId="12EF5A2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98.28%</w:t>
            </w:r>
          </w:p>
        </w:tc>
        <w:tc>
          <w:tcPr>
            <w:tcW w:w="1055" w:type="dxa"/>
            <w:tcBorders>
              <w:top w:val="single" w:sz="2" w:space="0" w:color="auto"/>
              <w:left w:val="single" w:sz="2" w:space="0" w:color="auto"/>
              <w:bottom w:val="single" w:sz="2" w:space="0" w:color="auto"/>
              <w:right w:val="single" w:sz="2" w:space="0" w:color="auto"/>
            </w:tcBorders>
            <w:shd w:val="clear" w:color="auto" w:fill="auto"/>
            <w:vAlign w:val="center"/>
          </w:tcPr>
          <w:p w14:paraId="0363829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19,948,450.42</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1B9663B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4.55%</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737CB43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418,158,933.85</w:t>
            </w:r>
          </w:p>
        </w:tc>
      </w:tr>
      <w:tr w:rsidR="00A47B24" w:rsidRPr="005B5EC1" w14:paraId="4548A782" w14:textId="77777777" w:rsidTr="00A47B24">
        <w:trPr>
          <w:trHeight w:val="247"/>
          <w:jc w:val="center"/>
        </w:trPr>
        <w:tc>
          <w:tcPr>
            <w:tcW w:w="995" w:type="dxa"/>
            <w:tcBorders>
              <w:top w:val="single" w:sz="2" w:space="0" w:color="auto"/>
              <w:left w:val="single" w:sz="2" w:space="0" w:color="auto"/>
              <w:bottom w:val="single" w:sz="2" w:space="0" w:color="auto"/>
              <w:right w:val="single" w:sz="2" w:space="0" w:color="auto"/>
            </w:tcBorders>
            <w:shd w:val="clear" w:color="auto" w:fill="auto"/>
            <w:vAlign w:val="center"/>
          </w:tcPr>
          <w:p w14:paraId="3456ACD1"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其中：</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7C308FDC" w14:textId="77777777" w:rsidR="00E32FE0" w:rsidRPr="005B5EC1" w:rsidRDefault="00E32FE0" w:rsidP="00A47B24">
            <w:pPr>
              <w:spacing w:line="276" w:lineRule="auto"/>
              <w:rPr>
                <w:rFonts w:ascii="Times New Roman" w:hAnsi="Times New Roman" w:cs="Times New Roman"/>
              </w:rPr>
            </w:pP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14:paraId="6E0BE521" w14:textId="77777777" w:rsidR="00E32FE0" w:rsidRPr="005B5EC1" w:rsidRDefault="00E32FE0" w:rsidP="00A47B24">
            <w:pPr>
              <w:spacing w:line="276" w:lineRule="auto"/>
              <w:rPr>
                <w:rFonts w:ascii="Times New Roman" w:hAnsi="Times New Roman" w:cs="Times New Roman"/>
              </w:rPr>
            </w:pPr>
          </w:p>
        </w:tc>
        <w:tc>
          <w:tcPr>
            <w:tcW w:w="1220" w:type="dxa"/>
            <w:tcBorders>
              <w:top w:val="single" w:sz="2" w:space="0" w:color="auto"/>
              <w:left w:val="single" w:sz="2" w:space="0" w:color="auto"/>
              <w:bottom w:val="single" w:sz="2" w:space="0" w:color="auto"/>
              <w:right w:val="single" w:sz="2" w:space="0" w:color="auto"/>
            </w:tcBorders>
            <w:shd w:val="clear" w:color="auto" w:fill="auto"/>
            <w:vAlign w:val="center"/>
          </w:tcPr>
          <w:p w14:paraId="596206B7" w14:textId="77777777" w:rsidR="00E32FE0" w:rsidRPr="005B5EC1" w:rsidRDefault="00E32FE0" w:rsidP="00A47B24">
            <w:pPr>
              <w:spacing w:line="276" w:lineRule="auto"/>
              <w:rPr>
                <w:rFonts w:ascii="Times New Roman" w:hAnsi="Times New Roman" w:cs="Times New Roman"/>
              </w:rPr>
            </w:pP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20A891B2" w14:textId="77777777" w:rsidR="00E32FE0" w:rsidRPr="005B5EC1" w:rsidRDefault="00E32FE0" w:rsidP="00A47B24">
            <w:pPr>
              <w:spacing w:line="276" w:lineRule="auto"/>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7DEA0CC3" w14:textId="77777777" w:rsidR="00E32FE0" w:rsidRPr="005B5EC1" w:rsidRDefault="00E32FE0" w:rsidP="00A47B24">
            <w:pPr>
              <w:spacing w:line="276" w:lineRule="auto"/>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6F89066" w14:textId="77777777" w:rsidR="00E32FE0" w:rsidRPr="005B5EC1" w:rsidRDefault="00E32FE0" w:rsidP="00A47B24">
            <w:pPr>
              <w:spacing w:line="276" w:lineRule="auto"/>
              <w:rPr>
                <w:rFonts w:ascii="Times New Roman" w:hAnsi="Times New Roman" w:cs="Times New Roman"/>
              </w:rPr>
            </w:pPr>
          </w:p>
        </w:tc>
        <w:tc>
          <w:tcPr>
            <w:tcW w:w="788" w:type="dxa"/>
            <w:tcBorders>
              <w:top w:val="single" w:sz="2" w:space="0" w:color="auto"/>
              <w:left w:val="single" w:sz="2" w:space="0" w:color="auto"/>
              <w:bottom w:val="single" w:sz="2" w:space="0" w:color="auto"/>
              <w:right w:val="single" w:sz="2" w:space="0" w:color="auto"/>
            </w:tcBorders>
            <w:shd w:val="clear" w:color="auto" w:fill="auto"/>
            <w:vAlign w:val="center"/>
          </w:tcPr>
          <w:p w14:paraId="58C860C3" w14:textId="77777777" w:rsidR="00E32FE0" w:rsidRPr="005B5EC1" w:rsidRDefault="00E32FE0" w:rsidP="00A47B24">
            <w:pPr>
              <w:spacing w:line="276" w:lineRule="auto"/>
              <w:rPr>
                <w:rFonts w:ascii="Times New Roman" w:hAnsi="Times New Roman" w:cs="Times New Roman"/>
              </w:rPr>
            </w:pPr>
          </w:p>
        </w:tc>
        <w:tc>
          <w:tcPr>
            <w:tcW w:w="1055" w:type="dxa"/>
            <w:tcBorders>
              <w:top w:val="single" w:sz="2" w:space="0" w:color="auto"/>
              <w:left w:val="single" w:sz="2" w:space="0" w:color="auto"/>
              <w:bottom w:val="single" w:sz="2" w:space="0" w:color="auto"/>
              <w:right w:val="single" w:sz="2" w:space="0" w:color="auto"/>
            </w:tcBorders>
            <w:shd w:val="clear" w:color="auto" w:fill="auto"/>
            <w:vAlign w:val="center"/>
          </w:tcPr>
          <w:p w14:paraId="1A34EC2A" w14:textId="77777777" w:rsidR="00E32FE0" w:rsidRPr="005B5EC1" w:rsidRDefault="00E32FE0" w:rsidP="00A47B24">
            <w:pPr>
              <w:spacing w:line="276" w:lineRule="auto"/>
              <w:rPr>
                <w:rFonts w:ascii="Times New Roman" w:hAnsi="Times New Roman" w:cs="Times New Roman"/>
              </w:rPr>
            </w:pP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7B54BA21" w14:textId="77777777" w:rsidR="00E32FE0" w:rsidRPr="005B5EC1" w:rsidRDefault="00E32FE0" w:rsidP="00A47B24">
            <w:pPr>
              <w:spacing w:line="276" w:lineRule="auto"/>
              <w:rPr>
                <w:rFonts w:ascii="Times New Roman" w:hAnsi="Times New Roman" w:cs="Times New Roman"/>
              </w:rPr>
            </w:pP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7C759100" w14:textId="77777777" w:rsidR="00E32FE0" w:rsidRPr="005B5EC1" w:rsidRDefault="00E32FE0" w:rsidP="00A47B24">
            <w:pPr>
              <w:spacing w:line="276" w:lineRule="auto"/>
              <w:rPr>
                <w:rFonts w:ascii="Times New Roman" w:hAnsi="Times New Roman" w:cs="Times New Roman"/>
              </w:rPr>
            </w:pPr>
          </w:p>
        </w:tc>
      </w:tr>
      <w:tr w:rsidR="00A47B24" w:rsidRPr="005B5EC1" w14:paraId="0DCB7E46" w14:textId="77777777" w:rsidTr="00A47B24">
        <w:trPr>
          <w:trHeight w:val="247"/>
          <w:jc w:val="center"/>
        </w:trPr>
        <w:tc>
          <w:tcPr>
            <w:tcW w:w="995" w:type="dxa"/>
            <w:tcBorders>
              <w:top w:val="single" w:sz="2" w:space="0" w:color="auto"/>
              <w:left w:val="single" w:sz="2" w:space="0" w:color="auto"/>
              <w:bottom w:val="single" w:sz="2" w:space="0" w:color="auto"/>
              <w:right w:val="single" w:sz="2" w:space="0" w:color="auto"/>
            </w:tcBorders>
            <w:shd w:val="clear" w:color="auto" w:fill="auto"/>
            <w:vAlign w:val="center"/>
          </w:tcPr>
          <w:p w14:paraId="0F4EFF78"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合并范围内关联方款项组合</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64AB5EE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295,936,472.51</w:t>
            </w: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14:paraId="1D63D81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62.90%</w:t>
            </w:r>
          </w:p>
        </w:tc>
        <w:tc>
          <w:tcPr>
            <w:tcW w:w="1220" w:type="dxa"/>
            <w:tcBorders>
              <w:top w:val="single" w:sz="2" w:space="0" w:color="auto"/>
              <w:left w:val="single" w:sz="2" w:space="0" w:color="auto"/>
              <w:bottom w:val="single" w:sz="2" w:space="0" w:color="auto"/>
              <w:right w:val="single" w:sz="2" w:space="0" w:color="auto"/>
            </w:tcBorders>
            <w:shd w:val="clear" w:color="auto" w:fill="auto"/>
            <w:vAlign w:val="center"/>
          </w:tcPr>
          <w:p w14:paraId="1A66025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7,312,950.37</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67378A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2.47%</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26E7697E"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288,623,522.14</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6C6D8AC"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128,341,083.72</w:t>
            </w:r>
          </w:p>
        </w:tc>
        <w:tc>
          <w:tcPr>
            <w:tcW w:w="788" w:type="dxa"/>
            <w:tcBorders>
              <w:top w:val="single" w:sz="2" w:space="0" w:color="auto"/>
              <w:left w:val="single" w:sz="2" w:space="0" w:color="auto"/>
              <w:bottom w:val="single" w:sz="2" w:space="0" w:color="auto"/>
              <w:right w:val="single" w:sz="2" w:space="0" w:color="auto"/>
            </w:tcBorders>
            <w:shd w:val="clear" w:color="auto" w:fill="auto"/>
            <w:vAlign w:val="center"/>
          </w:tcPr>
          <w:p w14:paraId="6573066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28.79%</w:t>
            </w:r>
          </w:p>
        </w:tc>
        <w:tc>
          <w:tcPr>
            <w:tcW w:w="1055" w:type="dxa"/>
            <w:tcBorders>
              <w:top w:val="single" w:sz="2" w:space="0" w:color="auto"/>
              <w:left w:val="single" w:sz="2" w:space="0" w:color="auto"/>
              <w:bottom w:val="single" w:sz="2" w:space="0" w:color="auto"/>
              <w:right w:val="single" w:sz="2" w:space="0" w:color="auto"/>
            </w:tcBorders>
            <w:shd w:val="clear" w:color="auto" w:fill="auto"/>
            <w:vAlign w:val="center"/>
          </w:tcPr>
          <w:p w14:paraId="08C9F8B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12,501,547.38</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4758112C"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9.74%</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1897ACC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115,839,536.34</w:t>
            </w:r>
          </w:p>
        </w:tc>
      </w:tr>
      <w:tr w:rsidR="00A47B24" w:rsidRPr="005B5EC1" w14:paraId="451965F3" w14:textId="77777777" w:rsidTr="00A47B24">
        <w:trPr>
          <w:trHeight w:val="247"/>
          <w:jc w:val="center"/>
        </w:trPr>
        <w:tc>
          <w:tcPr>
            <w:tcW w:w="995" w:type="dxa"/>
            <w:tcBorders>
              <w:top w:val="single" w:sz="2" w:space="0" w:color="auto"/>
              <w:left w:val="single" w:sz="2" w:space="0" w:color="auto"/>
              <w:bottom w:val="single" w:sz="2" w:space="0" w:color="auto"/>
              <w:right w:val="single" w:sz="2" w:space="0" w:color="auto"/>
            </w:tcBorders>
            <w:shd w:val="clear" w:color="auto" w:fill="auto"/>
            <w:vAlign w:val="center"/>
          </w:tcPr>
          <w:p w14:paraId="52B7F734" w14:textId="77777777" w:rsidR="00E32FE0" w:rsidRPr="005B5EC1" w:rsidRDefault="00000000" w:rsidP="00A47B24">
            <w:pPr>
              <w:spacing w:after="0" w:line="276" w:lineRule="auto"/>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账</w:t>
            </w:r>
            <w:proofErr w:type="gramEnd"/>
            <w:r w:rsidRPr="005B5EC1">
              <w:rPr>
                <w:rFonts w:ascii="Times New Roman" w:eastAsia="宋体" w:hAnsi="Times New Roman" w:cs="Times New Roman"/>
                <w:sz w:val="18"/>
                <w:szCs w:val="18"/>
              </w:rPr>
              <w:t>龄组合</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7693736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109,858,833.31</w:t>
            </w: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14:paraId="11C0589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23.35%</w:t>
            </w:r>
          </w:p>
        </w:tc>
        <w:tc>
          <w:tcPr>
            <w:tcW w:w="1220" w:type="dxa"/>
            <w:tcBorders>
              <w:top w:val="single" w:sz="2" w:space="0" w:color="auto"/>
              <w:left w:val="single" w:sz="2" w:space="0" w:color="auto"/>
              <w:bottom w:val="single" w:sz="2" w:space="0" w:color="auto"/>
              <w:right w:val="single" w:sz="2" w:space="0" w:color="auto"/>
            </w:tcBorders>
            <w:shd w:val="clear" w:color="auto" w:fill="auto"/>
            <w:vAlign w:val="center"/>
          </w:tcPr>
          <w:p w14:paraId="1B138F05"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5862777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548D5F4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109,858,833.31</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E8DF5B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309,766,300.55</w:t>
            </w:r>
          </w:p>
        </w:tc>
        <w:tc>
          <w:tcPr>
            <w:tcW w:w="788" w:type="dxa"/>
            <w:tcBorders>
              <w:top w:val="single" w:sz="2" w:space="0" w:color="auto"/>
              <w:left w:val="single" w:sz="2" w:space="0" w:color="auto"/>
              <w:bottom w:val="single" w:sz="2" w:space="0" w:color="auto"/>
              <w:right w:val="single" w:sz="2" w:space="0" w:color="auto"/>
            </w:tcBorders>
            <w:shd w:val="clear" w:color="auto" w:fill="auto"/>
            <w:vAlign w:val="center"/>
          </w:tcPr>
          <w:p w14:paraId="3718918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69.49%</w:t>
            </w:r>
          </w:p>
        </w:tc>
        <w:tc>
          <w:tcPr>
            <w:tcW w:w="1055" w:type="dxa"/>
            <w:tcBorders>
              <w:top w:val="single" w:sz="2" w:space="0" w:color="auto"/>
              <w:left w:val="single" w:sz="2" w:space="0" w:color="auto"/>
              <w:bottom w:val="single" w:sz="2" w:space="0" w:color="auto"/>
              <w:right w:val="single" w:sz="2" w:space="0" w:color="auto"/>
            </w:tcBorders>
            <w:shd w:val="clear" w:color="auto" w:fill="auto"/>
            <w:vAlign w:val="center"/>
          </w:tcPr>
          <w:p w14:paraId="4492A66E"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7,446,903.04</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4907960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2.40%</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4312D8F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302,319,397.51</w:t>
            </w:r>
          </w:p>
        </w:tc>
      </w:tr>
      <w:tr w:rsidR="00A47B24" w:rsidRPr="005B5EC1" w14:paraId="50C942CF" w14:textId="77777777" w:rsidTr="00A47B24">
        <w:trPr>
          <w:trHeight w:val="247"/>
          <w:jc w:val="center"/>
        </w:trPr>
        <w:tc>
          <w:tcPr>
            <w:tcW w:w="995" w:type="dxa"/>
            <w:tcBorders>
              <w:top w:val="single" w:sz="2" w:space="0" w:color="auto"/>
              <w:left w:val="single" w:sz="2" w:space="0" w:color="auto"/>
              <w:bottom w:val="single" w:sz="2" w:space="0" w:color="auto"/>
              <w:right w:val="single" w:sz="2" w:space="0" w:color="auto"/>
            </w:tcBorders>
            <w:shd w:val="clear" w:color="auto" w:fill="auto"/>
            <w:vAlign w:val="center"/>
          </w:tcPr>
          <w:p w14:paraId="7A68F14B"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26FDB82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470,480,483.62</w:t>
            </w:r>
          </w:p>
        </w:tc>
        <w:tc>
          <w:tcPr>
            <w:tcW w:w="764" w:type="dxa"/>
            <w:tcBorders>
              <w:top w:val="single" w:sz="2" w:space="0" w:color="auto"/>
              <w:left w:val="single" w:sz="2" w:space="0" w:color="auto"/>
              <w:bottom w:val="single" w:sz="2" w:space="0" w:color="auto"/>
              <w:right w:val="single" w:sz="2" w:space="0" w:color="auto"/>
            </w:tcBorders>
            <w:shd w:val="clear" w:color="auto" w:fill="auto"/>
            <w:vAlign w:val="center"/>
          </w:tcPr>
          <w:p w14:paraId="6E8F0F14"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220" w:type="dxa"/>
            <w:tcBorders>
              <w:top w:val="single" w:sz="2" w:space="0" w:color="auto"/>
              <w:left w:val="single" w:sz="2" w:space="0" w:color="auto"/>
              <w:bottom w:val="single" w:sz="2" w:space="0" w:color="auto"/>
              <w:right w:val="single" w:sz="2" w:space="0" w:color="auto"/>
            </w:tcBorders>
            <w:shd w:val="clear" w:color="auto" w:fill="auto"/>
            <w:vAlign w:val="center"/>
          </w:tcPr>
          <w:p w14:paraId="01425AB8"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71,998,128.17</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699F006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15.30%</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13DFA57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398,482,355.45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05DCC6E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445,754,208.26</w:t>
            </w:r>
          </w:p>
        </w:tc>
        <w:tc>
          <w:tcPr>
            <w:tcW w:w="788" w:type="dxa"/>
            <w:tcBorders>
              <w:top w:val="single" w:sz="2" w:space="0" w:color="auto"/>
              <w:left w:val="single" w:sz="2" w:space="0" w:color="auto"/>
              <w:bottom w:val="single" w:sz="2" w:space="0" w:color="auto"/>
              <w:right w:val="single" w:sz="2" w:space="0" w:color="auto"/>
            </w:tcBorders>
            <w:shd w:val="clear" w:color="auto" w:fill="auto"/>
            <w:vAlign w:val="center"/>
          </w:tcPr>
          <w:p w14:paraId="01C7C75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055" w:type="dxa"/>
            <w:tcBorders>
              <w:top w:val="single" w:sz="2" w:space="0" w:color="auto"/>
              <w:left w:val="single" w:sz="2" w:space="0" w:color="auto"/>
              <w:bottom w:val="single" w:sz="2" w:space="0" w:color="auto"/>
              <w:right w:val="single" w:sz="2" w:space="0" w:color="auto"/>
            </w:tcBorders>
            <w:shd w:val="clear" w:color="auto" w:fill="auto"/>
            <w:vAlign w:val="center"/>
          </w:tcPr>
          <w:p w14:paraId="68362CC4"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27,595,274.41</w:t>
            </w:r>
          </w:p>
        </w:tc>
        <w:tc>
          <w:tcPr>
            <w:tcW w:w="708" w:type="dxa"/>
            <w:tcBorders>
              <w:top w:val="single" w:sz="2" w:space="0" w:color="auto"/>
              <w:left w:val="single" w:sz="2" w:space="0" w:color="auto"/>
              <w:bottom w:val="single" w:sz="2" w:space="0" w:color="auto"/>
              <w:right w:val="single" w:sz="2" w:space="0" w:color="auto"/>
            </w:tcBorders>
            <w:shd w:val="clear" w:color="auto" w:fill="auto"/>
            <w:vAlign w:val="center"/>
          </w:tcPr>
          <w:p w14:paraId="016039D8"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6.19%</w:t>
            </w:r>
          </w:p>
        </w:tc>
        <w:tc>
          <w:tcPr>
            <w:tcW w:w="1229" w:type="dxa"/>
            <w:tcBorders>
              <w:top w:val="single" w:sz="2" w:space="0" w:color="auto"/>
              <w:left w:val="single" w:sz="2" w:space="0" w:color="auto"/>
              <w:bottom w:val="single" w:sz="2" w:space="0" w:color="auto"/>
              <w:right w:val="single" w:sz="2" w:space="0" w:color="auto"/>
            </w:tcBorders>
            <w:shd w:val="clear" w:color="auto" w:fill="auto"/>
            <w:vAlign w:val="center"/>
          </w:tcPr>
          <w:p w14:paraId="6397C764"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418,158,933.85</w:t>
            </w:r>
          </w:p>
        </w:tc>
      </w:tr>
    </w:tbl>
    <w:p w14:paraId="5414F1B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按单项计提坏账准备：</w:t>
      </w:r>
      <w:r w:rsidRPr="005B5EC1">
        <w:rPr>
          <w:rFonts w:ascii="Times New Roman" w:eastAsia="宋体" w:hAnsi="Times New Roman" w:cs="Times New Roman"/>
          <w:sz w:val="18"/>
          <w:szCs w:val="18"/>
        </w:rPr>
        <w:t>0</w:t>
      </w:r>
    </w:p>
    <w:p w14:paraId="4288DBC2"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147"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49"/>
        <w:gridCol w:w="1449"/>
        <w:gridCol w:w="1450"/>
        <w:gridCol w:w="1449"/>
        <w:gridCol w:w="1449"/>
        <w:gridCol w:w="1449"/>
        <w:gridCol w:w="1452"/>
      </w:tblGrid>
      <w:tr w:rsidR="00E32FE0" w:rsidRPr="005B5EC1" w14:paraId="1E44377C" w14:textId="77777777" w:rsidTr="00A47B24">
        <w:trPr>
          <w:trHeight w:val="241"/>
          <w:jc w:val="center"/>
        </w:trPr>
        <w:tc>
          <w:tcPr>
            <w:tcW w:w="1449"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7636DC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名称</w:t>
            </w:r>
          </w:p>
        </w:tc>
        <w:tc>
          <w:tcPr>
            <w:tcW w:w="289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C765B8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579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3A14E4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66F7DAA1" w14:textId="77777777" w:rsidTr="00A47B24">
        <w:trPr>
          <w:trHeight w:val="241"/>
          <w:jc w:val="center"/>
        </w:trPr>
        <w:tc>
          <w:tcPr>
            <w:tcW w:w="1449"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A114D0A" w14:textId="77777777" w:rsidR="00E32FE0" w:rsidRPr="005B5EC1" w:rsidRDefault="00E32FE0">
            <w:pPr>
              <w:rPr>
                <w:rFonts w:ascii="Times New Roman" w:hAnsi="Times New Roman" w:cs="Times New Roman"/>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44C54CE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025073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79206F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82230F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22BD112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4A48D3F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计提理由</w:t>
            </w:r>
          </w:p>
        </w:tc>
      </w:tr>
      <w:tr w:rsidR="00E32FE0" w:rsidRPr="005B5EC1" w14:paraId="4FAD02CC"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4D8B4C0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牟平真空办个人消费</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3F04D7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10,206.09</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4D9569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10,206.09</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0DB3F0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60D285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1D23C3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295C2966"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7B0B833A"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B5136A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个人批发商山东</w:t>
            </w:r>
            <w:proofErr w:type="gramStart"/>
            <w:r w:rsidRPr="005B5EC1">
              <w:rPr>
                <w:rFonts w:ascii="Times New Roman" w:eastAsia="宋体" w:hAnsi="Times New Roman" w:cs="Times New Roman"/>
                <w:sz w:val="18"/>
                <w:szCs w:val="18"/>
              </w:rPr>
              <w:t>胶州谢禹</w:t>
            </w:r>
            <w:proofErr w:type="gramEnd"/>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5AAB01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5,300.73</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032FD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5,300.73</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F2BAE9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9D4AA7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E9BB30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630D941"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0D0E6A8E"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3B6488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个人批发商山东</w:t>
            </w:r>
            <w:proofErr w:type="gramStart"/>
            <w:r w:rsidRPr="005B5EC1">
              <w:rPr>
                <w:rFonts w:ascii="Times New Roman" w:eastAsia="宋体" w:hAnsi="Times New Roman" w:cs="Times New Roman"/>
                <w:sz w:val="18"/>
                <w:szCs w:val="18"/>
              </w:rPr>
              <w:t>烟台初双琳</w:t>
            </w:r>
            <w:proofErr w:type="gramEnd"/>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30816D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435,968.70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861F73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435,968.70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1157195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574B75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9AB358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832B9CB"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15196E4E"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D1A79D6"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步步高商业连锁股份有限公司</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BC1060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6,199,524.11</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711C5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6,199,524.11</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FC7942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68AF5A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BFEF9E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FC71FBC"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38800B74"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BA955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青岛中和盛杰食品有限公司</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A3AD9F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EC9CF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F33B0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41,129,028.88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D09B73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41,129,028.88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8C7961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BD5147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净资产为负，判断收回可能性较小</w:t>
            </w:r>
          </w:p>
        </w:tc>
      </w:tr>
      <w:tr w:rsidR="00E32FE0" w:rsidRPr="005B5EC1" w14:paraId="31CFDF4A"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2344275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云南福照食品有限公司</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8A662B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226CB9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55D656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21,058,777.18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B07081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21,058,777.18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7CE29A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1B1FE63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净资产为负，判断收回可能性较小</w:t>
            </w:r>
          </w:p>
        </w:tc>
      </w:tr>
      <w:tr w:rsidR="00E32FE0" w:rsidRPr="005B5EC1" w14:paraId="11CEE414"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EB5F7C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湖北龙大肉食品有限公司</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5EF0AE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E81D4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5B7713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980059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F63D9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4AE67B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净资产为负，判断收回可能性较小</w:t>
            </w:r>
          </w:p>
        </w:tc>
      </w:tr>
      <w:tr w:rsidR="00E32FE0" w:rsidRPr="005B5EC1" w14:paraId="5F29714E"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4910970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青岛家乐福商业有限公司</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1C7DBC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779,775.48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1EBA605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779,775.48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F0E494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779,775.48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121F50E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779,775.48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66EF19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937725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客户经营出现问题，无力偿还债务</w:t>
            </w:r>
          </w:p>
        </w:tc>
      </w:tr>
      <w:tr w:rsidR="00E32FE0" w:rsidRPr="005B5EC1" w14:paraId="6B22AC6D"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3EC9C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青岛龙大鲜</w:t>
            </w:r>
            <w:proofErr w:type="gramStart"/>
            <w:r w:rsidRPr="005B5EC1">
              <w:rPr>
                <w:rFonts w:ascii="Times New Roman" w:eastAsia="宋体" w:hAnsi="Times New Roman" w:cs="Times New Roman"/>
                <w:sz w:val="18"/>
                <w:szCs w:val="18"/>
              </w:rPr>
              <w:t>生供应</w:t>
            </w:r>
            <w:proofErr w:type="gramEnd"/>
            <w:r w:rsidRPr="005B5EC1">
              <w:rPr>
                <w:rFonts w:ascii="Times New Roman" w:eastAsia="宋体" w:hAnsi="Times New Roman" w:cs="Times New Roman"/>
                <w:sz w:val="18"/>
                <w:szCs w:val="18"/>
              </w:rPr>
              <w:t>链有限公司</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72E22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7FEDC4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FAB04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501,547.38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EE65BF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501,547.38</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2661F5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1709B99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客户经营出现问题，无力偿还债务</w:t>
            </w:r>
          </w:p>
        </w:tc>
      </w:tr>
      <w:tr w:rsidR="00E32FE0" w:rsidRPr="005B5EC1" w14:paraId="586EF799"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2C3DBD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上海吾里贸易有限公司</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78D1A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125,926.73</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B4E55E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125,926.73</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7416E8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125,926.73</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43A306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125,926.73</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76070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29DB2D8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w:t>
            </w:r>
            <w:r w:rsidRPr="005B5EC1">
              <w:rPr>
                <w:rFonts w:ascii="Times New Roman" w:eastAsia="宋体" w:hAnsi="Times New Roman" w:cs="Times New Roman"/>
                <w:sz w:val="18"/>
                <w:szCs w:val="18"/>
              </w:rPr>
              <w:lastRenderedPageBreak/>
              <w:t>还债务</w:t>
            </w:r>
          </w:p>
        </w:tc>
      </w:tr>
      <w:tr w:rsidR="00E32FE0" w:rsidRPr="005B5EC1" w14:paraId="42021EB4"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41D9B1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青岛凯恩斯包装有限公司</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ED2F0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90,122.15</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2D5BC5B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90,122.15</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4BC3A9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90,122.15</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341FC50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90,122.15</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41D5D2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430C180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客户经营出现问题，无力偿还债务</w:t>
            </w:r>
          </w:p>
        </w:tc>
      </w:tr>
      <w:tr w:rsidR="00E32FE0" w:rsidRPr="005B5EC1" w14:paraId="6B0B788E" w14:textId="77777777" w:rsidTr="00A47B24">
        <w:trPr>
          <w:trHeight w:val="241"/>
          <w:jc w:val="center"/>
        </w:trPr>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6660C3A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293E6C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7,646,823.99</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AC70A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7,646,823.99</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20D77DF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64,685,177.80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060735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64,685,177.80</w:t>
            </w: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D8F189F" w14:textId="77777777" w:rsidR="00E32FE0" w:rsidRPr="005B5EC1" w:rsidRDefault="00E32FE0">
            <w:pPr>
              <w:rPr>
                <w:rFonts w:ascii="Times New Roman" w:hAnsi="Times New Roman" w:cs="Times New Roman"/>
              </w:rPr>
            </w:pPr>
          </w:p>
        </w:tc>
        <w:tc>
          <w:tcPr>
            <w:tcW w:w="1449" w:type="dxa"/>
            <w:tcBorders>
              <w:top w:val="single" w:sz="2" w:space="0" w:color="auto"/>
              <w:left w:val="single" w:sz="2" w:space="0" w:color="auto"/>
              <w:bottom w:val="single" w:sz="2" w:space="0" w:color="auto"/>
              <w:right w:val="single" w:sz="2" w:space="0" w:color="auto"/>
            </w:tcBorders>
            <w:shd w:val="clear" w:color="auto" w:fill="auto"/>
            <w:vAlign w:val="center"/>
          </w:tcPr>
          <w:p w14:paraId="55B0647A" w14:textId="77777777" w:rsidR="00E32FE0" w:rsidRPr="005B5EC1" w:rsidRDefault="00E32FE0">
            <w:pPr>
              <w:rPr>
                <w:rFonts w:ascii="Times New Roman" w:hAnsi="Times New Roman" w:cs="Times New Roman"/>
              </w:rPr>
            </w:pPr>
          </w:p>
        </w:tc>
      </w:tr>
    </w:tbl>
    <w:p w14:paraId="321CD06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按组合计提坏账准备：</w:t>
      </w:r>
    </w:p>
    <w:p w14:paraId="1674D4B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2DFD7260" w14:textId="77777777" w:rsidTr="00A47B2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B1158A2"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38204C4"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10896C61" w14:textId="77777777" w:rsidTr="00A47B2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F1995ED" w14:textId="77777777" w:rsidR="00E32FE0" w:rsidRPr="005B5EC1" w:rsidRDefault="00E32FE0" w:rsidP="00A47B24">
            <w:pPr>
              <w:spacing w:line="276" w:lineRule="auto"/>
              <w:jc w:val="cente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399A91F"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8F9E632"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601077F"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计提比例</w:t>
            </w:r>
          </w:p>
        </w:tc>
      </w:tr>
      <w:tr w:rsidR="00E32FE0" w:rsidRPr="005B5EC1" w14:paraId="64C975A2"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30F8588"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582600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262,632,072.23</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5AB2ADC"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5,909,221.63</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29838D7"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w:t>
            </w:r>
          </w:p>
        </w:tc>
      </w:tr>
      <w:tr w:rsidR="00E32FE0" w:rsidRPr="005B5EC1" w14:paraId="286D8773"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FB2A66A"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3A6ECD4"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25,055,682.05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5D83CF5"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563,752.85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3A768D4"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w:t>
            </w:r>
          </w:p>
        </w:tc>
      </w:tr>
      <w:tr w:rsidR="00E32FE0" w:rsidRPr="005B5EC1" w14:paraId="2BCAB20E"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CF218FA"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7-9</w:t>
            </w:r>
            <w:r w:rsidRPr="005B5EC1">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EB4EC4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1,460,118.94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DD89E15"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32,852.68</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A355A0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w:t>
            </w:r>
          </w:p>
        </w:tc>
      </w:tr>
      <w:tr w:rsidR="00E32FE0" w:rsidRPr="005B5EC1" w14:paraId="05725914"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A1D86D3"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10-12</w:t>
            </w:r>
            <w:r w:rsidRPr="005B5EC1">
              <w:rPr>
                <w:rFonts w:ascii="Times New Roman" w:eastAsia="宋体" w:hAnsi="Times New Roman" w:cs="Times New Roman"/>
                <w:sz w:val="18"/>
                <w:szCs w:val="18"/>
              </w:rPr>
              <w:t>月</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9CA07E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4,089,922.56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69EB636"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92,023.25</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1C1089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w:t>
            </w:r>
          </w:p>
        </w:tc>
      </w:tr>
      <w:tr w:rsidR="00E32FE0" w:rsidRPr="005B5EC1" w14:paraId="5C908C76"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ED002CD"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081E3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2,562,646.57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B7C9A46"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640,661.64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163724EE"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25.00%</w:t>
            </w:r>
          </w:p>
        </w:tc>
      </w:tr>
      <w:tr w:rsidR="00E32FE0" w:rsidRPr="005B5EC1" w14:paraId="214A3513"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0696814"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6CA9F9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114,619.36</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659DD1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57,309.68</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082B44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50.00%</w:t>
            </w:r>
          </w:p>
        </w:tc>
      </w:tr>
      <w:tr w:rsidR="00E32FE0" w:rsidRPr="005B5EC1" w14:paraId="5B89EA72"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6E2DF5D"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3-4</w:t>
            </w:r>
            <w:r w:rsidRPr="005B5EC1">
              <w:rPr>
                <w:rFonts w:ascii="Times New Roman" w:eastAsia="宋体" w:hAnsi="Times New Roman" w:cs="Times New Roman"/>
                <w:sz w:val="18"/>
                <w:szCs w:val="18"/>
              </w:rPr>
              <w:t>年</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89FB4D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21,410.80</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1EAB0C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17,128.64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38D372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80.00%</w:t>
            </w:r>
          </w:p>
        </w:tc>
      </w:tr>
      <w:tr w:rsidR="00E32FE0" w:rsidRPr="005B5EC1" w14:paraId="37C8E737"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4F40D5A"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1B10BC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295,936,472.51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01E12E8"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7,312,950.37</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4CC835E8" w14:textId="77777777" w:rsidR="00E32FE0" w:rsidRPr="005B5EC1" w:rsidRDefault="00E32FE0" w:rsidP="00A47B24">
            <w:pPr>
              <w:spacing w:line="276" w:lineRule="auto"/>
              <w:rPr>
                <w:rFonts w:ascii="Times New Roman" w:hAnsi="Times New Roman" w:cs="Times New Roman"/>
              </w:rPr>
            </w:pPr>
          </w:p>
        </w:tc>
      </w:tr>
    </w:tbl>
    <w:p w14:paraId="315AEBF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确定该组合依据的说明：</w:t>
      </w:r>
    </w:p>
    <w:p w14:paraId="081B4B69" w14:textId="77777777" w:rsidR="00AF139E" w:rsidRPr="005B5EC1" w:rsidRDefault="00000000">
      <w:pPr>
        <w:pStyle w:val="a3"/>
        <w:divId w:val="1037051685"/>
        <w:rPr>
          <w:rFonts w:ascii="Times New Roman" w:hAnsi="Times New Roman" w:cs="Times New Roman"/>
          <w:sz w:val="18"/>
          <w:szCs w:val="18"/>
        </w:rPr>
      </w:pPr>
      <w:r w:rsidRPr="005B5EC1">
        <w:rPr>
          <w:rFonts w:ascii="Times New Roman" w:hAnsi="Times New Roman" w:cs="Times New Roman"/>
          <w:sz w:val="18"/>
          <w:szCs w:val="18"/>
        </w:rPr>
        <w:t>无</w:t>
      </w:r>
    </w:p>
    <w:p w14:paraId="1A28A51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如是按照预期信用损失一般模型计提应收账款坏账准备：</w:t>
      </w:r>
    </w:p>
    <w:p w14:paraId="2452CBD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1763829A"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12" w:name="_Toc989474"/>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本期计提、收回或转回的坏账准备情况</w:t>
      </w:r>
      <w:bookmarkEnd w:id="512"/>
    </w:p>
    <w:p w14:paraId="5F9612F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本期计提坏账准备情况：</w:t>
      </w:r>
    </w:p>
    <w:p w14:paraId="1B61FFA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30B48FF0" w14:textId="77777777" w:rsidTr="00A47B2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999311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24FCF22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6E2C83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527BE1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41352F27" w14:textId="77777777" w:rsidTr="00A47B2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1A02AF46" w14:textId="77777777" w:rsidR="00E32FE0" w:rsidRPr="005B5EC1" w:rsidRDefault="00E32FE0">
            <w:pPr>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40AD609" w14:textId="77777777" w:rsidR="00E32FE0" w:rsidRPr="005B5EC1" w:rsidRDefault="00E32FE0">
            <w:pPr>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EC20DA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592BF9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9CC203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6FC2E6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338CF238" w14:textId="77777777" w:rsidR="00E32FE0" w:rsidRPr="005B5EC1" w:rsidRDefault="00E32FE0">
            <w:pPr>
              <w:rPr>
                <w:rFonts w:ascii="Times New Roman" w:hAnsi="Times New Roman" w:cs="Times New Roman"/>
              </w:rPr>
            </w:pPr>
          </w:p>
        </w:tc>
      </w:tr>
      <w:tr w:rsidR="00E32FE0" w:rsidRPr="005B5EC1" w14:paraId="4D772D2E" w14:textId="77777777" w:rsidTr="00A47B2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05EB8B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CE144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27,595,274.41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911DF6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62,658,634.28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DB3436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-12,000,000.00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2CFAD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-6,255,780.52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59EF33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DE4CC1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71,998,128.17</w:t>
            </w:r>
          </w:p>
        </w:tc>
      </w:tr>
      <w:tr w:rsidR="00E32FE0" w:rsidRPr="005B5EC1" w14:paraId="1E3D4C66" w14:textId="77777777" w:rsidTr="00A47B2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00D23D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324B8A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27,595,274.41</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2CDF9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62,658,634.28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2F4FA5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-12,000,000.00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B3510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-6,255,780.52</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6DBD8B5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9781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71,998,128.17</w:t>
            </w:r>
          </w:p>
        </w:tc>
      </w:tr>
    </w:tbl>
    <w:p w14:paraId="30A8A5A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其中本期坏账准备收回或转回金额重要的：</w:t>
      </w:r>
    </w:p>
    <w:p w14:paraId="6F8E8893" w14:textId="77777777" w:rsidR="00AF139E" w:rsidRPr="005B5EC1" w:rsidRDefault="00000000">
      <w:pPr>
        <w:pStyle w:val="a3"/>
        <w:divId w:val="1489174974"/>
        <w:rPr>
          <w:rFonts w:ascii="Times New Roman" w:hAnsi="Times New Roman" w:cs="Times New Roman"/>
          <w:sz w:val="18"/>
          <w:szCs w:val="18"/>
        </w:rPr>
      </w:pPr>
      <w:r w:rsidRPr="005B5EC1">
        <w:rPr>
          <w:rFonts w:ascii="Times New Roman" w:hAnsi="Times New Roman" w:cs="Times New Roman"/>
          <w:sz w:val="18"/>
          <w:szCs w:val="18"/>
        </w:rPr>
        <w:t>无</w:t>
      </w:r>
    </w:p>
    <w:p w14:paraId="4A1A5647"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13" w:name="_Toc989475"/>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本期实际核销的应收账款情况</w:t>
      </w:r>
      <w:bookmarkEnd w:id="513"/>
    </w:p>
    <w:p w14:paraId="6F6CCAC4"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4EA0BEB9" w14:textId="77777777" w:rsidTr="00A47B2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3BABAD6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2806F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核销金额</w:t>
            </w:r>
          </w:p>
        </w:tc>
      </w:tr>
      <w:tr w:rsidR="00E32FE0" w:rsidRPr="005B5EC1" w14:paraId="176E9A45" w14:textId="77777777" w:rsidTr="00A47B2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7C19C7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99D6D1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6,255,780.52</w:t>
            </w:r>
          </w:p>
        </w:tc>
      </w:tr>
    </w:tbl>
    <w:p w14:paraId="0921022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其中重要的应收账款核销情况：</w:t>
      </w:r>
    </w:p>
    <w:p w14:paraId="525CC87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4C01D316"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C837AC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B0B418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应收账款性质</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9DD81D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1CB6FD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48DAD2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A3846D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款项是否由关联交易产生</w:t>
            </w:r>
          </w:p>
        </w:tc>
      </w:tr>
      <w:tr w:rsidR="00E32FE0" w:rsidRPr="005B5EC1" w14:paraId="359EB366"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D0BC2F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步步高商业连锁</w:t>
            </w:r>
            <w:r w:rsidRPr="005B5EC1">
              <w:rPr>
                <w:rFonts w:ascii="Times New Roman" w:eastAsia="宋体" w:hAnsi="Times New Roman" w:cs="Times New Roman"/>
                <w:sz w:val="18"/>
                <w:szCs w:val="18"/>
              </w:rPr>
              <w:lastRenderedPageBreak/>
              <w:t>股份有限公司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7426A1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 </w:t>
            </w:r>
            <w:r w:rsidRPr="005B5EC1">
              <w:rPr>
                <w:rFonts w:ascii="Times New Roman" w:eastAsia="宋体" w:hAnsi="Times New Roman" w:cs="Times New Roman"/>
                <w:sz w:val="18"/>
                <w:szCs w:val="18"/>
              </w:rPr>
              <w:t>货款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9EE07B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6,199,524.11</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BAA08BD"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债转股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51E02AA"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B5922F3"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55223E07"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45511D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栖霞真空办个人消费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E9A516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 </w:t>
            </w:r>
            <w:r w:rsidRPr="005B5EC1">
              <w:rPr>
                <w:rFonts w:ascii="Times New Roman" w:eastAsia="宋体" w:hAnsi="Times New Roman" w:cs="Times New Roman"/>
                <w:sz w:val="18"/>
                <w:szCs w:val="18"/>
              </w:rPr>
              <w:t>货款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130BBC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56,256.41</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5A063FC"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确认损失</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5289835"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164050A"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否</w:t>
            </w:r>
          </w:p>
        </w:tc>
      </w:tr>
      <w:tr w:rsidR="00E32FE0" w:rsidRPr="005B5EC1" w14:paraId="05544D44"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DB273E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2143057"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B8F5C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6,255,780.52</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5EB3DCB" w14:textId="77777777" w:rsidR="00E32FE0" w:rsidRPr="005B5EC1" w:rsidRDefault="00E32FE0" w:rsidP="00A47B24">
            <w:pPr>
              <w:jc w:val="cente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CAE599B" w14:textId="77777777" w:rsidR="00E32FE0" w:rsidRPr="005B5EC1" w:rsidRDefault="00E32FE0" w:rsidP="00A47B24">
            <w:pPr>
              <w:jc w:val="cente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7B06660" w14:textId="77777777" w:rsidR="00E32FE0" w:rsidRPr="005B5EC1" w:rsidRDefault="00E32FE0" w:rsidP="00A47B24">
            <w:pPr>
              <w:jc w:val="center"/>
              <w:rPr>
                <w:rFonts w:ascii="Times New Roman" w:hAnsi="Times New Roman" w:cs="Times New Roman"/>
              </w:rPr>
            </w:pPr>
          </w:p>
        </w:tc>
      </w:tr>
    </w:tbl>
    <w:p w14:paraId="0E24DBC2"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应收账款核销说明：</w:t>
      </w:r>
    </w:p>
    <w:p w14:paraId="370F61D7" w14:textId="77777777" w:rsidR="00AF139E" w:rsidRPr="005B5EC1" w:rsidRDefault="00000000">
      <w:pPr>
        <w:pStyle w:val="a3"/>
        <w:divId w:val="1556087162"/>
        <w:rPr>
          <w:rFonts w:ascii="Times New Roman" w:hAnsi="Times New Roman" w:cs="Times New Roman"/>
          <w:sz w:val="18"/>
          <w:szCs w:val="18"/>
        </w:rPr>
      </w:pPr>
      <w:r w:rsidRPr="005B5EC1">
        <w:rPr>
          <w:rFonts w:ascii="Times New Roman" w:hAnsi="Times New Roman" w:cs="Times New Roman"/>
          <w:sz w:val="18"/>
          <w:szCs w:val="18"/>
        </w:rPr>
        <w:t>无</w:t>
      </w:r>
    </w:p>
    <w:p w14:paraId="64295011"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14" w:name="_Toc989476"/>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按欠款方归集的期末余额前五名的应收账款和合同资产情况</w:t>
      </w:r>
      <w:bookmarkEnd w:id="514"/>
    </w:p>
    <w:p w14:paraId="1FF189A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627B7B7A"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03A673F" w14:textId="77777777" w:rsidR="00E32FE0" w:rsidRPr="005B5EC1" w:rsidRDefault="00000000" w:rsidP="00A47B24">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B97895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F7DBEC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60DAEA4"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5F1A04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19E56F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应收账款坏账准备和合同资产减值准备期末余额</w:t>
            </w:r>
          </w:p>
        </w:tc>
      </w:tr>
      <w:tr w:rsidR="00E32FE0" w:rsidRPr="005B5EC1" w14:paraId="6000DC1C"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63CDC40"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A</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7DA506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55,963,948.34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D4C42E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1AEB76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55,963,948.34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6BF12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11.90%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B40621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A37B4E6"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C08F564"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B</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EBAC14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41,129,028.88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D96040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F2674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41,129,028.88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1528C5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8.74%</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6DD7E0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41,129,028.88</w:t>
            </w:r>
          </w:p>
        </w:tc>
      </w:tr>
      <w:tr w:rsidR="00E32FE0" w:rsidRPr="005B5EC1" w14:paraId="2F87EA79"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62393E7"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C</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DEDCF2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25,371,782.56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731A5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695A41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25,371,782.56</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5C4BAF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5.39%</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745101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570,865.11</w:t>
            </w:r>
          </w:p>
        </w:tc>
      </w:tr>
      <w:tr w:rsidR="00E32FE0" w:rsidRPr="005B5EC1" w14:paraId="404B84D0"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C3AF7CE"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D</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D4157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24,129,000.00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EB856C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0E6805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24,129,000.00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5D748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5.13%</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F0DD25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542,902.50</w:t>
            </w:r>
          </w:p>
        </w:tc>
      </w:tr>
      <w:tr w:rsidR="00E32FE0" w:rsidRPr="005B5EC1" w14:paraId="2F86B219"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C32E94B" w14:textId="77777777" w:rsidR="00E32FE0" w:rsidRPr="005B5EC1" w:rsidRDefault="00000000" w:rsidP="00A47B24">
            <w:pPr>
              <w:spacing w:after="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客户</w:t>
            </w:r>
            <w:r w:rsidRPr="005B5EC1">
              <w:rPr>
                <w:rFonts w:ascii="Times New Roman" w:eastAsia="宋体" w:hAnsi="Times New Roman" w:cs="Times New Roman"/>
                <w:sz w:val="18"/>
                <w:szCs w:val="18"/>
              </w:rPr>
              <w:t>E</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82CB1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23,660,000.00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5B17B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4D2370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23,660,000.00</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F957C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5.03%</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4D44C7A"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89CFD6D"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D6B3163" w14:textId="77777777" w:rsidR="00E32FE0" w:rsidRPr="005B5EC1" w:rsidRDefault="00000000" w:rsidP="00A47B24">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45287A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170,253,759.78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D2B89C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A509A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170,253,759.78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150E8E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36.19%</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48037B4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42,242,796.49</w:t>
            </w:r>
          </w:p>
        </w:tc>
      </w:tr>
    </w:tbl>
    <w:p w14:paraId="49B32600" w14:textId="77777777" w:rsidR="00E32FE0" w:rsidRPr="005B5EC1" w:rsidRDefault="00000000">
      <w:pPr>
        <w:pStyle w:val="3"/>
        <w:spacing w:line="280" w:lineRule="exact"/>
        <w:jc w:val="left"/>
        <w:rPr>
          <w:rFonts w:ascii="Times New Roman" w:hAnsi="Times New Roman" w:cs="Times New Roman"/>
          <w:b/>
          <w:bCs/>
        </w:rPr>
      </w:pPr>
      <w:bookmarkStart w:id="515" w:name="_Toc989477"/>
      <w:r w:rsidRPr="005B5EC1">
        <w:rPr>
          <w:rFonts w:ascii="Times New Roman" w:hAnsi="Times New Roman" w:cs="Times New Roman"/>
          <w:b/>
          <w:bCs/>
        </w:rPr>
        <w:t>2</w:t>
      </w:r>
      <w:r w:rsidRPr="005B5EC1">
        <w:rPr>
          <w:rFonts w:ascii="Times New Roman" w:hAnsi="Times New Roman" w:cs="Times New Roman"/>
          <w:b/>
          <w:bCs/>
        </w:rPr>
        <w:t>、其他应收款</w:t>
      </w:r>
      <w:bookmarkEnd w:id="515"/>
    </w:p>
    <w:p w14:paraId="78C59AF3"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715F6B1"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FD64B0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B08EAA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01E57A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2FB68476"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0A5A74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应收股利</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0F843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44F427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r>
      <w:tr w:rsidR="00E32FE0" w:rsidRPr="005B5EC1" w14:paraId="5588DCD0"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8046E8C"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D11B5D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664,976,032.90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B7AEAA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515,367,684.10</w:t>
            </w:r>
          </w:p>
        </w:tc>
      </w:tr>
      <w:tr w:rsidR="00E32FE0" w:rsidRPr="005B5EC1" w14:paraId="51BA78A8"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8BF0B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9EEF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667,216,032.90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14D68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517,607,684.10</w:t>
            </w:r>
          </w:p>
        </w:tc>
      </w:tr>
    </w:tbl>
    <w:p w14:paraId="79B3AC5B"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516" w:name="_Toc989478"/>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应收利息</w:t>
      </w:r>
      <w:bookmarkEnd w:id="516"/>
    </w:p>
    <w:p w14:paraId="6DCA2B70" w14:textId="77777777" w:rsidR="00AF139E" w:rsidRPr="005B5EC1" w:rsidRDefault="00000000">
      <w:pPr>
        <w:pStyle w:val="a3"/>
        <w:divId w:val="1077172681"/>
        <w:rPr>
          <w:rFonts w:ascii="Times New Roman" w:hAnsi="Times New Roman" w:cs="Times New Roman"/>
          <w:sz w:val="18"/>
          <w:szCs w:val="18"/>
        </w:rPr>
      </w:pPr>
      <w:r w:rsidRPr="005B5EC1">
        <w:rPr>
          <w:rFonts w:ascii="Times New Roman" w:hAnsi="Times New Roman" w:cs="Times New Roman"/>
          <w:sz w:val="18"/>
          <w:szCs w:val="18"/>
        </w:rPr>
        <w:t>无</w:t>
      </w:r>
    </w:p>
    <w:p w14:paraId="7FF163F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517" w:name="_Toc989484"/>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应收股利</w:t>
      </w:r>
      <w:bookmarkEnd w:id="517"/>
    </w:p>
    <w:p w14:paraId="6A95EE4C"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518" w:name="_Toc989485"/>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应收股利分类</w:t>
      </w:r>
      <w:bookmarkEnd w:id="518"/>
    </w:p>
    <w:p w14:paraId="14E3D08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471396C2"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C3624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C9DD6B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E44238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E32FE0" w:rsidRPr="005B5EC1" w14:paraId="66E9D7FE"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58B6A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蓬莱富龙肉食品有限公司</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085F69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517B0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r>
      <w:tr w:rsidR="00E32FE0" w:rsidRPr="005B5EC1" w14:paraId="31ED98BE"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4100F4E"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727E99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13A3AC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r>
    </w:tbl>
    <w:p w14:paraId="03099090"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519" w:name="_Toc989486"/>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重要的账龄超过</w:t>
      </w:r>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年的应收股利</w:t>
      </w:r>
      <w:bookmarkEnd w:id="519"/>
    </w:p>
    <w:p w14:paraId="50B301AA" w14:textId="77777777" w:rsidR="00345B35" w:rsidRPr="005B5EC1" w:rsidRDefault="00345B35" w:rsidP="00345B35">
      <w:pPr>
        <w:pStyle w:val="a3"/>
        <w:rPr>
          <w:rFonts w:ascii="Times New Roman" w:hAnsi="Times New Roman" w:cs="Times New Roman"/>
          <w:sz w:val="18"/>
          <w:szCs w:val="18"/>
        </w:rPr>
      </w:pPr>
      <w:bookmarkStart w:id="520" w:name="_Toc989487"/>
      <w:r w:rsidRPr="005B5EC1">
        <w:rPr>
          <w:rFonts w:ascii="Times New Roman" w:hAnsi="Times New Roman" w:cs="Times New Roman"/>
          <w:sz w:val="18"/>
          <w:szCs w:val="18"/>
        </w:rPr>
        <w:t>无</w:t>
      </w:r>
    </w:p>
    <w:p w14:paraId="48187913"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r w:rsidRPr="005B5EC1">
        <w:rPr>
          <w:rFonts w:ascii="Times New Roman" w:eastAsia="宋体" w:hAnsi="Times New Roman" w:cs="Times New Roman"/>
          <w:b/>
          <w:bCs/>
          <w:sz w:val="18"/>
          <w:szCs w:val="18"/>
        </w:rPr>
        <w:lastRenderedPageBreak/>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按坏账计提方法分类披露</w:t>
      </w:r>
      <w:bookmarkEnd w:id="520"/>
    </w:p>
    <w:p w14:paraId="6DE9AC7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388A0D8C" w14:textId="77777777" w:rsidR="00E32FE0" w:rsidRPr="005B5EC1" w:rsidRDefault="00000000">
      <w:pPr>
        <w:keepNext/>
        <w:keepLines/>
        <w:spacing w:before="300" w:after="300" w:line="280" w:lineRule="exact"/>
        <w:outlineLvl w:val="4"/>
        <w:rPr>
          <w:rFonts w:ascii="Times New Roman" w:eastAsia="宋体" w:hAnsi="Times New Roman" w:cs="Times New Roman"/>
          <w:b/>
          <w:bCs/>
          <w:sz w:val="21"/>
          <w:szCs w:val="21"/>
        </w:rPr>
      </w:pPr>
      <w:bookmarkStart w:id="521" w:name="_Toc989488"/>
      <w:r w:rsidRPr="005B5EC1">
        <w:rPr>
          <w:rFonts w:ascii="Times New Roman" w:eastAsia="宋体" w:hAnsi="Times New Roman" w:cs="Times New Roman"/>
          <w:b/>
          <w:bCs/>
          <w:sz w:val="21"/>
          <w:szCs w:val="21"/>
        </w:rPr>
        <w:t>4</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本期计提、收回或转回的坏账准备的情况</w:t>
      </w:r>
      <w:bookmarkEnd w:id="521"/>
    </w:p>
    <w:p w14:paraId="4B768B55" w14:textId="77777777" w:rsidR="00AF139E" w:rsidRPr="005B5EC1" w:rsidRDefault="00000000">
      <w:pPr>
        <w:pStyle w:val="a3"/>
        <w:divId w:val="1887717878"/>
        <w:rPr>
          <w:rFonts w:ascii="Times New Roman" w:hAnsi="Times New Roman" w:cs="Times New Roman"/>
          <w:sz w:val="18"/>
          <w:szCs w:val="18"/>
        </w:rPr>
      </w:pPr>
      <w:r w:rsidRPr="005B5EC1">
        <w:rPr>
          <w:rFonts w:ascii="Times New Roman" w:hAnsi="Times New Roman" w:cs="Times New Roman"/>
          <w:sz w:val="18"/>
          <w:szCs w:val="18"/>
        </w:rPr>
        <w:t>无</w:t>
      </w:r>
    </w:p>
    <w:p w14:paraId="1DCC12F3" w14:textId="77777777" w:rsidR="00E32FE0" w:rsidRPr="005B5EC1" w:rsidRDefault="00000000">
      <w:pPr>
        <w:keepNext/>
        <w:keepLines/>
        <w:spacing w:before="300" w:after="300" w:line="280" w:lineRule="exact"/>
        <w:outlineLvl w:val="4"/>
        <w:rPr>
          <w:rFonts w:ascii="Times New Roman" w:eastAsia="宋体" w:hAnsi="Times New Roman" w:cs="Times New Roman"/>
          <w:b/>
          <w:bCs/>
          <w:sz w:val="21"/>
          <w:szCs w:val="21"/>
        </w:rPr>
      </w:pPr>
      <w:bookmarkStart w:id="522" w:name="_Toc989489"/>
      <w:r w:rsidRPr="005B5EC1">
        <w:rPr>
          <w:rFonts w:ascii="Times New Roman" w:eastAsia="宋体" w:hAnsi="Times New Roman" w:cs="Times New Roman"/>
          <w:b/>
          <w:bCs/>
          <w:sz w:val="21"/>
          <w:szCs w:val="21"/>
        </w:rPr>
        <w:t>5</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本期实际核销的应收股利情况</w:t>
      </w:r>
      <w:bookmarkEnd w:id="522"/>
    </w:p>
    <w:p w14:paraId="48B95180" w14:textId="77777777" w:rsidR="00AF139E" w:rsidRPr="005B5EC1" w:rsidRDefault="00000000">
      <w:pPr>
        <w:pStyle w:val="a3"/>
        <w:divId w:val="80564161"/>
        <w:rPr>
          <w:rFonts w:ascii="Times New Roman" w:hAnsi="Times New Roman" w:cs="Times New Roman"/>
          <w:sz w:val="18"/>
          <w:szCs w:val="18"/>
        </w:rPr>
      </w:pPr>
      <w:r w:rsidRPr="005B5EC1">
        <w:rPr>
          <w:rFonts w:ascii="Times New Roman" w:hAnsi="Times New Roman" w:cs="Times New Roman"/>
          <w:sz w:val="18"/>
          <w:szCs w:val="18"/>
        </w:rPr>
        <w:t>无</w:t>
      </w:r>
    </w:p>
    <w:p w14:paraId="08787A5D" w14:textId="77777777" w:rsidR="00E32FE0" w:rsidRPr="005B5EC1" w:rsidRDefault="00000000">
      <w:pPr>
        <w:keepNext/>
        <w:keepLines/>
        <w:spacing w:before="300" w:after="300" w:line="280" w:lineRule="exact"/>
        <w:outlineLvl w:val="3"/>
        <w:rPr>
          <w:rFonts w:ascii="Times New Roman" w:eastAsia="宋体" w:hAnsi="Times New Roman" w:cs="Times New Roman"/>
          <w:b/>
          <w:bCs/>
          <w:sz w:val="18"/>
          <w:szCs w:val="18"/>
        </w:rPr>
      </w:pPr>
      <w:bookmarkStart w:id="523" w:name="_Toc989490"/>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其他应收款</w:t>
      </w:r>
      <w:bookmarkEnd w:id="523"/>
    </w:p>
    <w:p w14:paraId="10FAF39E"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524" w:name="_Toc989491"/>
      <w:r w:rsidRPr="005B5EC1">
        <w:rPr>
          <w:rFonts w:ascii="Times New Roman" w:eastAsia="宋体" w:hAnsi="Times New Roman" w:cs="Times New Roman"/>
          <w:b/>
          <w:bCs/>
          <w:sz w:val="18"/>
          <w:szCs w:val="18"/>
        </w:rPr>
        <w:t>1</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其他应收款按款项性质分类情况</w:t>
      </w:r>
      <w:bookmarkEnd w:id="524"/>
    </w:p>
    <w:p w14:paraId="06609FDC"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5F8E7817"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3E17BE3"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C5A7973"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5F1FD47"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期初账面余额</w:t>
            </w:r>
          </w:p>
        </w:tc>
      </w:tr>
      <w:tr w:rsidR="00E32FE0" w:rsidRPr="005B5EC1" w14:paraId="4C8B0BAC"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A1E863"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备用金借支</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5D1C9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2,589,131.62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41ECC2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2,634,329.78</w:t>
            </w:r>
          </w:p>
        </w:tc>
      </w:tr>
      <w:tr w:rsidR="00E32FE0" w:rsidRPr="005B5EC1" w14:paraId="36DDAD04"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4BA9F7"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保证金、押金</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AC43276"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35,333,053.54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3D0A884"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27,432,548.26</w:t>
            </w:r>
          </w:p>
        </w:tc>
      </w:tr>
      <w:tr w:rsidR="00E32FE0" w:rsidRPr="005B5EC1" w14:paraId="5E80C74B"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433CDB"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对关联公司的应收款项</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B82858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1,133,902,592.30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4A9D4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1,116,824,311.18</w:t>
            </w:r>
          </w:p>
        </w:tc>
      </w:tr>
      <w:tr w:rsidR="00E32FE0" w:rsidRPr="005B5EC1" w14:paraId="2AE36E67"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D6A76EB"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860D3B6"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780,183.31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5A6CBC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8,391,946.17</w:t>
            </w:r>
          </w:p>
        </w:tc>
      </w:tr>
      <w:tr w:rsidR="00E32FE0" w:rsidRPr="005B5EC1" w14:paraId="5BF4CBD5"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20F1D3D" w14:textId="3497AC05"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应收股权转让款</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8E1935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64,200,000.00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0DF2756"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r>
      <w:tr w:rsidR="00E32FE0" w:rsidRPr="005B5EC1" w14:paraId="7EE910BA"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93C900E"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36F5596"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-571,828,927.87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330F9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-639,915,451.29</w:t>
            </w:r>
          </w:p>
        </w:tc>
      </w:tr>
      <w:tr w:rsidR="00E32FE0" w:rsidRPr="005B5EC1" w14:paraId="2EA771BE"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E33B4B8"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0A8C824"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664,976,032.90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612E9F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515,367,684.10</w:t>
            </w:r>
          </w:p>
        </w:tc>
      </w:tr>
    </w:tbl>
    <w:p w14:paraId="68C34FE7"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525" w:name="_Toc989492"/>
      <w:r w:rsidRPr="005B5EC1">
        <w:rPr>
          <w:rFonts w:ascii="Times New Roman" w:eastAsia="宋体" w:hAnsi="Times New Roman" w:cs="Times New Roman"/>
          <w:b/>
          <w:bCs/>
          <w:sz w:val="18"/>
          <w:szCs w:val="18"/>
        </w:rPr>
        <w:t>2</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proofErr w:type="gramStart"/>
      <w:r w:rsidRPr="005B5EC1">
        <w:rPr>
          <w:rFonts w:ascii="Times New Roman" w:eastAsia="宋体" w:hAnsi="Times New Roman" w:cs="Times New Roman"/>
          <w:b/>
          <w:bCs/>
          <w:sz w:val="18"/>
          <w:szCs w:val="18"/>
        </w:rPr>
        <w:t>按账龄</w:t>
      </w:r>
      <w:proofErr w:type="gramEnd"/>
      <w:r w:rsidRPr="005B5EC1">
        <w:rPr>
          <w:rFonts w:ascii="Times New Roman" w:eastAsia="宋体" w:hAnsi="Times New Roman" w:cs="Times New Roman"/>
          <w:b/>
          <w:bCs/>
          <w:sz w:val="18"/>
          <w:szCs w:val="18"/>
        </w:rPr>
        <w:t>披露</w:t>
      </w:r>
      <w:bookmarkEnd w:id="525"/>
    </w:p>
    <w:p w14:paraId="27DD2E8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5CC53566"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B4DDFAE"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58B07BB"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B44B9A"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期初账面余额</w:t>
            </w:r>
          </w:p>
        </w:tc>
      </w:tr>
      <w:tr w:rsidR="00E32FE0" w:rsidRPr="005B5EC1" w14:paraId="02337D3C"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49E7DD2"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年以内（含</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F4DAD1E"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425,431,063.09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1F72AD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461,271,902.32</w:t>
            </w:r>
          </w:p>
        </w:tc>
      </w:tr>
      <w:tr w:rsidR="00E32FE0" w:rsidRPr="005B5EC1" w14:paraId="35FE8560"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C581555"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A3720A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173,823,705.05</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FEBD95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186,013,215.98</w:t>
            </w:r>
          </w:p>
        </w:tc>
      </w:tr>
      <w:tr w:rsidR="00E32FE0" w:rsidRPr="005B5EC1" w14:paraId="114ABA59"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04F7D62"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489D35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205,172,663.47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67DC065"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86,604,589.79</w:t>
            </w:r>
          </w:p>
        </w:tc>
      </w:tr>
      <w:tr w:rsidR="00E32FE0" w:rsidRPr="005B5EC1" w14:paraId="6D30A69A"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ADB98E2"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7-9</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5850AE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1,537,687.11</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C0093B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62,315,100.00</w:t>
            </w:r>
          </w:p>
        </w:tc>
      </w:tr>
      <w:tr w:rsidR="00E32FE0" w:rsidRPr="005B5EC1" w14:paraId="0F6DAB76"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746657" w14:textId="77777777" w:rsidR="00E32FE0" w:rsidRPr="005B5EC1" w:rsidRDefault="00000000" w:rsidP="00A47B24">
            <w:pPr>
              <w:spacing w:after="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10-12</w:t>
            </w:r>
            <w:r w:rsidRPr="005B5EC1">
              <w:rPr>
                <w:rFonts w:ascii="Times New Roman" w:eastAsia="宋体" w:hAnsi="Times New Roman" w:cs="Times New Roman"/>
                <w:sz w:val="18"/>
                <w:szCs w:val="18"/>
              </w:rPr>
              <w:t>月</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287164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44,897,007.46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36FB48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126,338,996.55</w:t>
            </w:r>
          </w:p>
        </w:tc>
      </w:tr>
      <w:tr w:rsidR="00E32FE0" w:rsidRPr="005B5EC1" w14:paraId="7BAECB46"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D57907A"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34E8485"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287,434,499.79</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63EA0E2"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259,521,703.76</w:t>
            </w:r>
          </w:p>
        </w:tc>
      </w:tr>
      <w:tr w:rsidR="00E32FE0" w:rsidRPr="005B5EC1" w14:paraId="0FAFADDB"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BB94013"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2</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CDC1EA7"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173,429,639.93</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390A8FC"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247,030,724.79</w:t>
            </w:r>
          </w:p>
        </w:tc>
      </w:tr>
      <w:tr w:rsidR="00E32FE0" w:rsidRPr="005B5EC1" w14:paraId="2D243A38"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AD6A05"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4C93C4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350,509,757.96</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7193572"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187,458,804.52</w:t>
            </w:r>
          </w:p>
        </w:tc>
      </w:tr>
      <w:tr w:rsidR="00E32FE0" w:rsidRPr="005B5EC1" w14:paraId="3C79BED7"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DA4E15"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3</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F2705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183,504,497.44</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5CD9FD7"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159,103,406.00</w:t>
            </w:r>
          </w:p>
        </w:tc>
      </w:tr>
      <w:tr w:rsidR="00E32FE0" w:rsidRPr="005B5EC1" w14:paraId="2860586B"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59B1FBD"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4</w:t>
            </w:r>
            <w:r w:rsidRPr="005B5EC1">
              <w:rPr>
                <w:rFonts w:ascii="Times New Roman" w:eastAsia="宋体" w:hAnsi="Times New Roman" w:cs="Times New Roman"/>
                <w:sz w:val="18"/>
                <w:szCs w:val="18"/>
              </w:rPr>
              <w:t>至</w:t>
            </w: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年</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B1D632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166,605,722.00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171088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27,181,912.50</w:t>
            </w:r>
          </w:p>
        </w:tc>
      </w:tr>
      <w:tr w:rsidR="00E32FE0" w:rsidRPr="005B5EC1" w14:paraId="056B1244"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32CB7A6"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5</w:t>
            </w:r>
            <w:r w:rsidRPr="005B5EC1">
              <w:rPr>
                <w:rFonts w:ascii="Times New Roman" w:eastAsia="宋体" w:hAnsi="Times New Roman" w:cs="Times New Roman"/>
                <w:sz w:val="18"/>
                <w:szCs w:val="18"/>
              </w:rPr>
              <w:t>年以上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58E065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399,538.52</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4950EF2"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1,173,486.02</w:t>
            </w:r>
          </w:p>
        </w:tc>
      </w:tr>
      <w:tr w:rsidR="00E32FE0" w:rsidRPr="005B5EC1" w14:paraId="0C79E811"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7A85E97"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141C74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1,236,804,960.77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2386FBE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1,155,283,135.39</w:t>
            </w:r>
          </w:p>
        </w:tc>
      </w:tr>
    </w:tbl>
    <w:p w14:paraId="3BC89B49"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526" w:name="_Toc989493"/>
      <w:r w:rsidRPr="005B5EC1">
        <w:rPr>
          <w:rFonts w:ascii="Times New Roman" w:eastAsia="宋体" w:hAnsi="Times New Roman" w:cs="Times New Roman"/>
          <w:b/>
          <w:bCs/>
          <w:sz w:val="18"/>
          <w:szCs w:val="18"/>
        </w:rPr>
        <w:t>3</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按坏账计提方法分类披露</w:t>
      </w:r>
      <w:bookmarkEnd w:id="526"/>
    </w:p>
    <w:p w14:paraId="1987C87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按预期信用损失一般模型计提坏账准备：</w:t>
      </w:r>
    </w:p>
    <w:p w14:paraId="0922902B"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670A1EB3" w14:textId="77777777" w:rsidTr="00A47B2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E017CAB"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A1864B1"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4DBB976"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C66B192"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AB6EF60"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r>
      <w:tr w:rsidR="00E32FE0" w:rsidRPr="005B5EC1" w14:paraId="0EDC6029" w14:textId="77777777" w:rsidTr="00A47B2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A48974A" w14:textId="77777777" w:rsidR="00E32FE0" w:rsidRPr="005B5EC1" w:rsidRDefault="00E32FE0" w:rsidP="00A47B24">
            <w:pPr>
              <w:spacing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DE0B8B1"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未来</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11A2ABA"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3E605E5"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5A7D2AB6" w14:textId="77777777" w:rsidR="00E32FE0" w:rsidRPr="005B5EC1" w:rsidRDefault="00E32FE0" w:rsidP="00A47B24">
            <w:pPr>
              <w:spacing w:line="276" w:lineRule="auto"/>
              <w:rPr>
                <w:rFonts w:ascii="Times New Roman" w:hAnsi="Times New Roman" w:cs="Times New Roman"/>
              </w:rPr>
            </w:pPr>
          </w:p>
        </w:tc>
      </w:tr>
      <w:tr w:rsidR="00E32FE0" w:rsidRPr="005B5EC1" w14:paraId="4546A59D" w14:textId="77777777" w:rsidTr="00A47B2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761C8C8"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日余额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D6069D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7,671,140.11</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6CA0885"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FB5A9DC"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632,244,311.18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7424B1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639,915,451.29</w:t>
            </w:r>
          </w:p>
        </w:tc>
      </w:tr>
      <w:tr w:rsidR="00E32FE0" w:rsidRPr="005B5EC1" w14:paraId="61ECA9C7" w14:textId="77777777" w:rsidTr="00A47B2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24C5B2A"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6524004" w14:textId="77777777" w:rsidR="00E32FE0" w:rsidRPr="005B5EC1" w:rsidRDefault="00E32FE0" w:rsidP="00A47B24">
            <w:pPr>
              <w:spacing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6E8032" w14:textId="77777777" w:rsidR="00E32FE0" w:rsidRPr="005B5EC1" w:rsidRDefault="00E32FE0" w:rsidP="00A47B24">
            <w:pPr>
              <w:spacing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638AE1E" w14:textId="77777777" w:rsidR="00E32FE0" w:rsidRPr="005B5EC1" w:rsidRDefault="00E32FE0" w:rsidP="00A47B24">
            <w:pPr>
              <w:spacing w:line="276" w:lineRule="auto"/>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77C9854" w14:textId="77777777" w:rsidR="00E32FE0" w:rsidRPr="005B5EC1" w:rsidRDefault="00E32FE0" w:rsidP="00A47B24">
            <w:pPr>
              <w:spacing w:line="276" w:lineRule="auto"/>
              <w:rPr>
                <w:rFonts w:ascii="Times New Roman" w:hAnsi="Times New Roman" w:cs="Times New Roman"/>
              </w:rPr>
            </w:pPr>
          </w:p>
        </w:tc>
      </w:tr>
      <w:tr w:rsidR="00E32FE0" w:rsidRPr="005B5EC1" w14:paraId="25FD245E" w14:textId="77777777" w:rsidTr="00A47B2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F3A1A46"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本期计提</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30EC74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13,572,175.76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8FE913A"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9165A02"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987B37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13,572,175.76</w:t>
            </w:r>
          </w:p>
        </w:tc>
      </w:tr>
      <w:tr w:rsidR="00E32FE0" w:rsidRPr="005B5EC1" w14:paraId="62D91BDD" w14:textId="77777777" w:rsidTr="00A47B2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B68E3D7"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本期转回</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1F9AA11"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1FE047F"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8FF706D"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58,974,388.00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A88F2D8"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58,974,388.00</w:t>
            </w:r>
          </w:p>
        </w:tc>
      </w:tr>
      <w:tr w:rsidR="00E32FE0" w:rsidRPr="005B5EC1" w14:paraId="2CFA04AE" w14:textId="77777777" w:rsidTr="00A47B2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E0ECD7E"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本期转销</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8EE3D4E"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6B2ADB5"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FBEC076"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22,684,311.18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3EA423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22,684,311.18</w:t>
            </w:r>
          </w:p>
        </w:tc>
      </w:tr>
      <w:tr w:rsidR="00E32FE0" w:rsidRPr="005B5EC1" w14:paraId="2DC43AF2" w14:textId="77777777" w:rsidTr="00A47B2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E924781"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2024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31</w:t>
            </w:r>
            <w:r w:rsidRPr="005B5EC1">
              <w:rPr>
                <w:rFonts w:ascii="Times New Roman" w:eastAsia="宋体" w:hAnsi="Times New Roman" w:cs="Times New Roman"/>
                <w:sz w:val="18"/>
                <w:szCs w:val="18"/>
              </w:rPr>
              <w:t>日余额</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CCDCD7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21,243,315.87</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1E514C5E"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FEB73B6"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550,585,612.00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6C2E47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571,828,927.87</w:t>
            </w:r>
          </w:p>
        </w:tc>
      </w:tr>
    </w:tbl>
    <w:p w14:paraId="5C161DEB"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各阶段划分依据和坏账准备计提比例</w:t>
      </w:r>
    </w:p>
    <w:p w14:paraId="5786AF90" w14:textId="77777777" w:rsidR="00AF139E" w:rsidRPr="005B5EC1" w:rsidRDefault="00000000">
      <w:pPr>
        <w:pStyle w:val="a3"/>
        <w:divId w:val="1960913261"/>
        <w:rPr>
          <w:rFonts w:ascii="Times New Roman" w:hAnsi="Times New Roman" w:cs="Times New Roman"/>
          <w:sz w:val="18"/>
          <w:szCs w:val="18"/>
        </w:rPr>
      </w:pPr>
      <w:r w:rsidRPr="005B5EC1">
        <w:rPr>
          <w:rFonts w:ascii="Times New Roman" w:hAnsi="Times New Roman" w:cs="Times New Roman"/>
          <w:sz w:val="18"/>
          <w:szCs w:val="18"/>
        </w:rPr>
        <w:t>无</w:t>
      </w:r>
    </w:p>
    <w:p w14:paraId="650A166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损失准备本期变动金额重大的账面余额变动情况</w:t>
      </w:r>
    </w:p>
    <w:p w14:paraId="4F0B621C"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2BFB873"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527" w:name="_Toc989494"/>
      <w:r w:rsidRPr="005B5EC1">
        <w:rPr>
          <w:rFonts w:ascii="Times New Roman" w:eastAsia="宋体" w:hAnsi="Times New Roman" w:cs="Times New Roman"/>
          <w:b/>
          <w:bCs/>
          <w:sz w:val="18"/>
          <w:szCs w:val="18"/>
        </w:rPr>
        <w:t>4</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本期计提、收回或转回的坏账准备情况</w:t>
      </w:r>
      <w:bookmarkEnd w:id="527"/>
    </w:p>
    <w:p w14:paraId="1013B2F3"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本期计提坏账准备情况：</w:t>
      </w:r>
    </w:p>
    <w:p w14:paraId="5EC4DD55"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E32FE0" w:rsidRPr="005B5EC1" w14:paraId="48562A04" w14:textId="77777777" w:rsidTr="00A47B2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16BFA8B"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66777937"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0722134"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57082CA"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r>
      <w:tr w:rsidR="00E32FE0" w:rsidRPr="005B5EC1" w14:paraId="3ED474A4" w14:textId="77777777" w:rsidTr="00A47B2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C96C2DB" w14:textId="77777777" w:rsidR="00E32FE0" w:rsidRPr="005B5EC1" w:rsidRDefault="00E32FE0" w:rsidP="00A47B24">
            <w:pPr>
              <w:spacing w:line="276" w:lineRule="auto"/>
              <w:rPr>
                <w:rFonts w:ascii="Times New Roman" w:hAnsi="Times New Roman" w:cs="Times New Roman"/>
              </w:rPr>
            </w:pP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EBE1883" w14:textId="77777777" w:rsidR="00E32FE0" w:rsidRPr="005B5EC1" w:rsidRDefault="00E32FE0" w:rsidP="00A47B24">
            <w:pPr>
              <w:spacing w:line="276" w:lineRule="auto"/>
              <w:rPr>
                <w:rFonts w:ascii="Times New Roman" w:hAnsi="Times New Roman" w:cs="Times New Roman"/>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DBF21F8"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88712C4"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0E7C3B8"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64C2D81"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37A8886" w14:textId="77777777" w:rsidR="00E32FE0" w:rsidRPr="005B5EC1" w:rsidRDefault="00E32FE0" w:rsidP="00A47B24">
            <w:pPr>
              <w:spacing w:line="276" w:lineRule="auto"/>
              <w:rPr>
                <w:rFonts w:ascii="Times New Roman" w:hAnsi="Times New Roman" w:cs="Times New Roman"/>
              </w:rPr>
            </w:pPr>
          </w:p>
        </w:tc>
      </w:tr>
      <w:tr w:rsidR="00E32FE0" w:rsidRPr="005B5EC1" w14:paraId="56C2EDB8" w14:textId="77777777" w:rsidTr="00A47B2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78B8A12"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其他应收款</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3F3CD438"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639,915,451.29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BA62F9A"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13,572,175.76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17CF6D1"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-58,974,388.00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215A1E4"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-22,684,311.18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2F08C3B"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1409C8E"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571,828,927.87</w:t>
            </w:r>
          </w:p>
        </w:tc>
      </w:tr>
      <w:tr w:rsidR="00E32FE0" w:rsidRPr="005B5EC1" w14:paraId="1452EA6E" w14:textId="77777777" w:rsidTr="00A47B2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F2688AF"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54565712"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639,915,451.29</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0F5741E8"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13,572,175.76</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21881822"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-58,974,388.00</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7D12825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-22,684,311.18</w:t>
            </w: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4A1EB046"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auto"/>
            <w:vAlign w:val="center"/>
          </w:tcPr>
          <w:p w14:paraId="165D4CA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571,828,927.87</w:t>
            </w:r>
          </w:p>
        </w:tc>
      </w:tr>
    </w:tbl>
    <w:p w14:paraId="0D03168D" w14:textId="77777777" w:rsidR="00AF139E" w:rsidRPr="005B5EC1" w:rsidRDefault="00000000">
      <w:pPr>
        <w:pStyle w:val="a3"/>
        <w:divId w:val="1117019249"/>
        <w:rPr>
          <w:rFonts w:ascii="Times New Roman" w:hAnsi="Times New Roman" w:cs="Times New Roman"/>
          <w:sz w:val="18"/>
          <w:szCs w:val="18"/>
        </w:rPr>
      </w:pPr>
      <w:r w:rsidRPr="005B5EC1">
        <w:rPr>
          <w:rFonts w:ascii="Times New Roman" w:hAnsi="Times New Roman" w:cs="Times New Roman"/>
          <w:sz w:val="18"/>
          <w:szCs w:val="18"/>
        </w:rPr>
        <w:t>无</w:t>
      </w:r>
    </w:p>
    <w:p w14:paraId="4A84D39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其中本期坏账准备转回或收回金额重要的：</w:t>
      </w:r>
    </w:p>
    <w:p w14:paraId="79987DAC" w14:textId="77777777" w:rsidR="00AF139E" w:rsidRPr="005B5EC1" w:rsidRDefault="00000000">
      <w:pPr>
        <w:pStyle w:val="a3"/>
        <w:divId w:val="1284078475"/>
        <w:rPr>
          <w:rFonts w:ascii="Times New Roman" w:hAnsi="Times New Roman" w:cs="Times New Roman"/>
          <w:sz w:val="18"/>
          <w:szCs w:val="18"/>
        </w:rPr>
      </w:pPr>
      <w:r w:rsidRPr="005B5EC1">
        <w:rPr>
          <w:rFonts w:ascii="Times New Roman" w:hAnsi="Times New Roman" w:cs="Times New Roman"/>
          <w:sz w:val="18"/>
          <w:szCs w:val="18"/>
        </w:rPr>
        <w:t>无</w:t>
      </w:r>
    </w:p>
    <w:p w14:paraId="6A1A1B9B"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528" w:name="_Toc989495"/>
      <w:r w:rsidRPr="005B5EC1">
        <w:rPr>
          <w:rFonts w:ascii="Times New Roman" w:eastAsia="宋体" w:hAnsi="Times New Roman" w:cs="Times New Roman"/>
          <w:b/>
          <w:bCs/>
          <w:sz w:val="18"/>
          <w:szCs w:val="18"/>
        </w:rPr>
        <w:t>5</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本期实际核销的其他应收款情况</w:t>
      </w:r>
      <w:bookmarkEnd w:id="528"/>
    </w:p>
    <w:p w14:paraId="06A1E759"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E32FE0" w:rsidRPr="005B5EC1" w14:paraId="29CFE6B3" w14:textId="77777777" w:rsidTr="00A47B2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0C34F33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66641D9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核销金额</w:t>
            </w:r>
          </w:p>
        </w:tc>
      </w:tr>
      <w:tr w:rsidR="00E32FE0" w:rsidRPr="005B5EC1" w14:paraId="11791F9C" w14:textId="77777777" w:rsidTr="00A47B2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27D2276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实际核销的其他应收款</w:t>
            </w:r>
          </w:p>
        </w:tc>
        <w:tc>
          <w:tcPr>
            <w:tcW w:w="4820" w:type="dxa"/>
            <w:tcBorders>
              <w:top w:val="single" w:sz="2" w:space="0" w:color="auto"/>
              <w:left w:val="single" w:sz="2" w:space="0" w:color="auto"/>
              <w:bottom w:val="single" w:sz="2" w:space="0" w:color="auto"/>
              <w:right w:val="single" w:sz="2" w:space="0" w:color="auto"/>
            </w:tcBorders>
            <w:shd w:val="clear" w:color="auto" w:fill="auto"/>
            <w:vAlign w:val="center"/>
          </w:tcPr>
          <w:p w14:paraId="443DC9F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22,684,311.18</w:t>
            </w:r>
          </w:p>
        </w:tc>
      </w:tr>
    </w:tbl>
    <w:p w14:paraId="6EBE5D3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其中重要的其他应收款核销情况：</w:t>
      </w:r>
    </w:p>
    <w:p w14:paraId="180AF40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E32FE0" w:rsidRPr="005B5EC1" w14:paraId="513BA7B6"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73F88E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B74DFA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w:t>
            </w:r>
            <w:proofErr w:type="gramStart"/>
            <w:r w:rsidRPr="005B5EC1">
              <w:rPr>
                <w:rFonts w:ascii="Times New Roman" w:eastAsia="宋体" w:hAnsi="Times New Roman" w:cs="Times New Roman"/>
                <w:sz w:val="18"/>
                <w:szCs w:val="18"/>
              </w:rPr>
              <w:t>款性质</w:t>
            </w:r>
            <w:proofErr w:type="gramEnd"/>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2DB44DA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核销金额</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913C68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核销原因</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06B4E29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履行的核销程序</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466A7A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款项是否由关联交易产生</w:t>
            </w:r>
          </w:p>
        </w:tc>
      </w:tr>
      <w:tr w:rsidR="00E32FE0" w:rsidRPr="005B5EC1" w14:paraId="584D8523"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89DC15D" w14:textId="77777777" w:rsidR="00E32FE0" w:rsidRPr="005B5EC1" w:rsidRDefault="00000000">
            <w:pPr>
              <w:spacing w:after="0" w:line="240" w:lineRule="exact"/>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莒</w:t>
            </w:r>
            <w:proofErr w:type="gramEnd"/>
            <w:r w:rsidRPr="005B5EC1">
              <w:rPr>
                <w:rFonts w:ascii="Times New Roman" w:eastAsia="宋体" w:hAnsi="Times New Roman" w:cs="Times New Roman"/>
                <w:sz w:val="18"/>
                <w:szCs w:val="18"/>
              </w:rPr>
              <w:t>南龙大肉食品</w:t>
            </w:r>
            <w:r w:rsidRPr="005B5EC1">
              <w:rPr>
                <w:rFonts w:ascii="Times New Roman" w:eastAsia="宋体" w:hAnsi="Times New Roman" w:cs="Times New Roman"/>
                <w:sz w:val="18"/>
                <w:szCs w:val="18"/>
              </w:rPr>
              <w:lastRenderedPageBreak/>
              <w:t>有限公司</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70FFB3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借款</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B25D6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22,684,311.18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159E402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注销</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310B844"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管理层审批</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379F23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是</w:t>
            </w:r>
          </w:p>
        </w:tc>
      </w:tr>
      <w:tr w:rsidR="00E32FE0" w:rsidRPr="005B5EC1" w14:paraId="50022196" w14:textId="77777777" w:rsidTr="00A47B2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30F97E2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E69BAB1"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692C034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22,684,311.18</w:t>
            </w: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8876322"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5CF2F81A" w14:textId="77777777" w:rsidR="00E32FE0" w:rsidRPr="005B5EC1" w:rsidRDefault="00E32FE0">
            <w:pPr>
              <w:rPr>
                <w:rFonts w:ascii="Times New Roman" w:hAnsi="Times New Roman" w:cs="Times New Roman"/>
              </w:rPr>
            </w:pPr>
          </w:p>
        </w:tc>
        <w:tc>
          <w:tcPr>
            <w:tcW w:w="1606" w:type="dxa"/>
            <w:tcBorders>
              <w:top w:val="single" w:sz="2" w:space="0" w:color="auto"/>
              <w:left w:val="single" w:sz="2" w:space="0" w:color="auto"/>
              <w:bottom w:val="single" w:sz="2" w:space="0" w:color="auto"/>
              <w:right w:val="single" w:sz="2" w:space="0" w:color="auto"/>
            </w:tcBorders>
            <w:shd w:val="clear" w:color="auto" w:fill="auto"/>
            <w:vAlign w:val="center"/>
          </w:tcPr>
          <w:p w14:paraId="7024D4BC" w14:textId="77777777" w:rsidR="00E32FE0" w:rsidRPr="005B5EC1" w:rsidRDefault="00E32FE0">
            <w:pPr>
              <w:rPr>
                <w:rFonts w:ascii="Times New Roman" w:hAnsi="Times New Roman" w:cs="Times New Roman"/>
              </w:rPr>
            </w:pPr>
          </w:p>
        </w:tc>
      </w:tr>
    </w:tbl>
    <w:p w14:paraId="7CCF69E8"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其他应收款核销说明：</w:t>
      </w:r>
    </w:p>
    <w:p w14:paraId="3C1ED122" w14:textId="77777777" w:rsidR="00AF139E" w:rsidRPr="005B5EC1" w:rsidRDefault="00000000">
      <w:pPr>
        <w:pStyle w:val="a3"/>
        <w:divId w:val="2001301753"/>
        <w:rPr>
          <w:rFonts w:ascii="Times New Roman" w:hAnsi="Times New Roman" w:cs="Times New Roman"/>
          <w:sz w:val="18"/>
          <w:szCs w:val="18"/>
        </w:rPr>
      </w:pPr>
      <w:r w:rsidRPr="005B5EC1">
        <w:rPr>
          <w:rFonts w:ascii="Times New Roman" w:hAnsi="Times New Roman" w:cs="Times New Roman"/>
          <w:sz w:val="18"/>
          <w:szCs w:val="18"/>
        </w:rPr>
        <w:t>无</w:t>
      </w:r>
    </w:p>
    <w:p w14:paraId="0549D5E7"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529" w:name="_Toc989496"/>
      <w:r w:rsidRPr="005B5EC1">
        <w:rPr>
          <w:rFonts w:ascii="Times New Roman" w:eastAsia="宋体" w:hAnsi="Times New Roman" w:cs="Times New Roman"/>
          <w:b/>
          <w:bCs/>
          <w:sz w:val="18"/>
          <w:szCs w:val="18"/>
        </w:rPr>
        <w:t>6</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按欠款方归集的期末余额前五名的其他应收款情况</w:t>
      </w:r>
      <w:bookmarkEnd w:id="529"/>
    </w:p>
    <w:p w14:paraId="7C9FBC81"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966"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60"/>
        <w:gridCol w:w="1660"/>
        <w:gridCol w:w="1660"/>
        <w:gridCol w:w="1662"/>
        <w:gridCol w:w="1662"/>
        <w:gridCol w:w="1662"/>
      </w:tblGrid>
      <w:tr w:rsidR="00E32FE0" w:rsidRPr="005B5EC1" w14:paraId="18416E38" w14:textId="77777777" w:rsidTr="00A47B24">
        <w:trPr>
          <w:trHeight w:val="248"/>
        </w:trPr>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170FACE8"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单位名称</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4F69067D"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款项的性质</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0B2ACAD2"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03B392DD"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账龄</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1B15E115"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占其他应收款期末余额合计数的比例</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3168B055" w14:textId="77777777" w:rsidR="00E32FE0" w:rsidRPr="005B5EC1" w:rsidRDefault="00000000" w:rsidP="00A47B24">
            <w:pPr>
              <w:spacing w:before="40" w:after="40" w:line="276" w:lineRule="auto"/>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坏账准备期末余额</w:t>
            </w:r>
          </w:p>
        </w:tc>
      </w:tr>
      <w:tr w:rsidR="00E32FE0" w:rsidRPr="005B5EC1" w14:paraId="5938D3CE" w14:textId="77777777" w:rsidTr="00A47B24">
        <w:trPr>
          <w:trHeight w:val="248"/>
        </w:trPr>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212E1CCF"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青岛中和盛杰食品有限公司</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0113E91A"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应收关联方款项</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73E22AE3"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447,700,000.00</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46943942"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3-4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4-5</w:t>
            </w:r>
            <w:r w:rsidRPr="005B5EC1">
              <w:rPr>
                <w:rFonts w:ascii="Times New Roman" w:eastAsia="宋体" w:hAnsi="Times New Roman" w:cs="Times New Roman"/>
                <w:sz w:val="18"/>
                <w:szCs w:val="18"/>
              </w:rPr>
              <w:t>年</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3F65627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36.20%</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2F7FE9CB"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447,700,000.00</w:t>
            </w:r>
          </w:p>
        </w:tc>
      </w:tr>
      <w:tr w:rsidR="00E32FE0" w:rsidRPr="005B5EC1" w14:paraId="7475ACC0" w14:textId="77777777" w:rsidTr="00A47B24">
        <w:trPr>
          <w:trHeight w:val="248"/>
        </w:trPr>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7422757A"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巴中龙大肉食品有限公司</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6901BBE2"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应收关联方款项</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0291C2F8"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202,940,000.00</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2CF14CDB"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401E4035"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16.41%</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63920925"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r>
      <w:tr w:rsidR="00E32FE0" w:rsidRPr="005B5EC1" w14:paraId="588F01AF" w14:textId="77777777" w:rsidTr="00A47B24">
        <w:trPr>
          <w:trHeight w:val="248"/>
        </w:trPr>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6171398F"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潍坊振</w:t>
            </w:r>
            <w:proofErr w:type="gramStart"/>
            <w:r w:rsidRPr="005B5EC1">
              <w:rPr>
                <w:rFonts w:ascii="Times New Roman" w:eastAsia="宋体" w:hAnsi="Times New Roman" w:cs="Times New Roman"/>
                <w:sz w:val="18"/>
                <w:szCs w:val="18"/>
              </w:rPr>
              <w:t>祥</w:t>
            </w:r>
            <w:proofErr w:type="gramEnd"/>
            <w:r w:rsidRPr="005B5EC1">
              <w:rPr>
                <w:rFonts w:ascii="Times New Roman" w:eastAsia="宋体" w:hAnsi="Times New Roman" w:cs="Times New Roman"/>
                <w:sz w:val="18"/>
                <w:szCs w:val="18"/>
              </w:rPr>
              <w:t>食品有限公司</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4FBA0DDF"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应收关联方款项</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2FB30592"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131,370,000.00</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01E9788D"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4-6</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10-12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1-2</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3-4</w:t>
            </w:r>
            <w:r w:rsidRPr="005B5EC1">
              <w:rPr>
                <w:rFonts w:ascii="Times New Roman" w:eastAsia="宋体" w:hAnsi="Times New Roman" w:cs="Times New Roman"/>
                <w:sz w:val="18"/>
                <w:szCs w:val="18"/>
              </w:rPr>
              <w:t>年</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74C269C6"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10.62%</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6160C5BE"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r>
      <w:tr w:rsidR="00E32FE0" w:rsidRPr="005B5EC1" w14:paraId="1B849EE5" w14:textId="77777777" w:rsidTr="00A47B24">
        <w:trPr>
          <w:trHeight w:val="248"/>
        </w:trPr>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0140737D"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黑龙江龙大养殖有限公司</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209B3EE1"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应收关联方款项</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7EC8079E"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125,160,000.00</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5AD9217C"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10-12</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2-3</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3-4</w:t>
            </w:r>
            <w:r w:rsidRPr="005B5EC1">
              <w:rPr>
                <w:rFonts w:ascii="Times New Roman" w:eastAsia="宋体" w:hAnsi="Times New Roman" w:cs="Times New Roman"/>
                <w:sz w:val="18"/>
                <w:szCs w:val="18"/>
              </w:rPr>
              <w:t>年</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56E675A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10.12%</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623B6453" w14:textId="77777777" w:rsidR="00E32FE0" w:rsidRPr="005B5EC1" w:rsidRDefault="00E32FE0" w:rsidP="00A47B24">
            <w:pPr>
              <w:spacing w:after="0" w:line="276" w:lineRule="auto"/>
              <w:jc w:val="right"/>
              <w:rPr>
                <w:rFonts w:ascii="Times New Roman" w:eastAsia="宋体" w:hAnsi="Times New Roman" w:cs="Times New Roman"/>
                <w:sz w:val="18"/>
                <w:szCs w:val="18"/>
              </w:rPr>
            </w:pPr>
          </w:p>
        </w:tc>
      </w:tr>
      <w:tr w:rsidR="00E32FE0" w:rsidRPr="005B5EC1" w14:paraId="3A4EA052" w14:textId="77777777" w:rsidTr="00A47B24">
        <w:trPr>
          <w:trHeight w:val="248"/>
        </w:trPr>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49D06965"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云南福照食品有限公司</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5B6815FD"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应收关联方款项</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432083FF"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96,010,612.00</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5174957E" w14:textId="77777777" w:rsidR="00E32FE0" w:rsidRPr="005B5EC1" w:rsidRDefault="00000000" w:rsidP="00A47B24">
            <w:pPr>
              <w:spacing w:after="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1-3</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7-9</w:t>
            </w:r>
            <w:r w:rsidRPr="005B5EC1">
              <w:rPr>
                <w:rFonts w:ascii="Times New Roman" w:eastAsia="宋体" w:hAnsi="Times New Roman" w:cs="Times New Roman"/>
                <w:sz w:val="18"/>
                <w:szCs w:val="18"/>
              </w:rPr>
              <w:t>月，</w:t>
            </w:r>
            <w:r w:rsidRPr="005B5EC1">
              <w:rPr>
                <w:rFonts w:ascii="Times New Roman" w:eastAsia="宋体" w:hAnsi="Times New Roman" w:cs="Times New Roman"/>
                <w:sz w:val="18"/>
                <w:szCs w:val="18"/>
              </w:rPr>
              <w:t>3-4</w:t>
            </w:r>
            <w:r w:rsidRPr="005B5EC1">
              <w:rPr>
                <w:rFonts w:ascii="Times New Roman" w:eastAsia="宋体" w:hAnsi="Times New Roman" w:cs="Times New Roman"/>
                <w:sz w:val="18"/>
                <w:szCs w:val="18"/>
              </w:rPr>
              <w:t>年，</w:t>
            </w:r>
            <w:r w:rsidRPr="005B5EC1">
              <w:rPr>
                <w:rFonts w:ascii="Times New Roman" w:eastAsia="宋体" w:hAnsi="Times New Roman" w:cs="Times New Roman"/>
                <w:sz w:val="18"/>
                <w:szCs w:val="18"/>
              </w:rPr>
              <w:t>4-5</w:t>
            </w:r>
            <w:r w:rsidRPr="005B5EC1">
              <w:rPr>
                <w:rFonts w:ascii="Times New Roman" w:eastAsia="宋体" w:hAnsi="Times New Roman" w:cs="Times New Roman"/>
                <w:sz w:val="18"/>
                <w:szCs w:val="18"/>
              </w:rPr>
              <w:t>年</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0097E40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7.76%</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5E13D7E7"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96,010,612.00</w:t>
            </w:r>
          </w:p>
        </w:tc>
      </w:tr>
      <w:tr w:rsidR="00E32FE0" w:rsidRPr="005B5EC1" w14:paraId="7CC90766" w14:textId="77777777" w:rsidTr="00A47B24">
        <w:trPr>
          <w:trHeight w:val="248"/>
        </w:trPr>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75694234" w14:textId="77777777" w:rsidR="00E32FE0" w:rsidRPr="005B5EC1" w:rsidRDefault="00000000" w:rsidP="00A47B24">
            <w:pPr>
              <w:spacing w:before="40" w:after="40" w:line="276" w:lineRule="auto"/>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621DAB9E" w14:textId="77777777" w:rsidR="00E32FE0" w:rsidRPr="005B5EC1" w:rsidRDefault="00E32FE0" w:rsidP="00A47B24">
            <w:pPr>
              <w:spacing w:line="276" w:lineRule="auto"/>
              <w:rPr>
                <w:rFonts w:ascii="Times New Roman" w:hAnsi="Times New Roman" w:cs="Times New Roman"/>
              </w:rPr>
            </w:pPr>
          </w:p>
        </w:tc>
        <w:tc>
          <w:tcPr>
            <w:tcW w:w="1660" w:type="dxa"/>
            <w:tcBorders>
              <w:top w:val="single" w:sz="2" w:space="0" w:color="auto"/>
              <w:left w:val="single" w:sz="2" w:space="0" w:color="auto"/>
              <w:bottom w:val="single" w:sz="2" w:space="0" w:color="auto"/>
              <w:right w:val="single" w:sz="2" w:space="0" w:color="auto"/>
            </w:tcBorders>
            <w:shd w:val="clear" w:color="auto" w:fill="auto"/>
            <w:vAlign w:val="center"/>
          </w:tcPr>
          <w:p w14:paraId="274DA770"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1,003,180,612.00</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691D41C3" w14:textId="77777777" w:rsidR="00E32FE0" w:rsidRPr="005B5EC1" w:rsidRDefault="00E32FE0" w:rsidP="00A47B24">
            <w:pPr>
              <w:spacing w:line="276" w:lineRule="auto"/>
              <w:rPr>
                <w:rFonts w:ascii="Times New Roman" w:hAnsi="Times New Roman" w:cs="Times New Roman"/>
              </w:rPr>
            </w:pP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2270BA05"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81.11%</w:t>
            </w:r>
          </w:p>
        </w:tc>
        <w:tc>
          <w:tcPr>
            <w:tcW w:w="1662" w:type="dxa"/>
            <w:tcBorders>
              <w:top w:val="single" w:sz="2" w:space="0" w:color="auto"/>
              <w:left w:val="single" w:sz="2" w:space="0" w:color="auto"/>
              <w:bottom w:val="single" w:sz="2" w:space="0" w:color="auto"/>
              <w:right w:val="single" w:sz="2" w:space="0" w:color="auto"/>
            </w:tcBorders>
            <w:shd w:val="clear" w:color="auto" w:fill="auto"/>
            <w:vAlign w:val="center"/>
          </w:tcPr>
          <w:p w14:paraId="599D2609" w14:textId="77777777" w:rsidR="00E32FE0" w:rsidRPr="005B5EC1" w:rsidRDefault="00000000" w:rsidP="00A47B24">
            <w:pPr>
              <w:spacing w:after="0" w:line="276" w:lineRule="auto"/>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543,710,612.00</w:t>
            </w:r>
          </w:p>
        </w:tc>
      </w:tr>
    </w:tbl>
    <w:p w14:paraId="472DD5FB" w14:textId="77777777" w:rsidR="00E32FE0" w:rsidRPr="005B5EC1" w:rsidRDefault="00E32FE0">
      <w:pPr>
        <w:spacing w:before="100" w:after="100" w:line="0" w:lineRule="atLeast"/>
        <w:rPr>
          <w:rFonts w:ascii="Times New Roman" w:hAnsi="Times New Roman" w:cs="Times New Roman"/>
        </w:rPr>
      </w:pPr>
    </w:p>
    <w:p w14:paraId="4476D6D3" w14:textId="77777777" w:rsidR="00E32FE0" w:rsidRPr="005B5EC1" w:rsidRDefault="00000000">
      <w:pPr>
        <w:keepNext/>
        <w:keepLines/>
        <w:spacing w:before="300" w:after="300" w:line="280" w:lineRule="exact"/>
        <w:outlineLvl w:val="4"/>
        <w:rPr>
          <w:rFonts w:ascii="Times New Roman" w:eastAsia="宋体" w:hAnsi="Times New Roman" w:cs="Times New Roman"/>
          <w:b/>
          <w:bCs/>
          <w:sz w:val="18"/>
          <w:szCs w:val="18"/>
        </w:rPr>
      </w:pPr>
      <w:bookmarkStart w:id="530" w:name="_Toc989497"/>
      <w:r w:rsidRPr="005B5EC1">
        <w:rPr>
          <w:rFonts w:ascii="Times New Roman" w:eastAsia="宋体" w:hAnsi="Times New Roman" w:cs="Times New Roman"/>
          <w:b/>
          <w:bCs/>
          <w:sz w:val="18"/>
          <w:szCs w:val="18"/>
        </w:rPr>
        <w:t>7</w:t>
      </w:r>
      <w:r w:rsidRPr="005B5EC1">
        <w:rPr>
          <w:rFonts w:ascii="Times New Roman" w:eastAsia="宋体" w:hAnsi="Times New Roman" w:cs="Times New Roman"/>
          <w:b/>
          <w:bCs/>
          <w:sz w:val="18"/>
          <w:szCs w:val="18"/>
        </w:rPr>
        <w:t>）</w:t>
      </w:r>
      <w:r w:rsidRPr="005B5EC1">
        <w:rPr>
          <w:rFonts w:ascii="Times New Roman" w:eastAsia="宋体" w:hAnsi="Times New Roman" w:cs="Times New Roman"/>
          <w:b/>
          <w:bCs/>
          <w:sz w:val="18"/>
          <w:szCs w:val="18"/>
        </w:rPr>
        <w:t xml:space="preserve"> </w:t>
      </w:r>
      <w:r w:rsidRPr="005B5EC1">
        <w:rPr>
          <w:rFonts w:ascii="Times New Roman" w:eastAsia="宋体" w:hAnsi="Times New Roman" w:cs="Times New Roman"/>
          <w:b/>
          <w:bCs/>
          <w:sz w:val="18"/>
          <w:szCs w:val="18"/>
        </w:rPr>
        <w:t>因资金集中管理而列报于其他应收款</w:t>
      </w:r>
      <w:bookmarkEnd w:id="530"/>
    </w:p>
    <w:p w14:paraId="3AB3F95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其他说明：</w:t>
      </w:r>
    </w:p>
    <w:p w14:paraId="2571207A" w14:textId="77777777" w:rsidR="00AF139E" w:rsidRPr="005B5EC1" w:rsidRDefault="00000000">
      <w:pPr>
        <w:pStyle w:val="a3"/>
        <w:divId w:val="2022194291"/>
        <w:rPr>
          <w:rFonts w:ascii="Times New Roman" w:hAnsi="Times New Roman" w:cs="Times New Roman"/>
          <w:sz w:val="18"/>
          <w:szCs w:val="18"/>
        </w:rPr>
      </w:pPr>
      <w:r w:rsidRPr="005B5EC1">
        <w:rPr>
          <w:rFonts w:ascii="Times New Roman" w:hAnsi="Times New Roman" w:cs="Times New Roman"/>
          <w:sz w:val="18"/>
          <w:szCs w:val="18"/>
        </w:rPr>
        <w:t>无</w:t>
      </w:r>
    </w:p>
    <w:p w14:paraId="7FF79FB0" w14:textId="77777777" w:rsidR="00E32FE0" w:rsidRPr="005B5EC1" w:rsidRDefault="00000000">
      <w:pPr>
        <w:pStyle w:val="3"/>
        <w:spacing w:line="280" w:lineRule="exact"/>
        <w:jc w:val="left"/>
        <w:rPr>
          <w:rFonts w:ascii="Times New Roman" w:hAnsi="Times New Roman" w:cs="Times New Roman"/>
          <w:b/>
          <w:bCs/>
        </w:rPr>
      </w:pPr>
      <w:bookmarkStart w:id="531" w:name="_Toc989498"/>
      <w:r w:rsidRPr="005B5EC1">
        <w:rPr>
          <w:rFonts w:ascii="Times New Roman" w:hAnsi="Times New Roman" w:cs="Times New Roman"/>
          <w:b/>
          <w:bCs/>
        </w:rPr>
        <w:t>3</w:t>
      </w:r>
      <w:r w:rsidRPr="005B5EC1">
        <w:rPr>
          <w:rFonts w:ascii="Times New Roman" w:hAnsi="Times New Roman" w:cs="Times New Roman"/>
          <w:b/>
          <w:bCs/>
        </w:rPr>
        <w:t>、长期股权投资</w:t>
      </w:r>
      <w:bookmarkEnd w:id="531"/>
    </w:p>
    <w:p w14:paraId="59B62C0E"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20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7"/>
        <w:gridCol w:w="1559"/>
        <w:gridCol w:w="1276"/>
        <w:gridCol w:w="1559"/>
        <w:gridCol w:w="1559"/>
        <w:gridCol w:w="1418"/>
        <w:gridCol w:w="1700"/>
      </w:tblGrid>
      <w:tr w:rsidR="00E32FE0" w:rsidRPr="005B5EC1" w14:paraId="1807387B" w14:textId="77777777" w:rsidTr="00A47B24">
        <w:trPr>
          <w:trHeight w:val="251"/>
          <w:jc w:val="center"/>
        </w:trPr>
        <w:tc>
          <w:tcPr>
            <w:tcW w:w="113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3CC4FE8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439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C64B0D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w:t>
            </w:r>
          </w:p>
        </w:tc>
        <w:tc>
          <w:tcPr>
            <w:tcW w:w="4677"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DE2273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w:t>
            </w:r>
          </w:p>
        </w:tc>
      </w:tr>
      <w:tr w:rsidR="00A47B24" w:rsidRPr="005B5EC1" w14:paraId="7CFAC750" w14:textId="77777777" w:rsidTr="00A47B24">
        <w:trPr>
          <w:trHeight w:val="251"/>
          <w:jc w:val="center"/>
        </w:trPr>
        <w:tc>
          <w:tcPr>
            <w:tcW w:w="1137"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80E95E1" w14:textId="77777777" w:rsidR="00E32FE0" w:rsidRPr="005B5EC1" w:rsidRDefault="00E32FE0">
            <w:pPr>
              <w:rPr>
                <w:rFonts w:ascii="Times New Roman" w:hAnsi="Times New Roman" w:cs="Times New Roman"/>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1298D8B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CBEC79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减值准备</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DFC916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D63CFB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6923DC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减值准备</w:t>
            </w:r>
          </w:p>
        </w:tc>
        <w:tc>
          <w:tcPr>
            <w:tcW w:w="1700" w:type="dxa"/>
            <w:tcBorders>
              <w:top w:val="single" w:sz="2" w:space="0" w:color="auto"/>
              <w:left w:val="single" w:sz="2" w:space="0" w:color="auto"/>
              <w:bottom w:val="single" w:sz="2" w:space="0" w:color="auto"/>
              <w:right w:val="single" w:sz="2" w:space="0" w:color="auto"/>
            </w:tcBorders>
            <w:shd w:val="clear" w:color="auto" w:fill="auto"/>
            <w:vAlign w:val="center"/>
          </w:tcPr>
          <w:p w14:paraId="1FC8FF6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账面价值</w:t>
            </w:r>
          </w:p>
        </w:tc>
      </w:tr>
      <w:tr w:rsidR="00E32FE0" w:rsidRPr="005B5EC1" w14:paraId="70513FC1" w14:textId="77777777" w:rsidTr="00A47B24">
        <w:trPr>
          <w:trHeight w:val="251"/>
          <w:jc w:val="center"/>
        </w:trPr>
        <w:tc>
          <w:tcPr>
            <w:tcW w:w="1137" w:type="dxa"/>
            <w:tcBorders>
              <w:top w:val="single" w:sz="2" w:space="0" w:color="auto"/>
              <w:left w:val="single" w:sz="2" w:space="0" w:color="auto"/>
              <w:bottom w:val="single" w:sz="2" w:space="0" w:color="auto"/>
              <w:right w:val="single" w:sz="2" w:space="0" w:color="auto"/>
            </w:tcBorders>
            <w:shd w:val="clear" w:color="auto" w:fill="auto"/>
            <w:vAlign w:val="center"/>
          </w:tcPr>
          <w:p w14:paraId="3BBD516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对子公司投资</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68E8DA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2,503,499,035.97</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819D4C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59,417,213.10</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20567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2,444,081,822.87</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44629D6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2,688,499,735.97</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163E85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114,417,913.10</w:t>
            </w:r>
          </w:p>
        </w:tc>
        <w:tc>
          <w:tcPr>
            <w:tcW w:w="1700" w:type="dxa"/>
            <w:tcBorders>
              <w:top w:val="single" w:sz="2" w:space="0" w:color="auto"/>
              <w:left w:val="single" w:sz="2" w:space="0" w:color="auto"/>
              <w:bottom w:val="single" w:sz="2" w:space="0" w:color="auto"/>
              <w:right w:val="single" w:sz="2" w:space="0" w:color="auto"/>
            </w:tcBorders>
            <w:shd w:val="clear" w:color="auto" w:fill="auto"/>
            <w:vAlign w:val="center"/>
          </w:tcPr>
          <w:p w14:paraId="77A42C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2,574,081,822.87</w:t>
            </w:r>
          </w:p>
        </w:tc>
      </w:tr>
      <w:tr w:rsidR="00E32FE0" w:rsidRPr="005B5EC1" w14:paraId="022AF11D" w14:textId="77777777" w:rsidTr="00A47B24">
        <w:trPr>
          <w:trHeight w:val="251"/>
          <w:jc w:val="center"/>
        </w:trPr>
        <w:tc>
          <w:tcPr>
            <w:tcW w:w="1137" w:type="dxa"/>
            <w:tcBorders>
              <w:top w:val="single" w:sz="2" w:space="0" w:color="auto"/>
              <w:left w:val="single" w:sz="2" w:space="0" w:color="auto"/>
              <w:bottom w:val="single" w:sz="2" w:space="0" w:color="auto"/>
              <w:right w:val="single" w:sz="2" w:space="0" w:color="auto"/>
            </w:tcBorders>
            <w:shd w:val="clear" w:color="auto" w:fill="auto"/>
            <w:vAlign w:val="center"/>
          </w:tcPr>
          <w:p w14:paraId="7807C785"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5D7E359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2,503,499,035.97</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4DDBFBC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59,417,213.10</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B5744D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2,444,081,822.87</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2DF9628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2,688,499,735.97</w:t>
            </w:r>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5346584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114,417,913.10</w:t>
            </w:r>
          </w:p>
        </w:tc>
        <w:tc>
          <w:tcPr>
            <w:tcW w:w="1700" w:type="dxa"/>
            <w:tcBorders>
              <w:top w:val="single" w:sz="2" w:space="0" w:color="auto"/>
              <w:left w:val="single" w:sz="2" w:space="0" w:color="auto"/>
              <w:bottom w:val="single" w:sz="2" w:space="0" w:color="auto"/>
              <w:right w:val="single" w:sz="2" w:space="0" w:color="auto"/>
            </w:tcBorders>
            <w:shd w:val="clear" w:color="auto" w:fill="auto"/>
            <w:vAlign w:val="center"/>
          </w:tcPr>
          <w:p w14:paraId="4CB621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2,574,081,822.87</w:t>
            </w:r>
          </w:p>
        </w:tc>
      </w:tr>
    </w:tbl>
    <w:p w14:paraId="44709078"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32" w:name="_Toc989499"/>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对子公司投资</w:t>
      </w:r>
      <w:bookmarkEnd w:id="532"/>
    </w:p>
    <w:p w14:paraId="2D632882"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10666"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0" w:type="dxa"/>
          <w:right w:w="0" w:type="dxa"/>
        </w:tblCellMar>
        <w:tblLook w:val="04A0" w:firstRow="1" w:lastRow="0" w:firstColumn="1" w:lastColumn="0" w:noHBand="0" w:noVBand="1"/>
      </w:tblPr>
      <w:tblGrid>
        <w:gridCol w:w="1185"/>
        <w:gridCol w:w="1185"/>
        <w:gridCol w:w="1185"/>
        <w:gridCol w:w="1185"/>
        <w:gridCol w:w="1185"/>
        <w:gridCol w:w="1185"/>
        <w:gridCol w:w="1186"/>
        <w:gridCol w:w="1185"/>
        <w:gridCol w:w="1185"/>
      </w:tblGrid>
      <w:tr w:rsidR="00E32FE0" w:rsidRPr="005B5EC1" w14:paraId="4CF71A13" w14:textId="77777777" w:rsidTr="00A47B24">
        <w:trPr>
          <w:trHeight w:val="241"/>
          <w:jc w:val="center"/>
        </w:trPr>
        <w:tc>
          <w:tcPr>
            <w:tcW w:w="118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015D6B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被投资单位</w:t>
            </w:r>
          </w:p>
        </w:tc>
        <w:tc>
          <w:tcPr>
            <w:tcW w:w="118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70DA51D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期初余额（账</w:t>
            </w:r>
            <w:r w:rsidRPr="005B5EC1">
              <w:rPr>
                <w:rFonts w:ascii="Times New Roman" w:eastAsia="宋体" w:hAnsi="Times New Roman" w:cs="Times New Roman"/>
                <w:sz w:val="18"/>
                <w:szCs w:val="18"/>
              </w:rPr>
              <w:lastRenderedPageBreak/>
              <w:t>面价值）</w:t>
            </w:r>
          </w:p>
        </w:tc>
        <w:tc>
          <w:tcPr>
            <w:tcW w:w="118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02828385"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减值准备期初</w:t>
            </w:r>
            <w:r w:rsidRPr="005B5EC1">
              <w:rPr>
                <w:rFonts w:ascii="Times New Roman" w:eastAsia="宋体" w:hAnsi="Times New Roman" w:cs="Times New Roman"/>
                <w:sz w:val="18"/>
                <w:szCs w:val="18"/>
              </w:rPr>
              <w:lastRenderedPageBreak/>
              <w:t>余额</w:t>
            </w:r>
          </w:p>
        </w:tc>
        <w:tc>
          <w:tcPr>
            <w:tcW w:w="474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3FC33B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本期增减变动</w:t>
            </w:r>
          </w:p>
        </w:tc>
        <w:tc>
          <w:tcPr>
            <w:tcW w:w="118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D581E3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期末余额（账</w:t>
            </w:r>
            <w:r w:rsidRPr="005B5EC1">
              <w:rPr>
                <w:rFonts w:ascii="Times New Roman" w:eastAsia="宋体" w:hAnsi="Times New Roman" w:cs="Times New Roman"/>
                <w:sz w:val="18"/>
                <w:szCs w:val="18"/>
              </w:rPr>
              <w:lastRenderedPageBreak/>
              <w:t>面价值）</w:t>
            </w:r>
          </w:p>
        </w:tc>
        <w:tc>
          <w:tcPr>
            <w:tcW w:w="1185"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88BF9B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减值准备期末</w:t>
            </w:r>
            <w:r w:rsidRPr="005B5EC1">
              <w:rPr>
                <w:rFonts w:ascii="Times New Roman" w:eastAsia="宋体" w:hAnsi="Times New Roman" w:cs="Times New Roman"/>
                <w:sz w:val="18"/>
                <w:szCs w:val="18"/>
              </w:rPr>
              <w:lastRenderedPageBreak/>
              <w:t>余额</w:t>
            </w:r>
          </w:p>
        </w:tc>
      </w:tr>
      <w:tr w:rsidR="00E32FE0" w:rsidRPr="005B5EC1" w14:paraId="641CA01F" w14:textId="77777777" w:rsidTr="00A47B24">
        <w:trPr>
          <w:trHeight w:val="241"/>
          <w:jc w:val="center"/>
        </w:trPr>
        <w:tc>
          <w:tcPr>
            <w:tcW w:w="118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EB020C5" w14:textId="77777777" w:rsidR="00E32FE0" w:rsidRPr="005B5EC1" w:rsidRDefault="00E32FE0">
            <w:pPr>
              <w:rPr>
                <w:rFonts w:ascii="Times New Roman" w:hAnsi="Times New Roman" w:cs="Times New Roman"/>
              </w:rPr>
            </w:pPr>
          </w:p>
        </w:tc>
        <w:tc>
          <w:tcPr>
            <w:tcW w:w="118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5E6058E" w14:textId="77777777" w:rsidR="00E32FE0" w:rsidRPr="005B5EC1" w:rsidRDefault="00E32FE0">
            <w:pPr>
              <w:rPr>
                <w:rFonts w:ascii="Times New Roman" w:hAnsi="Times New Roman" w:cs="Times New Roman"/>
              </w:rPr>
            </w:pPr>
          </w:p>
        </w:tc>
        <w:tc>
          <w:tcPr>
            <w:tcW w:w="1185" w:type="dxa"/>
            <w:vMerge/>
            <w:tcBorders>
              <w:top w:val="single" w:sz="2" w:space="0" w:color="auto"/>
              <w:left w:val="single" w:sz="2" w:space="0" w:color="auto"/>
              <w:bottom w:val="single" w:sz="2" w:space="0" w:color="auto"/>
              <w:right w:val="single" w:sz="2" w:space="0" w:color="auto"/>
            </w:tcBorders>
            <w:vAlign w:val="center"/>
          </w:tcPr>
          <w:p w14:paraId="646FBFD9" w14:textId="77777777" w:rsidR="00E32FE0" w:rsidRPr="005B5EC1" w:rsidRDefault="00E32FE0">
            <w:pPr>
              <w:rPr>
                <w:rFonts w:ascii="Times New Roman" w:hAnsi="Times New Roman" w:cs="Times New Roman"/>
              </w:rPr>
            </w:pPr>
          </w:p>
        </w:tc>
        <w:tc>
          <w:tcPr>
            <w:tcW w:w="1185" w:type="dxa"/>
            <w:tcBorders>
              <w:top w:val="single" w:sz="2" w:space="0" w:color="auto"/>
              <w:left w:val="single" w:sz="2" w:space="0" w:color="auto"/>
              <w:bottom w:val="single" w:sz="2" w:space="0" w:color="auto"/>
              <w:right w:val="single" w:sz="2" w:space="0" w:color="auto"/>
            </w:tcBorders>
            <w:shd w:val="clear" w:color="auto" w:fill="D3D3D3"/>
            <w:vAlign w:val="center"/>
          </w:tcPr>
          <w:p w14:paraId="2E1FC89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追加投资</w:t>
            </w:r>
          </w:p>
        </w:tc>
        <w:tc>
          <w:tcPr>
            <w:tcW w:w="1185" w:type="dxa"/>
            <w:tcBorders>
              <w:top w:val="single" w:sz="2" w:space="0" w:color="auto"/>
              <w:left w:val="single" w:sz="2" w:space="0" w:color="auto"/>
              <w:bottom w:val="single" w:sz="2" w:space="0" w:color="auto"/>
              <w:right w:val="single" w:sz="2" w:space="0" w:color="auto"/>
            </w:tcBorders>
            <w:shd w:val="clear" w:color="auto" w:fill="D3D3D3"/>
            <w:vAlign w:val="center"/>
          </w:tcPr>
          <w:p w14:paraId="145E2943"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减少投资</w:t>
            </w:r>
          </w:p>
        </w:tc>
        <w:tc>
          <w:tcPr>
            <w:tcW w:w="1185" w:type="dxa"/>
            <w:tcBorders>
              <w:top w:val="single" w:sz="2" w:space="0" w:color="auto"/>
              <w:left w:val="single" w:sz="2" w:space="0" w:color="auto"/>
              <w:bottom w:val="single" w:sz="2" w:space="0" w:color="auto"/>
              <w:right w:val="single" w:sz="2" w:space="0" w:color="auto"/>
            </w:tcBorders>
            <w:shd w:val="clear" w:color="auto" w:fill="D3D3D3"/>
            <w:vAlign w:val="center"/>
          </w:tcPr>
          <w:p w14:paraId="7B61A6D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计提减值准备</w:t>
            </w:r>
          </w:p>
        </w:tc>
        <w:tc>
          <w:tcPr>
            <w:tcW w:w="1185" w:type="dxa"/>
            <w:tcBorders>
              <w:top w:val="single" w:sz="2" w:space="0" w:color="auto"/>
              <w:left w:val="single" w:sz="2" w:space="0" w:color="auto"/>
              <w:bottom w:val="single" w:sz="2" w:space="0" w:color="auto"/>
              <w:right w:val="single" w:sz="2" w:space="0" w:color="auto"/>
            </w:tcBorders>
            <w:shd w:val="clear" w:color="auto" w:fill="D3D3D3"/>
            <w:vAlign w:val="center"/>
          </w:tcPr>
          <w:p w14:paraId="6C4B369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其他</w:t>
            </w:r>
          </w:p>
        </w:tc>
        <w:tc>
          <w:tcPr>
            <w:tcW w:w="118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C7B0612" w14:textId="77777777" w:rsidR="00E32FE0" w:rsidRPr="005B5EC1" w:rsidRDefault="00E32FE0">
            <w:pPr>
              <w:rPr>
                <w:rFonts w:ascii="Times New Roman" w:hAnsi="Times New Roman" w:cs="Times New Roman"/>
              </w:rPr>
            </w:pPr>
          </w:p>
        </w:tc>
        <w:tc>
          <w:tcPr>
            <w:tcW w:w="118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6A49CB5" w14:textId="77777777" w:rsidR="00E32FE0" w:rsidRPr="005B5EC1" w:rsidRDefault="00E32FE0">
            <w:pPr>
              <w:rPr>
                <w:rFonts w:ascii="Times New Roman" w:hAnsi="Times New Roman" w:cs="Times New Roman"/>
              </w:rPr>
            </w:pPr>
          </w:p>
        </w:tc>
      </w:tr>
      <w:tr w:rsidR="00E32FE0" w:rsidRPr="005B5EC1" w14:paraId="6A2E1CBB"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3937B35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河南龙大牧原肉食品有限公司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28E7973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90,000,000.00</w:t>
            </w:r>
          </w:p>
        </w:tc>
        <w:tc>
          <w:tcPr>
            <w:tcW w:w="1185" w:type="dxa"/>
            <w:tcBorders>
              <w:top w:val="single" w:sz="2" w:space="0" w:color="auto"/>
              <w:left w:val="single" w:sz="2" w:space="0" w:color="auto"/>
              <w:bottom w:val="single" w:sz="2" w:space="0" w:color="auto"/>
              <w:right w:val="single" w:sz="2" w:space="0" w:color="auto"/>
            </w:tcBorders>
            <w:vAlign w:val="center"/>
          </w:tcPr>
          <w:p w14:paraId="57A058C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D7A3D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5A3CE8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837E8D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3EB5B7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721A1C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90,000,000.00</w:t>
            </w:r>
          </w:p>
        </w:tc>
        <w:tc>
          <w:tcPr>
            <w:tcW w:w="1185" w:type="dxa"/>
            <w:tcBorders>
              <w:top w:val="single" w:sz="2" w:space="0" w:color="auto"/>
              <w:left w:val="single" w:sz="2" w:space="0" w:color="auto"/>
              <w:bottom w:val="single" w:sz="2" w:space="0" w:color="auto"/>
              <w:right w:val="single" w:sz="2" w:space="0" w:color="auto"/>
            </w:tcBorders>
            <w:vAlign w:val="center"/>
          </w:tcPr>
          <w:p w14:paraId="0048213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097302F"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06111A2A"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聊城龙大肉食品有限公司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592572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50,344,000.00</w:t>
            </w:r>
          </w:p>
        </w:tc>
        <w:tc>
          <w:tcPr>
            <w:tcW w:w="1185" w:type="dxa"/>
            <w:tcBorders>
              <w:top w:val="single" w:sz="2" w:space="0" w:color="auto"/>
              <w:left w:val="single" w:sz="2" w:space="0" w:color="auto"/>
              <w:bottom w:val="single" w:sz="2" w:space="0" w:color="auto"/>
              <w:right w:val="single" w:sz="2" w:space="0" w:color="auto"/>
            </w:tcBorders>
            <w:vAlign w:val="center"/>
          </w:tcPr>
          <w:p w14:paraId="0C994B8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FF2B86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D9943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BB0F84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F313A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E90776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50,344,000.00</w:t>
            </w:r>
          </w:p>
        </w:tc>
        <w:tc>
          <w:tcPr>
            <w:tcW w:w="1185" w:type="dxa"/>
            <w:tcBorders>
              <w:top w:val="single" w:sz="2" w:space="0" w:color="auto"/>
              <w:left w:val="single" w:sz="2" w:space="0" w:color="auto"/>
              <w:bottom w:val="single" w:sz="2" w:space="0" w:color="auto"/>
              <w:right w:val="single" w:sz="2" w:space="0" w:color="auto"/>
            </w:tcBorders>
            <w:vAlign w:val="center"/>
          </w:tcPr>
          <w:p w14:paraId="47429692"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C3C8C25"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2320706A" w14:textId="77777777" w:rsidR="00E32FE0" w:rsidRPr="005B5EC1" w:rsidRDefault="00000000">
            <w:pPr>
              <w:spacing w:after="0" w:line="240" w:lineRule="exact"/>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莒</w:t>
            </w:r>
            <w:proofErr w:type="gramEnd"/>
            <w:r w:rsidRPr="005B5EC1">
              <w:rPr>
                <w:rFonts w:ascii="Times New Roman" w:eastAsia="宋体" w:hAnsi="Times New Roman" w:cs="Times New Roman"/>
                <w:sz w:val="18"/>
                <w:szCs w:val="18"/>
              </w:rPr>
              <w:t>南龙大肉食品有限公司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2E85573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85" w:type="dxa"/>
            <w:tcBorders>
              <w:top w:val="single" w:sz="2" w:space="0" w:color="auto"/>
              <w:left w:val="single" w:sz="2" w:space="0" w:color="auto"/>
              <w:bottom w:val="single" w:sz="2" w:space="0" w:color="auto"/>
              <w:right w:val="single" w:sz="2" w:space="0" w:color="auto"/>
            </w:tcBorders>
            <w:vAlign w:val="center"/>
          </w:tcPr>
          <w:p w14:paraId="4C6FC87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185" w:type="dxa"/>
            <w:tcBorders>
              <w:top w:val="single" w:sz="2" w:space="0" w:color="auto"/>
              <w:left w:val="single" w:sz="2" w:space="0" w:color="auto"/>
              <w:bottom w:val="single" w:sz="2" w:space="0" w:color="auto"/>
              <w:right w:val="single" w:sz="2" w:space="0" w:color="auto"/>
            </w:tcBorders>
            <w:vAlign w:val="center"/>
          </w:tcPr>
          <w:p w14:paraId="776AAE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2B8882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185" w:type="dxa"/>
            <w:tcBorders>
              <w:top w:val="single" w:sz="2" w:space="0" w:color="auto"/>
              <w:left w:val="single" w:sz="2" w:space="0" w:color="auto"/>
              <w:bottom w:val="single" w:sz="2" w:space="0" w:color="auto"/>
              <w:right w:val="single" w:sz="2" w:space="0" w:color="auto"/>
            </w:tcBorders>
            <w:vAlign w:val="center"/>
          </w:tcPr>
          <w:p w14:paraId="0C4C547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185" w:type="dxa"/>
            <w:tcBorders>
              <w:top w:val="single" w:sz="2" w:space="0" w:color="auto"/>
              <w:left w:val="single" w:sz="2" w:space="0" w:color="auto"/>
              <w:bottom w:val="single" w:sz="2" w:space="0" w:color="auto"/>
              <w:right w:val="single" w:sz="2" w:space="0" w:color="auto"/>
            </w:tcBorders>
            <w:vAlign w:val="center"/>
          </w:tcPr>
          <w:p w14:paraId="6750AB8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CD1152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c>
          <w:tcPr>
            <w:tcW w:w="1185" w:type="dxa"/>
            <w:tcBorders>
              <w:top w:val="single" w:sz="2" w:space="0" w:color="auto"/>
              <w:left w:val="single" w:sz="2" w:space="0" w:color="auto"/>
              <w:bottom w:val="single" w:sz="2" w:space="0" w:color="auto"/>
              <w:right w:val="single" w:sz="2" w:space="0" w:color="auto"/>
            </w:tcBorders>
            <w:vAlign w:val="center"/>
          </w:tcPr>
          <w:p w14:paraId="1C25ABC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r w:rsidR="00E32FE0" w:rsidRPr="005B5EC1" w14:paraId="144D8950"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69D95BE1"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烟台龙大养殖有限公司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52A6AB1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487,592,475.50</w:t>
            </w:r>
          </w:p>
        </w:tc>
        <w:tc>
          <w:tcPr>
            <w:tcW w:w="1185" w:type="dxa"/>
            <w:tcBorders>
              <w:top w:val="single" w:sz="2" w:space="0" w:color="auto"/>
              <w:left w:val="single" w:sz="2" w:space="0" w:color="auto"/>
              <w:bottom w:val="single" w:sz="2" w:space="0" w:color="auto"/>
              <w:right w:val="single" w:sz="2" w:space="0" w:color="auto"/>
            </w:tcBorders>
            <w:vAlign w:val="center"/>
          </w:tcPr>
          <w:p w14:paraId="5EFD8D5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023CD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899DAE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16EBB3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00FE4E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CCE0C5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487,592,475.50</w:t>
            </w:r>
          </w:p>
        </w:tc>
        <w:tc>
          <w:tcPr>
            <w:tcW w:w="1185" w:type="dxa"/>
            <w:tcBorders>
              <w:top w:val="single" w:sz="2" w:space="0" w:color="auto"/>
              <w:left w:val="single" w:sz="2" w:space="0" w:color="auto"/>
              <w:bottom w:val="single" w:sz="2" w:space="0" w:color="auto"/>
              <w:right w:val="single" w:sz="2" w:space="0" w:color="auto"/>
            </w:tcBorders>
            <w:vAlign w:val="center"/>
          </w:tcPr>
          <w:p w14:paraId="17BBA24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D575CB8"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7D997DC7"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蓬莱富龙肉食品有限公司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047B329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8,000,000.00</w:t>
            </w:r>
          </w:p>
        </w:tc>
        <w:tc>
          <w:tcPr>
            <w:tcW w:w="1185" w:type="dxa"/>
            <w:tcBorders>
              <w:top w:val="single" w:sz="2" w:space="0" w:color="auto"/>
              <w:left w:val="single" w:sz="2" w:space="0" w:color="auto"/>
              <w:bottom w:val="single" w:sz="2" w:space="0" w:color="auto"/>
              <w:right w:val="single" w:sz="2" w:space="0" w:color="auto"/>
            </w:tcBorders>
            <w:vAlign w:val="center"/>
          </w:tcPr>
          <w:p w14:paraId="055038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188CD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84454F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07BDD8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AEF139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0CF1F2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8,000,000.00</w:t>
            </w:r>
          </w:p>
        </w:tc>
        <w:tc>
          <w:tcPr>
            <w:tcW w:w="1185" w:type="dxa"/>
            <w:tcBorders>
              <w:top w:val="single" w:sz="2" w:space="0" w:color="auto"/>
              <w:left w:val="single" w:sz="2" w:space="0" w:color="auto"/>
              <w:bottom w:val="single" w:sz="2" w:space="0" w:color="auto"/>
              <w:right w:val="single" w:sz="2" w:space="0" w:color="auto"/>
            </w:tcBorders>
            <w:vAlign w:val="center"/>
          </w:tcPr>
          <w:p w14:paraId="74EB2E2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524C1D7D"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1B8D001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潍坊振</w:t>
            </w:r>
            <w:proofErr w:type="gramStart"/>
            <w:r w:rsidRPr="005B5EC1">
              <w:rPr>
                <w:rFonts w:ascii="Times New Roman" w:eastAsia="宋体" w:hAnsi="Times New Roman" w:cs="Times New Roman"/>
                <w:sz w:val="18"/>
                <w:szCs w:val="18"/>
              </w:rPr>
              <w:t>祥</w:t>
            </w:r>
            <w:proofErr w:type="gramEnd"/>
            <w:r w:rsidRPr="005B5EC1">
              <w:rPr>
                <w:rFonts w:ascii="Times New Roman" w:eastAsia="宋体" w:hAnsi="Times New Roman" w:cs="Times New Roman"/>
                <w:sz w:val="18"/>
                <w:szCs w:val="18"/>
              </w:rPr>
              <w:t>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0B497F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121,690,300.00</w:t>
            </w:r>
          </w:p>
        </w:tc>
        <w:tc>
          <w:tcPr>
            <w:tcW w:w="1185" w:type="dxa"/>
            <w:tcBorders>
              <w:top w:val="single" w:sz="2" w:space="0" w:color="auto"/>
              <w:left w:val="single" w:sz="2" w:space="0" w:color="auto"/>
              <w:bottom w:val="single" w:sz="2" w:space="0" w:color="auto"/>
              <w:right w:val="single" w:sz="2" w:space="0" w:color="auto"/>
            </w:tcBorders>
            <w:vAlign w:val="center"/>
          </w:tcPr>
          <w:p w14:paraId="1DA553A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A86639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0A672D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C91632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096757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726027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121,690,300.00</w:t>
            </w:r>
          </w:p>
        </w:tc>
        <w:tc>
          <w:tcPr>
            <w:tcW w:w="1185" w:type="dxa"/>
            <w:tcBorders>
              <w:top w:val="single" w:sz="2" w:space="0" w:color="auto"/>
              <w:left w:val="single" w:sz="2" w:space="0" w:color="auto"/>
              <w:bottom w:val="single" w:sz="2" w:space="0" w:color="auto"/>
              <w:right w:val="single" w:sz="2" w:space="0" w:color="auto"/>
            </w:tcBorders>
            <w:vAlign w:val="center"/>
          </w:tcPr>
          <w:p w14:paraId="7839891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32B2C95"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4D143195"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莱阳龙瑞食品有限公司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1ABEED8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185" w:type="dxa"/>
            <w:tcBorders>
              <w:top w:val="single" w:sz="2" w:space="0" w:color="auto"/>
              <w:left w:val="single" w:sz="2" w:space="0" w:color="auto"/>
              <w:bottom w:val="single" w:sz="2" w:space="0" w:color="auto"/>
              <w:right w:val="single" w:sz="2" w:space="0" w:color="auto"/>
            </w:tcBorders>
            <w:vAlign w:val="center"/>
          </w:tcPr>
          <w:p w14:paraId="29AC44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0DCA72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C05CE2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5C264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D87A45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7B8AE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185" w:type="dxa"/>
            <w:tcBorders>
              <w:top w:val="single" w:sz="2" w:space="0" w:color="auto"/>
              <w:left w:val="single" w:sz="2" w:space="0" w:color="auto"/>
              <w:bottom w:val="single" w:sz="2" w:space="0" w:color="auto"/>
              <w:right w:val="single" w:sz="2" w:space="0" w:color="auto"/>
            </w:tcBorders>
            <w:vAlign w:val="center"/>
          </w:tcPr>
          <w:p w14:paraId="33176284"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E6BF0EA"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4A5A26A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青岛中和盛杰食品有限公司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7F8A667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B89656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10,200,000.00</w:t>
            </w:r>
          </w:p>
        </w:tc>
        <w:tc>
          <w:tcPr>
            <w:tcW w:w="1185" w:type="dxa"/>
            <w:tcBorders>
              <w:top w:val="single" w:sz="2" w:space="0" w:color="auto"/>
              <w:left w:val="single" w:sz="2" w:space="0" w:color="auto"/>
              <w:bottom w:val="single" w:sz="2" w:space="0" w:color="auto"/>
              <w:right w:val="single" w:sz="2" w:space="0" w:color="auto"/>
            </w:tcBorders>
            <w:vAlign w:val="center"/>
          </w:tcPr>
          <w:p w14:paraId="610404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23135E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4ECB9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89454C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D8495B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270049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10,200,000.00</w:t>
            </w:r>
          </w:p>
        </w:tc>
      </w:tr>
      <w:tr w:rsidR="00E32FE0" w:rsidRPr="005B5EC1" w14:paraId="110766E3"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2E060A5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烟台杰科检测服务有限公司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38C87BF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6,263,038.91</w:t>
            </w:r>
          </w:p>
        </w:tc>
        <w:tc>
          <w:tcPr>
            <w:tcW w:w="1185" w:type="dxa"/>
            <w:tcBorders>
              <w:top w:val="single" w:sz="2" w:space="0" w:color="auto"/>
              <w:left w:val="single" w:sz="2" w:space="0" w:color="auto"/>
              <w:bottom w:val="single" w:sz="2" w:space="0" w:color="auto"/>
              <w:right w:val="single" w:sz="2" w:space="0" w:color="auto"/>
            </w:tcBorders>
            <w:vAlign w:val="center"/>
          </w:tcPr>
          <w:p w14:paraId="7E484E9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6FC59A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A08A20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83BD2A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A0C7B9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BEF7CB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6,263,038.91</w:t>
            </w:r>
          </w:p>
        </w:tc>
        <w:tc>
          <w:tcPr>
            <w:tcW w:w="1185" w:type="dxa"/>
            <w:tcBorders>
              <w:top w:val="single" w:sz="2" w:space="0" w:color="auto"/>
              <w:left w:val="single" w:sz="2" w:space="0" w:color="auto"/>
              <w:bottom w:val="single" w:sz="2" w:space="0" w:color="auto"/>
              <w:right w:val="single" w:sz="2" w:space="0" w:color="auto"/>
            </w:tcBorders>
            <w:vAlign w:val="center"/>
          </w:tcPr>
          <w:p w14:paraId="3D917A23"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284EBFDB"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6402C198"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山东龙大生猪产品工程技术研究有限公司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58C9C7B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w:t>
            </w:r>
          </w:p>
        </w:tc>
        <w:tc>
          <w:tcPr>
            <w:tcW w:w="1185" w:type="dxa"/>
            <w:tcBorders>
              <w:top w:val="single" w:sz="2" w:space="0" w:color="auto"/>
              <w:left w:val="single" w:sz="2" w:space="0" w:color="auto"/>
              <w:bottom w:val="single" w:sz="2" w:space="0" w:color="auto"/>
              <w:right w:val="single" w:sz="2" w:space="0" w:color="auto"/>
            </w:tcBorders>
            <w:vAlign w:val="center"/>
          </w:tcPr>
          <w:p w14:paraId="4FFFE67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738358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26B140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0ED088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06DA3D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9329BA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15,000,000.00</w:t>
            </w:r>
          </w:p>
        </w:tc>
        <w:tc>
          <w:tcPr>
            <w:tcW w:w="1185" w:type="dxa"/>
            <w:tcBorders>
              <w:top w:val="single" w:sz="2" w:space="0" w:color="auto"/>
              <w:left w:val="single" w:sz="2" w:space="0" w:color="auto"/>
              <w:bottom w:val="single" w:sz="2" w:space="0" w:color="auto"/>
              <w:right w:val="single" w:sz="2" w:space="0" w:color="auto"/>
            </w:tcBorders>
            <w:vAlign w:val="center"/>
          </w:tcPr>
          <w:p w14:paraId="258988B8"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15612B8"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7022F33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北京快厨帮科技有限公司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07D8BFA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2,668,010.96</w:t>
            </w:r>
          </w:p>
        </w:tc>
        <w:tc>
          <w:tcPr>
            <w:tcW w:w="1185" w:type="dxa"/>
            <w:tcBorders>
              <w:top w:val="single" w:sz="2" w:space="0" w:color="auto"/>
              <w:left w:val="single" w:sz="2" w:space="0" w:color="auto"/>
              <w:bottom w:val="single" w:sz="2" w:space="0" w:color="auto"/>
              <w:right w:val="single" w:sz="2" w:space="0" w:color="auto"/>
            </w:tcBorders>
            <w:vAlign w:val="center"/>
          </w:tcPr>
          <w:p w14:paraId="213E02B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10,331,989.04</w:t>
            </w:r>
          </w:p>
        </w:tc>
        <w:tc>
          <w:tcPr>
            <w:tcW w:w="1185" w:type="dxa"/>
            <w:tcBorders>
              <w:top w:val="single" w:sz="2" w:space="0" w:color="auto"/>
              <w:left w:val="single" w:sz="2" w:space="0" w:color="auto"/>
              <w:bottom w:val="single" w:sz="2" w:space="0" w:color="auto"/>
              <w:right w:val="single" w:sz="2" w:space="0" w:color="auto"/>
            </w:tcBorders>
            <w:vAlign w:val="center"/>
          </w:tcPr>
          <w:p w14:paraId="62FB59D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FB320E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602A29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E24AF8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06DE5A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2,668,010.96</w:t>
            </w:r>
          </w:p>
        </w:tc>
        <w:tc>
          <w:tcPr>
            <w:tcW w:w="1185" w:type="dxa"/>
            <w:tcBorders>
              <w:top w:val="single" w:sz="2" w:space="0" w:color="auto"/>
              <w:left w:val="single" w:sz="2" w:space="0" w:color="auto"/>
              <w:bottom w:val="single" w:sz="2" w:space="0" w:color="auto"/>
              <w:right w:val="single" w:sz="2" w:space="0" w:color="auto"/>
            </w:tcBorders>
            <w:vAlign w:val="center"/>
          </w:tcPr>
          <w:p w14:paraId="5310A9F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10,331,989.04</w:t>
            </w:r>
          </w:p>
        </w:tc>
      </w:tr>
      <w:tr w:rsidR="00E32FE0" w:rsidRPr="005B5EC1" w14:paraId="61FC59FB"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1E19057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云南福照食品有限公司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40F2AFC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94DEBB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10,200,000.00</w:t>
            </w:r>
          </w:p>
        </w:tc>
        <w:tc>
          <w:tcPr>
            <w:tcW w:w="1185" w:type="dxa"/>
            <w:tcBorders>
              <w:top w:val="single" w:sz="2" w:space="0" w:color="auto"/>
              <w:left w:val="single" w:sz="2" w:space="0" w:color="auto"/>
              <w:bottom w:val="single" w:sz="2" w:space="0" w:color="auto"/>
              <w:right w:val="single" w:sz="2" w:space="0" w:color="auto"/>
            </w:tcBorders>
            <w:vAlign w:val="center"/>
          </w:tcPr>
          <w:p w14:paraId="7D597CF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D1BD84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04455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8942DD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7AF5C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D7BD08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10,200,000.00</w:t>
            </w:r>
          </w:p>
        </w:tc>
      </w:tr>
      <w:tr w:rsidR="00E32FE0" w:rsidRPr="005B5EC1" w14:paraId="7A57C95F"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2914EB3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烟台龙大饲料有限公司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228F9E0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56,000,000.00</w:t>
            </w:r>
          </w:p>
        </w:tc>
        <w:tc>
          <w:tcPr>
            <w:tcW w:w="1185" w:type="dxa"/>
            <w:tcBorders>
              <w:top w:val="single" w:sz="2" w:space="0" w:color="auto"/>
              <w:left w:val="single" w:sz="2" w:space="0" w:color="auto"/>
              <w:bottom w:val="single" w:sz="2" w:space="0" w:color="auto"/>
              <w:right w:val="single" w:sz="2" w:space="0" w:color="auto"/>
            </w:tcBorders>
            <w:vAlign w:val="center"/>
          </w:tcPr>
          <w:p w14:paraId="7AAF3E1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FEE3C12"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183431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3B1F7A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D76151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613C3E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56,000,000.00</w:t>
            </w:r>
          </w:p>
        </w:tc>
        <w:tc>
          <w:tcPr>
            <w:tcW w:w="1185" w:type="dxa"/>
            <w:tcBorders>
              <w:top w:val="single" w:sz="2" w:space="0" w:color="auto"/>
              <w:left w:val="single" w:sz="2" w:space="0" w:color="auto"/>
              <w:bottom w:val="single" w:sz="2" w:space="0" w:color="auto"/>
              <w:right w:val="single" w:sz="2" w:space="0" w:color="auto"/>
            </w:tcBorders>
            <w:vAlign w:val="center"/>
          </w:tcPr>
          <w:p w14:paraId="0F4F901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DD55DD9"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14D54DDB" w14:textId="77777777" w:rsidR="00E32FE0" w:rsidRPr="005B5EC1" w:rsidRDefault="00000000">
            <w:pPr>
              <w:spacing w:after="0" w:line="240" w:lineRule="exact"/>
              <w:rPr>
                <w:rFonts w:ascii="Times New Roman" w:eastAsia="宋体" w:hAnsi="Times New Roman" w:cs="Times New Roman"/>
                <w:sz w:val="18"/>
                <w:szCs w:val="18"/>
              </w:rPr>
            </w:pPr>
            <w:proofErr w:type="gramStart"/>
            <w:r w:rsidRPr="005B5EC1">
              <w:rPr>
                <w:rFonts w:ascii="Times New Roman" w:eastAsia="宋体" w:hAnsi="Times New Roman" w:cs="Times New Roman"/>
                <w:sz w:val="18"/>
                <w:szCs w:val="18"/>
              </w:rPr>
              <w:t>通辽金泉食品</w:t>
            </w:r>
            <w:proofErr w:type="gramEnd"/>
            <w:r w:rsidRPr="005B5EC1">
              <w:rPr>
                <w:rFonts w:ascii="Times New Roman" w:eastAsia="宋体" w:hAnsi="Times New Roman" w:cs="Times New Roman"/>
                <w:sz w:val="18"/>
                <w:szCs w:val="18"/>
              </w:rPr>
              <w:t>有限责任公司</w:t>
            </w:r>
          </w:p>
        </w:tc>
        <w:tc>
          <w:tcPr>
            <w:tcW w:w="1185" w:type="dxa"/>
            <w:tcBorders>
              <w:top w:val="single" w:sz="2" w:space="0" w:color="auto"/>
              <w:left w:val="single" w:sz="2" w:space="0" w:color="auto"/>
              <w:bottom w:val="single" w:sz="2" w:space="0" w:color="auto"/>
              <w:right w:val="single" w:sz="2" w:space="0" w:color="auto"/>
            </w:tcBorders>
            <w:vAlign w:val="center"/>
          </w:tcPr>
          <w:p w14:paraId="5618864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5E422B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35,000,700.00</w:t>
            </w:r>
          </w:p>
        </w:tc>
        <w:tc>
          <w:tcPr>
            <w:tcW w:w="1185" w:type="dxa"/>
            <w:tcBorders>
              <w:top w:val="single" w:sz="2" w:space="0" w:color="auto"/>
              <w:left w:val="single" w:sz="2" w:space="0" w:color="auto"/>
              <w:bottom w:val="single" w:sz="2" w:space="0" w:color="auto"/>
              <w:right w:val="single" w:sz="2" w:space="0" w:color="auto"/>
            </w:tcBorders>
            <w:vAlign w:val="center"/>
          </w:tcPr>
          <w:p w14:paraId="1C14A6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22,500,000.00</w:t>
            </w:r>
          </w:p>
        </w:tc>
        <w:tc>
          <w:tcPr>
            <w:tcW w:w="1185" w:type="dxa"/>
            <w:tcBorders>
              <w:top w:val="single" w:sz="2" w:space="0" w:color="auto"/>
              <w:left w:val="single" w:sz="2" w:space="0" w:color="auto"/>
              <w:bottom w:val="single" w:sz="2" w:space="0" w:color="auto"/>
              <w:right w:val="single" w:sz="2" w:space="0" w:color="auto"/>
            </w:tcBorders>
            <w:vAlign w:val="center"/>
          </w:tcPr>
          <w:p w14:paraId="5F5430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BC55DA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-35,000,700.00</w:t>
            </w:r>
          </w:p>
        </w:tc>
        <w:tc>
          <w:tcPr>
            <w:tcW w:w="1185" w:type="dxa"/>
            <w:tcBorders>
              <w:top w:val="single" w:sz="2" w:space="0" w:color="auto"/>
              <w:left w:val="single" w:sz="2" w:space="0" w:color="auto"/>
              <w:bottom w:val="single" w:sz="2" w:space="0" w:color="auto"/>
              <w:right w:val="single" w:sz="2" w:space="0" w:color="auto"/>
            </w:tcBorders>
            <w:vAlign w:val="center"/>
          </w:tcPr>
          <w:p w14:paraId="1DA5FF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-57,500,700.00</w:t>
            </w:r>
          </w:p>
        </w:tc>
        <w:tc>
          <w:tcPr>
            <w:tcW w:w="1185" w:type="dxa"/>
            <w:tcBorders>
              <w:top w:val="single" w:sz="2" w:space="0" w:color="auto"/>
              <w:left w:val="single" w:sz="2" w:space="0" w:color="auto"/>
              <w:bottom w:val="single" w:sz="2" w:space="0" w:color="auto"/>
              <w:right w:val="single" w:sz="2" w:space="0" w:color="auto"/>
            </w:tcBorders>
            <w:vAlign w:val="center"/>
          </w:tcPr>
          <w:p w14:paraId="0436381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F1398B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0.00</w:t>
            </w:r>
          </w:p>
        </w:tc>
      </w:tr>
      <w:tr w:rsidR="00E32FE0" w:rsidRPr="005B5EC1" w14:paraId="47FF3EB2"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1D7E135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黑龙江龙大养殖有限公司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08B9C6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1,074,609,221.56</w:t>
            </w:r>
          </w:p>
        </w:tc>
        <w:tc>
          <w:tcPr>
            <w:tcW w:w="1185" w:type="dxa"/>
            <w:tcBorders>
              <w:top w:val="single" w:sz="2" w:space="0" w:color="auto"/>
              <w:left w:val="single" w:sz="2" w:space="0" w:color="auto"/>
              <w:bottom w:val="single" w:sz="2" w:space="0" w:color="auto"/>
              <w:right w:val="single" w:sz="2" w:space="0" w:color="auto"/>
            </w:tcBorders>
            <w:vAlign w:val="center"/>
          </w:tcPr>
          <w:p w14:paraId="59F5968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D9D7B0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D84E91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EF02B9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EC53E2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FEF745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1,074,609,221.56</w:t>
            </w:r>
          </w:p>
        </w:tc>
        <w:tc>
          <w:tcPr>
            <w:tcW w:w="1185" w:type="dxa"/>
            <w:tcBorders>
              <w:top w:val="single" w:sz="2" w:space="0" w:color="auto"/>
              <w:left w:val="single" w:sz="2" w:space="0" w:color="auto"/>
              <w:bottom w:val="single" w:sz="2" w:space="0" w:color="auto"/>
              <w:right w:val="single" w:sz="2" w:space="0" w:color="auto"/>
            </w:tcBorders>
            <w:vAlign w:val="center"/>
          </w:tcPr>
          <w:p w14:paraId="404F947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61F8BEE"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2615059D"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江苏龙大沁侬食品有限公司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0F850E7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170,600,000.00</w:t>
            </w:r>
          </w:p>
        </w:tc>
        <w:tc>
          <w:tcPr>
            <w:tcW w:w="1185" w:type="dxa"/>
            <w:tcBorders>
              <w:top w:val="single" w:sz="2" w:space="0" w:color="auto"/>
              <w:left w:val="single" w:sz="2" w:space="0" w:color="auto"/>
              <w:bottom w:val="single" w:sz="2" w:space="0" w:color="auto"/>
              <w:right w:val="single" w:sz="2" w:space="0" w:color="auto"/>
            </w:tcBorders>
            <w:vAlign w:val="center"/>
          </w:tcPr>
          <w:p w14:paraId="7E878D3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1416F77"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65E051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FF5390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D9A02A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863DE0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170,600,000.00</w:t>
            </w:r>
          </w:p>
        </w:tc>
        <w:tc>
          <w:tcPr>
            <w:tcW w:w="1185" w:type="dxa"/>
            <w:tcBorders>
              <w:top w:val="single" w:sz="2" w:space="0" w:color="auto"/>
              <w:left w:val="single" w:sz="2" w:space="0" w:color="auto"/>
              <w:bottom w:val="single" w:sz="2" w:space="0" w:color="auto"/>
              <w:right w:val="single" w:sz="2" w:space="0" w:color="auto"/>
            </w:tcBorders>
            <w:vAlign w:val="center"/>
          </w:tcPr>
          <w:p w14:paraId="5A4AE427"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DB00E8F"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0347E230"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山东龙大美食贸易有限公司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77BCEBC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11,314,775.94</w:t>
            </w:r>
          </w:p>
        </w:tc>
        <w:tc>
          <w:tcPr>
            <w:tcW w:w="1185" w:type="dxa"/>
            <w:tcBorders>
              <w:top w:val="single" w:sz="2" w:space="0" w:color="auto"/>
              <w:left w:val="single" w:sz="2" w:space="0" w:color="auto"/>
              <w:bottom w:val="single" w:sz="2" w:space="0" w:color="auto"/>
              <w:right w:val="single" w:sz="2" w:space="0" w:color="auto"/>
            </w:tcBorders>
            <w:vAlign w:val="center"/>
          </w:tcPr>
          <w:p w14:paraId="25AF29A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8,685,224.06</w:t>
            </w:r>
          </w:p>
        </w:tc>
        <w:tc>
          <w:tcPr>
            <w:tcW w:w="1185" w:type="dxa"/>
            <w:tcBorders>
              <w:top w:val="single" w:sz="2" w:space="0" w:color="auto"/>
              <w:left w:val="single" w:sz="2" w:space="0" w:color="auto"/>
              <w:bottom w:val="single" w:sz="2" w:space="0" w:color="auto"/>
              <w:right w:val="single" w:sz="2" w:space="0" w:color="auto"/>
            </w:tcBorders>
            <w:vAlign w:val="center"/>
          </w:tcPr>
          <w:p w14:paraId="4BDE117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1519AC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2AB071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63B54C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D2EEBF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11,314,775.94</w:t>
            </w:r>
          </w:p>
        </w:tc>
        <w:tc>
          <w:tcPr>
            <w:tcW w:w="1185" w:type="dxa"/>
            <w:tcBorders>
              <w:top w:val="single" w:sz="2" w:space="0" w:color="auto"/>
              <w:left w:val="single" w:sz="2" w:space="0" w:color="auto"/>
              <w:bottom w:val="single" w:sz="2" w:space="0" w:color="auto"/>
              <w:right w:val="single" w:sz="2" w:space="0" w:color="auto"/>
            </w:tcBorders>
            <w:vAlign w:val="center"/>
          </w:tcPr>
          <w:p w14:paraId="7C20497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8,685,224.06</w:t>
            </w:r>
          </w:p>
        </w:tc>
      </w:tr>
      <w:tr w:rsidR="00E32FE0" w:rsidRPr="005B5EC1" w14:paraId="7863F132"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662B6F2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青岛龙大管理咨询服务有限公司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2B54C22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185" w:type="dxa"/>
            <w:tcBorders>
              <w:top w:val="single" w:sz="2" w:space="0" w:color="auto"/>
              <w:left w:val="single" w:sz="2" w:space="0" w:color="auto"/>
              <w:bottom w:val="single" w:sz="2" w:space="0" w:color="auto"/>
              <w:right w:val="single" w:sz="2" w:space="0" w:color="auto"/>
            </w:tcBorders>
            <w:vAlign w:val="center"/>
          </w:tcPr>
          <w:p w14:paraId="6DA828F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738F97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FC7A48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9,000,000.00</w:t>
            </w:r>
          </w:p>
        </w:tc>
        <w:tc>
          <w:tcPr>
            <w:tcW w:w="1185" w:type="dxa"/>
            <w:tcBorders>
              <w:top w:val="single" w:sz="2" w:space="0" w:color="auto"/>
              <w:left w:val="single" w:sz="2" w:space="0" w:color="auto"/>
              <w:bottom w:val="single" w:sz="2" w:space="0" w:color="auto"/>
              <w:right w:val="single" w:sz="2" w:space="0" w:color="auto"/>
            </w:tcBorders>
            <w:vAlign w:val="center"/>
          </w:tcPr>
          <w:p w14:paraId="78FE7A8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5B0219A"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105FB9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w:t>
            </w:r>
          </w:p>
        </w:tc>
        <w:tc>
          <w:tcPr>
            <w:tcW w:w="1185" w:type="dxa"/>
            <w:tcBorders>
              <w:top w:val="single" w:sz="2" w:space="0" w:color="auto"/>
              <w:left w:val="single" w:sz="2" w:space="0" w:color="auto"/>
              <w:bottom w:val="single" w:sz="2" w:space="0" w:color="auto"/>
              <w:right w:val="single" w:sz="2" w:space="0" w:color="auto"/>
            </w:tcBorders>
            <w:vAlign w:val="center"/>
          </w:tcPr>
          <w:p w14:paraId="3D90D5B9"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1030D46F"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2D2906F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湖北龙大肉食品有限公司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19FC4E7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F5A782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c>
          <w:tcPr>
            <w:tcW w:w="1185" w:type="dxa"/>
            <w:tcBorders>
              <w:top w:val="single" w:sz="2" w:space="0" w:color="auto"/>
              <w:left w:val="single" w:sz="2" w:space="0" w:color="auto"/>
              <w:bottom w:val="single" w:sz="2" w:space="0" w:color="auto"/>
              <w:right w:val="single" w:sz="2" w:space="0" w:color="auto"/>
            </w:tcBorders>
            <w:vAlign w:val="center"/>
          </w:tcPr>
          <w:p w14:paraId="4CBF687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617C5B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909F76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E65A53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C7F93D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5581BD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20,000,000.00</w:t>
            </w:r>
          </w:p>
        </w:tc>
      </w:tr>
      <w:tr w:rsidR="00E32FE0" w:rsidRPr="005B5EC1" w14:paraId="68070B70"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3C526B2F"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成都龙大肉食品有限公司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40E6C12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40,000,000.00</w:t>
            </w:r>
          </w:p>
        </w:tc>
        <w:tc>
          <w:tcPr>
            <w:tcW w:w="1185" w:type="dxa"/>
            <w:tcBorders>
              <w:top w:val="single" w:sz="2" w:space="0" w:color="auto"/>
              <w:left w:val="single" w:sz="2" w:space="0" w:color="auto"/>
              <w:bottom w:val="single" w:sz="2" w:space="0" w:color="auto"/>
              <w:right w:val="single" w:sz="2" w:space="0" w:color="auto"/>
            </w:tcBorders>
            <w:vAlign w:val="center"/>
          </w:tcPr>
          <w:p w14:paraId="6F8C5E76"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710D3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18,000,000.00</w:t>
            </w:r>
          </w:p>
        </w:tc>
        <w:tc>
          <w:tcPr>
            <w:tcW w:w="1185" w:type="dxa"/>
            <w:tcBorders>
              <w:top w:val="single" w:sz="2" w:space="0" w:color="auto"/>
              <w:left w:val="single" w:sz="2" w:space="0" w:color="auto"/>
              <w:bottom w:val="single" w:sz="2" w:space="0" w:color="auto"/>
              <w:right w:val="single" w:sz="2" w:space="0" w:color="auto"/>
            </w:tcBorders>
            <w:vAlign w:val="center"/>
          </w:tcPr>
          <w:p w14:paraId="5B9447A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28E4628"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72660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-36,000,000.00</w:t>
            </w:r>
          </w:p>
        </w:tc>
        <w:tc>
          <w:tcPr>
            <w:tcW w:w="1185" w:type="dxa"/>
            <w:tcBorders>
              <w:top w:val="single" w:sz="2" w:space="0" w:color="auto"/>
              <w:left w:val="single" w:sz="2" w:space="0" w:color="auto"/>
              <w:bottom w:val="single" w:sz="2" w:space="0" w:color="auto"/>
              <w:right w:val="single" w:sz="2" w:space="0" w:color="auto"/>
            </w:tcBorders>
            <w:vAlign w:val="center"/>
          </w:tcPr>
          <w:p w14:paraId="6662EE4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22,000,000.00</w:t>
            </w:r>
          </w:p>
        </w:tc>
        <w:tc>
          <w:tcPr>
            <w:tcW w:w="1185" w:type="dxa"/>
            <w:tcBorders>
              <w:top w:val="single" w:sz="2" w:space="0" w:color="auto"/>
              <w:left w:val="single" w:sz="2" w:space="0" w:color="auto"/>
              <w:bottom w:val="single" w:sz="2" w:space="0" w:color="auto"/>
              <w:right w:val="single" w:sz="2" w:space="0" w:color="auto"/>
            </w:tcBorders>
            <w:vAlign w:val="center"/>
          </w:tcPr>
          <w:p w14:paraId="7C5BC7A5"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447A127"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714EA352"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黑龙江龙大肉食品有限公司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70DC869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5724F86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05A1FE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C87636B"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0FDF30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9618114"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CA1A9D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10FC90B1"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A8646A6"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0AFE409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巴中龙大肉食品有限公司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5701B3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773D23BF"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F91564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5A8312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20713CD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336ED8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D421D9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4C761EBE"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0CA5D9C"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3C513029"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海南龙大美食有限责任公司</w:t>
            </w:r>
          </w:p>
        </w:tc>
        <w:tc>
          <w:tcPr>
            <w:tcW w:w="1185" w:type="dxa"/>
            <w:tcBorders>
              <w:top w:val="single" w:sz="2" w:space="0" w:color="auto"/>
              <w:left w:val="single" w:sz="2" w:space="0" w:color="auto"/>
              <w:bottom w:val="single" w:sz="2" w:space="0" w:color="auto"/>
              <w:right w:val="single" w:sz="2" w:space="0" w:color="auto"/>
            </w:tcBorders>
            <w:vAlign w:val="center"/>
          </w:tcPr>
          <w:p w14:paraId="11B1774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6039A539"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E84720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5A16FC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EDD4240"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4943546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7092A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75A5480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3B2E88FC"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4E7614BE"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山东</w:t>
            </w:r>
            <w:proofErr w:type="gramStart"/>
            <w:r w:rsidRPr="005B5EC1">
              <w:rPr>
                <w:rFonts w:ascii="Times New Roman" w:eastAsia="宋体" w:hAnsi="Times New Roman" w:cs="Times New Roman"/>
                <w:sz w:val="18"/>
                <w:szCs w:val="18"/>
              </w:rPr>
              <w:t>龙鲜生供应</w:t>
            </w:r>
            <w:proofErr w:type="gramEnd"/>
            <w:r w:rsidRPr="005B5EC1">
              <w:rPr>
                <w:rFonts w:ascii="Times New Roman" w:eastAsia="宋体" w:hAnsi="Times New Roman" w:cs="Times New Roman"/>
                <w:sz w:val="18"/>
                <w:szCs w:val="18"/>
              </w:rPr>
              <w:t>链管理有限公司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2306AC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10,000,000.00</w:t>
            </w:r>
          </w:p>
        </w:tc>
        <w:tc>
          <w:tcPr>
            <w:tcW w:w="1185" w:type="dxa"/>
            <w:tcBorders>
              <w:top w:val="single" w:sz="2" w:space="0" w:color="auto"/>
              <w:left w:val="single" w:sz="2" w:space="0" w:color="auto"/>
              <w:bottom w:val="single" w:sz="2" w:space="0" w:color="auto"/>
              <w:right w:val="single" w:sz="2" w:space="0" w:color="auto"/>
            </w:tcBorders>
            <w:vAlign w:val="center"/>
          </w:tcPr>
          <w:p w14:paraId="5215289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0C2B3C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1878608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4,000,000.00</w:t>
            </w:r>
          </w:p>
        </w:tc>
        <w:tc>
          <w:tcPr>
            <w:tcW w:w="1185" w:type="dxa"/>
            <w:tcBorders>
              <w:top w:val="single" w:sz="2" w:space="0" w:color="auto"/>
              <w:left w:val="single" w:sz="2" w:space="0" w:color="auto"/>
              <w:bottom w:val="single" w:sz="2" w:space="0" w:color="auto"/>
              <w:right w:val="single" w:sz="2" w:space="0" w:color="auto"/>
            </w:tcBorders>
            <w:vAlign w:val="center"/>
          </w:tcPr>
          <w:p w14:paraId="5D1B85C3"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3E7739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6149407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6,000,000.00</w:t>
            </w:r>
          </w:p>
        </w:tc>
        <w:tc>
          <w:tcPr>
            <w:tcW w:w="1185" w:type="dxa"/>
            <w:tcBorders>
              <w:top w:val="single" w:sz="2" w:space="0" w:color="auto"/>
              <w:left w:val="single" w:sz="2" w:space="0" w:color="auto"/>
              <w:bottom w:val="single" w:sz="2" w:space="0" w:color="auto"/>
              <w:right w:val="single" w:sz="2" w:space="0" w:color="auto"/>
            </w:tcBorders>
            <w:vAlign w:val="center"/>
          </w:tcPr>
          <w:p w14:paraId="523AF750"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496E918C"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vAlign w:val="center"/>
          </w:tcPr>
          <w:p w14:paraId="034A0BFC"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成都龙大科技有限公司（原：成都</w:t>
            </w:r>
            <w:proofErr w:type="gramStart"/>
            <w:r w:rsidRPr="005B5EC1">
              <w:rPr>
                <w:rFonts w:ascii="Times New Roman" w:eastAsia="宋体" w:hAnsi="Times New Roman" w:cs="Times New Roman"/>
                <w:sz w:val="18"/>
                <w:szCs w:val="18"/>
              </w:rPr>
              <w:t>逸享潮代供应</w:t>
            </w:r>
            <w:proofErr w:type="gramEnd"/>
            <w:r w:rsidRPr="005B5EC1">
              <w:rPr>
                <w:rFonts w:ascii="Times New Roman" w:eastAsia="宋体" w:hAnsi="Times New Roman" w:cs="Times New Roman"/>
                <w:sz w:val="18"/>
                <w:szCs w:val="18"/>
              </w:rPr>
              <w:t>链</w:t>
            </w:r>
            <w:r w:rsidRPr="005B5EC1">
              <w:rPr>
                <w:rFonts w:ascii="Times New Roman" w:eastAsia="宋体" w:hAnsi="Times New Roman" w:cs="Times New Roman"/>
                <w:sz w:val="18"/>
                <w:szCs w:val="18"/>
              </w:rPr>
              <w:lastRenderedPageBreak/>
              <w:t>管理有限公司）</w:t>
            </w:r>
          </w:p>
        </w:tc>
        <w:tc>
          <w:tcPr>
            <w:tcW w:w="1185" w:type="dxa"/>
            <w:tcBorders>
              <w:top w:val="single" w:sz="2" w:space="0" w:color="auto"/>
              <w:left w:val="single" w:sz="2" w:space="0" w:color="auto"/>
              <w:bottom w:val="single" w:sz="2" w:space="0" w:color="auto"/>
              <w:right w:val="single" w:sz="2" w:space="0" w:color="auto"/>
            </w:tcBorders>
            <w:vAlign w:val="center"/>
          </w:tcPr>
          <w:p w14:paraId="4ABA6D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lastRenderedPageBreak/>
              <w:t>100,000,000.00</w:t>
            </w:r>
          </w:p>
        </w:tc>
        <w:tc>
          <w:tcPr>
            <w:tcW w:w="1185" w:type="dxa"/>
            <w:tcBorders>
              <w:top w:val="single" w:sz="2" w:space="0" w:color="auto"/>
              <w:left w:val="single" w:sz="2" w:space="0" w:color="auto"/>
              <w:bottom w:val="single" w:sz="2" w:space="0" w:color="auto"/>
              <w:right w:val="single" w:sz="2" w:space="0" w:color="auto"/>
            </w:tcBorders>
            <w:vAlign w:val="center"/>
          </w:tcPr>
          <w:p w14:paraId="6CFE44FC"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71A95761"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88A0A5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99,000,000.00</w:t>
            </w:r>
          </w:p>
        </w:tc>
        <w:tc>
          <w:tcPr>
            <w:tcW w:w="1185" w:type="dxa"/>
            <w:tcBorders>
              <w:top w:val="single" w:sz="2" w:space="0" w:color="auto"/>
              <w:left w:val="single" w:sz="2" w:space="0" w:color="auto"/>
              <w:bottom w:val="single" w:sz="2" w:space="0" w:color="auto"/>
              <w:right w:val="single" w:sz="2" w:space="0" w:color="auto"/>
            </w:tcBorders>
            <w:vAlign w:val="center"/>
          </w:tcPr>
          <w:p w14:paraId="32BC81CE"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04CC8485"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1185" w:type="dxa"/>
            <w:tcBorders>
              <w:top w:val="single" w:sz="2" w:space="0" w:color="auto"/>
              <w:left w:val="single" w:sz="2" w:space="0" w:color="auto"/>
              <w:bottom w:val="single" w:sz="2" w:space="0" w:color="auto"/>
              <w:right w:val="single" w:sz="2" w:space="0" w:color="auto"/>
            </w:tcBorders>
            <w:vAlign w:val="center"/>
          </w:tcPr>
          <w:p w14:paraId="35049D2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1,000,000.00</w:t>
            </w:r>
          </w:p>
        </w:tc>
        <w:tc>
          <w:tcPr>
            <w:tcW w:w="1185" w:type="dxa"/>
            <w:tcBorders>
              <w:top w:val="single" w:sz="2" w:space="0" w:color="auto"/>
              <w:left w:val="single" w:sz="2" w:space="0" w:color="auto"/>
              <w:bottom w:val="single" w:sz="2" w:space="0" w:color="auto"/>
              <w:right w:val="single" w:sz="2" w:space="0" w:color="auto"/>
            </w:tcBorders>
            <w:vAlign w:val="center"/>
          </w:tcPr>
          <w:p w14:paraId="0D0D11BF"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67E570CD" w14:textId="77777777" w:rsidTr="00A47B24">
        <w:trPr>
          <w:trHeight w:val="241"/>
          <w:jc w:val="center"/>
        </w:trPr>
        <w:tc>
          <w:tcPr>
            <w:tcW w:w="1185" w:type="dxa"/>
            <w:tcBorders>
              <w:top w:val="single" w:sz="2" w:space="0" w:color="auto"/>
              <w:left w:val="single" w:sz="2" w:space="0" w:color="auto"/>
              <w:bottom w:val="single" w:sz="2" w:space="0" w:color="auto"/>
              <w:right w:val="single" w:sz="2" w:space="0" w:color="auto"/>
            </w:tcBorders>
            <w:shd w:val="clear" w:color="auto" w:fill="D3D3D3"/>
            <w:vAlign w:val="center"/>
          </w:tcPr>
          <w:p w14:paraId="31D2747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185" w:type="dxa"/>
            <w:tcBorders>
              <w:top w:val="single" w:sz="2" w:space="0" w:color="auto"/>
              <w:left w:val="single" w:sz="2" w:space="0" w:color="auto"/>
              <w:bottom w:val="single" w:sz="2" w:space="0" w:color="auto"/>
              <w:right w:val="single" w:sz="2" w:space="0" w:color="auto"/>
            </w:tcBorders>
            <w:vAlign w:val="center"/>
          </w:tcPr>
          <w:p w14:paraId="71C9B89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2,574,081,822.87</w:t>
            </w:r>
          </w:p>
        </w:tc>
        <w:tc>
          <w:tcPr>
            <w:tcW w:w="1185" w:type="dxa"/>
            <w:tcBorders>
              <w:top w:val="single" w:sz="2" w:space="0" w:color="auto"/>
              <w:left w:val="single" w:sz="2" w:space="0" w:color="auto"/>
              <w:bottom w:val="single" w:sz="2" w:space="0" w:color="auto"/>
              <w:right w:val="single" w:sz="2" w:space="0" w:color="auto"/>
            </w:tcBorders>
            <w:vAlign w:val="center"/>
          </w:tcPr>
          <w:p w14:paraId="62BB52C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114,417,913.10</w:t>
            </w:r>
          </w:p>
        </w:tc>
        <w:tc>
          <w:tcPr>
            <w:tcW w:w="1185" w:type="dxa"/>
            <w:tcBorders>
              <w:top w:val="single" w:sz="2" w:space="0" w:color="auto"/>
              <w:left w:val="single" w:sz="2" w:space="0" w:color="auto"/>
              <w:bottom w:val="single" w:sz="2" w:space="0" w:color="auto"/>
              <w:right w:val="single" w:sz="2" w:space="0" w:color="auto"/>
            </w:tcBorders>
            <w:vAlign w:val="center"/>
          </w:tcPr>
          <w:p w14:paraId="4763283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40,500,000.00</w:t>
            </w:r>
          </w:p>
        </w:tc>
        <w:tc>
          <w:tcPr>
            <w:tcW w:w="1185" w:type="dxa"/>
            <w:tcBorders>
              <w:top w:val="single" w:sz="2" w:space="0" w:color="auto"/>
              <w:left w:val="single" w:sz="2" w:space="0" w:color="auto"/>
              <w:bottom w:val="single" w:sz="2" w:space="0" w:color="auto"/>
              <w:right w:val="single" w:sz="2" w:space="0" w:color="auto"/>
            </w:tcBorders>
            <w:vAlign w:val="center"/>
          </w:tcPr>
          <w:p w14:paraId="420A4E8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132,000,000.00</w:t>
            </w:r>
          </w:p>
        </w:tc>
        <w:tc>
          <w:tcPr>
            <w:tcW w:w="1185" w:type="dxa"/>
            <w:tcBorders>
              <w:top w:val="single" w:sz="2" w:space="0" w:color="auto"/>
              <w:left w:val="single" w:sz="2" w:space="0" w:color="auto"/>
              <w:bottom w:val="single" w:sz="2" w:space="0" w:color="auto"/>
              <w:right w:val="single" w:sz="2" w:space="0" w:color="auto"/>
            </w:tcBorders>
            <w:vAlign w:val="center"/>
          </w:tcPr>
          <w:p w14:paraId="2073394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-55,000,700.00</w:t>
            </w:r>
          </w:p>
        </w:tc>
        <w:tc>
          <w:tcPr>
            <w:tcW w:w="1185" w:type="dxa"/>
            <w:tcBorders>
              <w:top w:val="single" w:sz="2" w:space="0" w:color="auto"/>
              <w:left w:val="single" w:sz="2" w:space="0" w:color="auto"/>
              <w:bottom w:val="single" w:sz="2" w:space="0" w:color="auto"/>
              <w:right w:val="single" w:sz="2" w:space="0" w:color="auto"/>
            </w:tcBorders>
            <w:vAlign w:val="center"/>
          </w:tcPr>
          <w:p w14:paraId="7F69476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-93,500,700.00</w:t>
            </w:r>
          </w:p>
        </w:tc>
        <w:tc>
          <w:tcPr>
            <w:tcW w:w="1185" w:type="dxa"/>
            <w:tcBorders>
              <w:top w:val="single" w:sz="2" w:space="0" w:color="auto"/>
              <w:left w:val="single" w:sz="2" w:space="0" w:color="auto"/>
              <w:bottom w:val="single" w:sz="2" w:space="0" w:color="auto"/>
              <w:right w:val="single" w:sz="2" w:space="0" w:color="auto"/>
            </w:tcBorders>
            <w:vAlign w:val="center"/>
          </w:tcPr>
          <w:p w14:paraId="04E47EB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2,444,081,822.87</w:t>
            </w:r>
          </w:p>
        </w:tc>
        <w:tc>
          <w:tcPr>
            <w:tcW w:w="1185" w:type="dxa"/>
            <w:tcBorders>
              <w:top w:val="single" w:sz="2" w:space="0" w:color="auto"/>
              <w:left w:val="single" w:sz="2" w:space="0" w:color="auto"/>
              <w:bottom w:val="single" w:sz="2" w:space="0" w:color="auto"/>
              <w:right w:val="single" w:sz="2" w:space="0" w:color="auto"/>
            </w:tcBorders>
            <w:vAlign w:val="center"/>
          </w:tcPr>
          <w:p w14:paraId="4CDD7BD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59,417,213.10</w:t>
            </w:r>
          </w:p>
        </w:tc>
      </w:tr>
    </w:tbl>
    <w:p w14:paraId="6825460E"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33" w:name="_Toc989500"/>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对联营、合营企业投资</w:t>
      </w:r>
      <w:bookmarkEnd w:id="533"/>
    </w:p>
    <w:p w14:paraId="3FF91E40" w14:textId="77777777" w:rsidR="00AF139E" w:rsidRPr="005B5EC1" w:rsidRDefault="00000000">
      <w:pPr>
        <w:pStyle w:val="a3"/>
        <w:divId w:val="84806822"/>
        <w:rPr>
          <w:rFonts w:ascii="Times New Roman" w:hAnsi="Times New Roman" w:cs="Times New Roman"/>
          <w:sz w:val="18"/>
          <w:szCs w:val="18"/>
        </w:rPr>
      </w:pPr>
      <w:r w:rsidRPr="005B5EC1">
        <w:rPr>
          <w:rFonts w:ascii="Times New Roman" w:hAnsi="Times New Roman" w:cs="Times New Roman"/>
          <w:sz w:val="18"/>
          <w:szCs w:val="18"/>
        </w:rPr>
        <w:t>无</w:t>
      </w:r>
    </w:p>
    <w:p w14:paraId="530A4EB2"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34" w:name="_Toc98950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其他说明</w:t>
      </w:r>
      <w:bookmarkEnd w:id="534"/>
    </w:p>
    <w:p w14:paraId="4D79ED83" w14:textId="77777777" w:rsidR="00AF139E" w:rsidRPr="005B5EC1" w:rsidRDefault="00000000">
      <w:pPr>
        <w:pStyle w:val="a3"/>
        <w:divId w:val="1972398563"/>
        <w:rPr>
          <w:rFonts w:ascii="Times New Roman" w:hAnsi="Times New Roman" w:cs="Times New Roman"/>
          <w:sz w:val="18"/>
          <w:szCs w:val="18"/>
        </w:rPr>
      </w:pPr>
      <w:r w:rsidRPr="005B5EC1">
        <w:rPr>
          <w:rFonts w:ascii="Times New Roman" w:hAnsi="Times New Roman" w:cs="Times New Roman"/>
          <w:sz w:val="18"/>
          <w:szCs w:val="18"/>
        </w:rPr>
        <w:t>无</w:t>
      </w:r>
    </w:p>
    <w:p w14:paraId="5999952D" w14:textId="77777777" w:rsidR="00E32FE0" w:rsidRPr="005B5EC1" w:rsidRDefault="00000000">
      <w:pPr>
        <w:pStyle w:val="3"/>
        <w:spacing w:line="280" w:lineRule="exact"/>
        <w:jc w:val="left"/>
        <w:rPr>
          <w:rFonts w:ascii="Times New Roman" w:hAnsi="Times New Roman" w:cs="Times New Roman"/>
          <w:b/>
          <w:bCs/>
        </w:rPr>
      </w:pPr>
      <w:bookmarkStart w:id="535" w:name="_Toc989502"/>
      <w:r w:rsidRPr="005B5EC1">
        <w:rPr>
          <w:rFonts w:ascii="Times New Roman" w:hAnsi="Times New Roman" w:cs="Times New Roman"/>
          <w:b/>
          <w:bCs/>
        </w:rPr>
        <w:t>4</w:t>
      </w:r>
      <w:r w:rsidRPr="005B5EC1">
        <w:rPr>
          <w:rFonts w:ascii="Times New Roman" w:hAnsi="Times New Roman" w:cs="Times New Roman"/>
          <w:b/>
          <w:bCs/>
        </w:rPr>
        <w:t>、营业收入和营业成本</w:t>
      </w:r>
      <w:bookmarkEnd w:id="535"/>
    </w:p>
    <w:p w14:paraId="73FCD056"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E32FE0" w:rsidRPr="005B5EC1" w14:paraId="2C942DCC" w14:textId="77777777" w:rsidTr="00A47B2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4D17026"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1C833DA"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87A0810"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00EB2439" w14:textId="77777777" w:rsidTr="00A47B24">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auto"/>
            <w:vAlign w:val="center"/>
          </w:tcPr>
          <w:p w14:paraId="4BADB8BC" w14:textId="77777777" w:rsidR="00E32FE0" w:rsidRPr="005B5EC1" w:rsidRDefault="00E32FE0">
            <w:pPr>
              <w:rPr>
                <w:rFonts w:ascii="Times New Roman" w:hAnsi="Times New Roman" w:cs="Times New Roman"/>
              </w:rPr>
            </w:pP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294E50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5232A7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121DB4C"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AE6BCEF"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成本</w:t>
            </w:r>
          </w:p>
        </w:tc>
      </w:tr>
      <w:tr w:rsidR="00E32FE0" w:rsidRPr="005B5EC1" w14:paraId="5BCEAE8E" w14:textId="77777777" w:rsidTr="00A47B2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7D95AE0"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主营业务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88017BF"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4,527,362,182.86</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51BCD8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4,331,000,060.13</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6A9B24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5,173,004,418.08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7283037"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5,023,690,132.27</w:t>
            </w:r>
          </w:p>
        </w:tc>
      </w:tr>
      <w:tr w:rsidR="00E32FE0" w:rsidRPr="005B5EC1" w14:paraId="6A5AFB9B" w14:textId="77777777" w:rsidTr="00A47B2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30B721A"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其他业务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925143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32,555,101.24</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E85EB8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3,003,379.75</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22A9A0EA"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47,775,320.90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608F090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6,454,068.98</w:t>
            </w:r>
          </w:p>
        </w:tc>
      </w:tr>
      <w:tr w:rsidR="00E32FE0" w:rsidRPr="005B5EC1" w14:paraId="0E0CE90F" w14:textId="77777777" w:rsidTr="00A47B2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3F7358E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472574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4,559,917,284.10</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03054802"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4,334,003,439.88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7CA81624"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5,220,779,738.98</w:t>
            </w:r>
          </w:p>
        </w:tc>
        <w:tc>
          <w:tcPr>
            <w:tcW w:w="1928" w:type="dxa"/>
            <w:tcBorders>
              <w:top w:val="single" w:sz="2" w:space="0" w:color="auto"/>
              <w:left w:val="single" w:sz="2" w:space="0" w:color="auto"/>
              <w:bottom w:val="single" w:sz="2" w:space="0" w:color="auto"/>
              <w:right w:val="single" w:sz="2" w:space="0" w:color="auto"/>
            </w:tcBorders>
            <w:shd w:val="clear" w:color="auto" w:fill="auto"/>
            <w:vAlign w:val="center"/>
          </w:tcPr>
          <w:p w14:paraId="576663B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5,030,144,201.25</w:t>
            </w:r>
          </w:p>
        </w:tc>
      </w:tr>
    </w:tbl>
    <w:p w14:paraId="6F05C539"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与履约义务相关的信息：</w:t>
      </w:r>
    </w:p>
    <w:p w14:paraId="1C41FA93" w14:textId="77777777" w:rsidR="00AF139E" w:rsidRPr="005B5EC1" w:rsidRDefault="00000000">
      <w:pPr>
        <w:pStyle w:val="a3"/>
        <w:divId w:val="1622224431"/>
        <w:rPr>
          <w:rFonts w:ascii="Times New Roman" w:hAnsi="Times New Roman" w:cs="Times New Roman"/>
          <w:sz w:val="18"/>
          <w:szCs w:val="18"/>
        </w:rPr>
      </w:pPr>
      <w:r w:rsidRPr="005B5EC1">
        <w:rPr>
          <w:rFonts w:ascii="Times New Roman" w:hAnsi="Times New Roman" w:cs="Times New Roman"/>
          <w:sz w:val="18"/>
          <w:szCs w:val="18"/>
        </w:rPr>
        <w:t>无</w:t>
      </w:r>
    </w:p>
    <w:p w14:paraId="2A3697BF"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与分摊至剩余履约义务的交易价格相关的信息：</w:t>
      </w:r>
    </w:p>
    <w:p w14:paraId="3639DBF9" w14:textId="77777777" w:rsidR="0053739A" w:rsidRDefault="0053739A">
      <w:pPr>
        <w:spacing w:before="100" w:after="100" w:line="240" w:lineRule="exact"/>
        <w:rPr>
          <w:rFonts w:ascii="Times New Roman" w:eastAsia="宋体" w:hAnsi="Times New Roman" w:cs="Times New Roman"/>
          <w:sz w:val="18"/>
          <w:szCs w:val="18"/>
        </w:rPr>
      </w:pPr>
      <w:r>
        <w:rPr>
          <w:rFonts w:ascii="Times New Roman" w:eastAsia="宋体" w:hAnsi="Times New Roman" w:cs="Times New Roman" w:hint="eastAsia"/>
          <w:sz w:val="18"/>
          <w:szCs w:val="18"/>
        </w:rPr>
        <w:t>无</w:t>
      </w:r>
    </w:p>
    <w:p w14:paraId="376C40AE" w14:textId="1E762A1A"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重大合同变更或重大交易价格调整</w:t>
      </w:r>
    </w:p>
    <w:p w14:paraId="509CD7AD" w14:textId="77777777" w:rsidR="00AF139E" w:rsidRPr="005B5EC1" w:rsidRDefault="00000000">
      <w:pPr>
        <w:pStyle w:val="a3"/>
        <w:divId w:val="859509029"/>
        <w:rPr>
          <w:rFonts w:ascii="Times New Roman" w:hAnsi="Times New Roman" w:cs="Times New Roman"/>
          <w:sz w:val="18"/>
          <w:szCs w:val="18"/>
        </w:rPr>
      </w:pPr>
      <w:r w:rsidRPr="005B5EC1">
        <w:rPr>
          <w:rFonts w:ascii="Times New Roman" w:hAnsi="Times New Roman" w:cs="Times New Roman"/>
          <w:sz w:val="18"/>
          <w:szCs w:val="18"/>
        </w:rPr>
        <w:t>无</w:t>
      </w:r>
    </w:p>
    <w:p w14:paraId="2C0AE762" w14:textId="77777777" w:rsidR="00E32FE0" w:rsidRPr="005B5EC1" w:rsidRDefault="00000000">
      <w:pPr>
        <w:pStyle w:val="3"/>
        <w:spacing w:line="280" w:lineRule="exact"/>
        <w:jc w:val="left"/>
        <w:rPr>
          <w:rFonts w:ascii="Times New Roman" w:hAnsi="Times New Roman" w:cs="Times New Roman"/>
          <w:b/>
          <w:bCs/>
        </w:rPr>
      </w:pPr>
      <w:bookmarkStart w:id="536" w:name="_Toc989503"/>
      <w:r w:rsidRPr="005B5EC1">
        <w:rPr>
          <w:rFonts w:ascii="Times New Roman" w:hAnsi="Times New Roman" w:cs="Times New Roman"/>
          <w:b/>
          <w:bCs/>
        </w:rPr>
        <w:t>5</w:t>
      </w:r>
      <w:r w:rsidRPr="005B5EC1">
        <w:rPr>
          <w:rFonts w:ascii="Times New Roman" w:hAnsi="Times New Roman" w:cs="Times New Roman"/>
          <w:b/>
          <w:bCs/>
        </w:rPr>
        <w:t>、投资收益</w:t>
      </w:r>
      <w:bookmarkEnd w:id="536"/>
    </w:p>
    <w:p w14:paraId="395B64C8" w14:textId="77777777" w:rsidR="00E32FE0" w:rsidRPr="005B5EC1" w:rsidRDefault="00000000">
      <w:pPr>
        <w:spacing w:before="40" w:after="4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E32FE0" w:rsidRPr="005B5EC1" w14:paraId="352818D6"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2361FC1"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16CF37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BC44F6E"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上期发生额</w:t>
            </w:r>
          </w:p>
        </w:tc>
      </w:tr>
      <w:tr w:rsidR="00E32FE0" w:rsidRPr="005B5EC1" w14:paraId="676E523A"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5E4D968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6195334D" w14:textId="77777777" w:rsidR="00E32FE0" w:rsidRPr="005B5EC1" w:rsidRDefault="00E32FE0">
            <w:pPr>
              <w:spacing w:after="0" w:line="240" w:lineRule="exact"/>
              <w:jc w:val="right"/>
              <w:rPr>
                <w:rFonts w:ascii="Times New Roman" w:eastAsia="宋体" w:hAnsi="Times New Roman" w:cs="Times New Roman"/>
                <w:sz w:val="18"/>
                <w:szCs w:val="18"/>
              </w:rPr>
            </w:pP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3DE04E3"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r>
      <w:tr w:rsidR="00E32FE0" w:rsidRPr="005B5EC1" w14:paraId="2EA20B16"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E556C24"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E22583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20,700,000.00</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069F76ED"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0D40490E"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19900C2F"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46301B9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1,985,612.07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3E9FA316" w14:textId="77777777" w:rsidR="00E32FE0" w:rsidRPr="005B5EC1" w:rsidRDefault="00E32FE0">
            <w:pPr>
              <w:spacing w:after="0" w:line="240" w:lineRule="exact"/>
              <w:jc w:val="right"/>
              <w:rPr>
                <w:rFonts w:ascii="Times New Roman" w:eastAsia="宋体" w:hAnsi="Times New Roman" w:cs="Times New Roman"/>
                <w:sz w:val="18"/>
                <w:szCs w:val="18"/>
              </w:rPr>
            </w:pPr>
          </w:p>
        </w:tc>
      </w:tr>
      <w:tr w:rsidR="00E32FE0" w:rsidRPr="005B5EC1" w14:paraId="7E7E921F" w14:textId="77777777" w:rsidTr="00A47B2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63F4B3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5347DF9"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22,685,612.07</w:t>
            </w:r>
          </w:p>
        </w:tc>
        <w:tc>
          <w:tcPr>
            <w:tcW w:w="3213" w:type="dxa"/>
            <w:tcBorders>
              <w:top w:val="single" w:sz="2" w:space="0" w:color="auto"/>
              <w:left w:val="single" w:sz="2" w:space="0" w:color="auto"/>
              <w:bottom w:val="single" w:sz="2" w:space="0" w:color="auto"/>
              <w:right w:val="single" w:sz="2" w:space="0" w:color="auto"/>
            </w:tcBorders>
            <w:shd w:val="clear" w:color="auto" w:fill="auto"/>
            <w:vAlign w:val="center"/>
          </w:tcPr>
          <w:p w14:paraId="79D1BE4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2,240,000.00</w:t>
            </w:r>
          </w:p>
        </w:tc>
      </w:tr>
    </w:tbl>
    <w:p w14:paraId="58B89CBB" w14:textId="77777777" w:rsidR="00E32FE0" w:rsidRPr="005B5EC1" w:rsidRDefault="00000000">
      <w:pPr>
        <w:pStyle w:val="3"/>
        <w:spacing w:line="280" w:lineRule="exact"/>
        <w:jc w:val="left"/>
        <w:rPr>
          <w:rFonts w:ascii="Times New Roman" w:hAnsi="Times New Roman" w:cs="Times New Roman"/>
          <w:b/>
          <w:bCs/>
        </w:rPr>
      </w:pPr>
      <w:bookmarkStart w:id="537" w:name="_Toc989504"/>
      <w:r w:rsidRPr="005B5EC1">
        <w:rPr>
          <w:rFonts w:ascii="Times New Roman" w:hAnsi="Times New Roman" w:cs="Times New Roman"/>
          <w:b/>
          <w:bCs/>
        </w:rPr>
        <w:t>6</w:t>
      </w:r>
      <w:r w:rsidRPr="005B5EC1">
        <w:rPr>
          <w:rFonts w:ascii="Times New Roman" w:hAnsi="Times New Roman" w:cs="Times New Roman"/>
          <w:b/>
          <w:bCs/>
        </w:rPr>
        <w:t>、其他</w:t>
      </w:r>
      <w:bookmarkEnd w:id="537"/>
    </w:p>
    <w:p w14:paraId="3D619A4F" w14:textId="77777777" w:rsidR="00AF139E" w:rsidRPr="005B5EC1" w:rsidRDefault="00000000">
      <w:pPr>
        <w:pStyle w:val="a3"/>
        <w:divId w:val="952520315"/>
        <w:rPr>
          <w:rFonts w:ascii="Times New Roman" w:hAnsi="Times New Roman" w:cs="Times New Roman"/>
          <w:sz w:val="18"/>
          <w:szCs w:val="18"/>
        </w:rPr>
      </w:pPr>
      <w:r w:rsidRPr="005B5EC1">
        <w:rPr>
          <w:rFonts w:ascii="Times New Roman" w:hAnsi="Times New Roman" w:cs="Times New Roman"/>
          <w:sz w:val="18"/>
          <w:szCs w:val="18"/>
        </w:rPr>
        <w:t>无</w:t>
      </w:r>
    </w:p>
    <w:p w14:paraId="6469A383" w14:textId="77777777" w:rsidR="00E32FE0" w:rsidRPr="005B5EC1" w:rsidRDefault="00000000">
      <w:pPr>
        <w:pStyle w:val="2"/>
        <w:spacing w:before="300" w:after="300" w:line="320" w:lineRule="exact"/>
        <w:rPr>
          <w:rFonts w:ascii="Times New Roman" w:eastAsia="宋体" w:hAnsi="Times New Roman" w:cs="Times New Roman"/>
          <w:b/>
          <w:bCs/>
          <w:sz w:val="24"/>
          <w:szCs w:val="24"/>
        </w:rPr>
      </w:pPr>
      <w:bookmarkStart w:id="538" w:name="_Toc989505"/>
      <w:r w:rsidRPr="005B5EC1">
        <w:rPr>
          <w:rFonts w:ascii="Times New Roman" w:eastAsia="宋体" w:hAnsi="Times New Roman" w:cs="Times New Roman"/>
          <w:b/>
          <w:bCs/>
          <w:sz w:val="24"/>
          <w:szCs w:val="24"/>
        </w:rPr>
        <w:lastRenderedPageBreak/>
        <w:t>二十、补充资料</w:t>
      </w:r>
      <w:bookmarkEnd w:id="538"/>
    </w:p>
    <w:p w14:paraId="43B2B820" w14:textId="77777777" w:rsidR="00E32FE0" w:rsidRPr="005B5EC1" w:rsidRDefault="00000000">
      <w:pPr>
        <w:pStyle w:val="3"/>
        <w:spacing w:line="280" w:lineRule="exact"/>
        <w:jc w:val="left"/>
        <w:rPr>
          <w:rFonts w:ascii="Times New Roman" w:hAnsi="Times New Roman" w:cs="Times New Roman"/>
          <w:b/>
          <w:bCs/>
        </w:rPr>
      </w:pPr>
      <w:bookmarkStart w:id="539" w:name="_Toc989506"/>
      <w:r w:rsidRPr="005B5EC1">
        <w:rPr>
          <w:rFonts w:ascii="Times New Roman" w:hAnsi="Times New Roman" w:cs="Times New Roman"/>
          <w:b/>
          <w:bCs/>
        </w:rPr>
        <w:t>1</w:t>
      </w:r>
      <w:r w:rsidRPr="005B5EC1">
        <w:rPr>
          <w:rFonts w:ascii="Times New Roman" w:hAnsi="Times New Roman" w:cs="Times New Roman"/>
          <w:b/>
          <w:bCs/>
        </w:rPr>
        <w:t>、当期非经常性损益明细表</w:t>
      </w:r>
      <w:bookmarkEnd w:id="539"/>
    </w:p>
    <w:p w14:paraId="3A4E6DCE"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t>不适用</w:t>
      </w:r>
    </w:p>
    <w:p w14:paraId="6DD74AEE" w14:textId="77777777" w:rsidR="00E32FE0" w:rsidRPr="005B5EC1" w:rsidRDefault="00000000">
      <w:pPr>
        <w:spacing w:before="120" w:after="12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单位：元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3213"/>
        <w:gridCol w:w="3213"/>
      </w:tblGrid>
      <w:tr w:rsidR="00E32FE0" w:rsidRPr="005B5EC1" w14:paraId="5E91C098" w14:textId="77777777" w:rsidTr="00A47B24">
        <w:trPr>
          <w:trHeight w:val="240"/>
        </w:trPr>
        <w:tc>
          <w:tcPr>
            <w:tcW w:w="3213" w:type="dxa"/>
            <w:shd w:val="clear" w:color="auto" w:fill="auto"/>
            <w:vAlign w:val="center"/>
          </w:tcPr>
          <w:p w14:paraId="7762772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项目</w:t>
            </w:r>
          </w:p>
        </w:tc>
        <w:tc>
          <w:tcPr>
            <w:tcW w:w="3213" w:type="dxa"/>
            <w:shd w:val="clear" w:color="auto" w:fill="auto"/>
            <w:vAlign w:val="center"/>
          </w:tcPr>
          <w:p w14:paraId="17822C8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金额</w:t>
            </w:r>
          </w:p>
        </w:tc>
        <w:tc>
          <w:tcPr>
            <w:tcW w:w="3213" w:type="dxa"/>
            <w:shd w:val="clear" w:color="auto" w:fill="auto"/>
            <w:vAlign w:val="center"/>
          </w:tcPr>
          <w:p w14:paraId="77F3C9CD"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说明</w:t>
            </w:r>
          </w:p>
        </w:tc>
      </w:tr>
      <w:tr w:rsidR="00E32FE0" w:rsidRPr="005B5EC1" w14:paraId="45DA33BC" w14:textId="77777777" w:rsidTr="00A47B24">
        <w:trPr>
          <w:trHeight w:val="240"/>
        </w:trPr>
        <w:tc>
          <w:tcPr>
            <w:tcW w:w="3213" w:type="dxa"/>
            <w:shd w:val="clear" w:color="auto" w:fill="auto"/>
            <w:vAlign w:val="center"/>
          </w:tcPr>
          <w:p w14:paraId="189682A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非流动性资产处置损益</w:t>
            </w:r>
          </w:p>
        </w:tc>
        <w:tc>
          <w:tcPr>
            <w:tcW w:w="3213" w:type="dxa"/>
            <w:shd w:val="clear" w:color="auto" w:fill="auto"/>
            <w:vAlign w:val="center"/>
          </w:tcPr>
          <w:p w14:paraId="611E142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61,174,150.34</w:t>
            </w:r>
          </w:p>
        </w:tc>
        <w:tc>
          <w:tcPr>
            <w:tcW w:w="3213" w:type="dxa"/>
            <w:shd w:val="clear" w:color="auto" w:fill="auto"/>
            <w:vAlign w:val="center"/>
          </w:tcPr>
          <w:p w14:paraId="59F923AB"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主要系处置子公司所致</w:t>
            </w:r>
          </w:p>
        </w:tc>
      </w:tr>
      <w:tr w:rsidR="00E32FE0" w:rsidRPr="005B5EC1" w14:paraId="10286231" w14:textId="77777777" w:rsidTr="00A47B24">
        <w:trPr>
          <w:trHeight w:val="240"/>
        </w:trPr>
        <w:tc>
          <w:tcPr>
            <w:tcW w:w="3213" w:type="dxa"/>
            <w:shd w:val="clear" w:color="auto" w:fill="auto"/>
            <w:vAlign w:val="center"/>
          </w:tcPr>
          <w:p w14:paraId="5EFF7A41"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计入当期损益的政府补助（与公司正常经营业务密切相关，符合国家政策规定、按照确定的标准享有、对公司损益产生持续影响的政府补助除外）</w:t>
            </w:r>
          </w:p>
        </w:tc>
        <w:tc>
          <w:tcPr>
            <w:tcW w:w="3213" w:type="dxa"/>
            <w:shd w:val="clear" w:color="auto" w:fill="auto"/>
            <w:vAlign w:val="center"/>
          </w:tcPr>
          <w:p w14:paraId="0A01E9FB"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15,295,701.79</w:t>
            </w:r>
          </w:p>
        </w:tc>
        <w:tc>
          <w:tcPr>
            <w:tcW w:w="3213" w:type="dxa"/>
            <w:shd w:val="clear" w:color="auto" w:fill="auto"/>
            <w:vAlign w:val="center"/>
          </w:tcPr>
          <w:p w14:paraId="0679F7E9"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4A8C1565" w14:textId="77777777" w:rsidTr="00A47B24">
        <w:trPr>
          <w:trHeight w:val="240"/>
        </w:trPr>
        <w:tc>
          <w:tcPr>
            <w:tcW w:w="3213" w:type="dxa"/>
            <w:shd w:val="clear" w:color="auto" w:fill="auto"/>
            <w:vAlign w:val="center"/>
          </w:tcPr>
          <w:p w14:paraId="784B9C48"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除同公司正常经营业务相关的有效套期保值业务外，非金融企业持有金融资产和金融负债产生的公允价值变动损益以及处置金融资产和金融负债产生的损益</w:t>
            </w:r>
          </w:p>
        </w:tc>
        <w:tc>
          <w:tcPr>
            <w:tcW w:w="3213" w:type="dxa"/>
            <w:shd w:val="clear" w:color="auto" w:fill="auto"/>
            <w:vAlign w:val="center"/>
          </w:tcPr>
          <w:p w14:paraId="07B775FD"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2,562,409.30</w:t>
            </w:r>
          </w:p>
        </w:tc>
        <w:tc>
          <w:tcPr>
            <w:tcW w:w="3213" w:type="dxa"/>
            <w:shd w:val="clear" w:color="auto" w:fill="auto"/>
            <w:vAlign w:val="center"/>
          </w:tcPr>
          <w:p w14:paraId="243619E4"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74191C45" w14:textId="77777777" w:rsidTr="00A47B24">
        <w:trPr>
          <w:trHeight w:val="240"/>
        </w:trPr>
        <w:tc>
          <w:tcPr>
            <w:tcW w:w="3213" w:type="dxa"/>
            <w:shd w:val="clear" w:color="auto" w:fill="auto"/>
            <w:vAlign w:val="center"/>
          </w:tcPr>
          <w:p w14:paraId="7B1DAE29"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单独进行减值测试的应收款项减值准备转回</w:t>
            </w:r>
          </w:p>
        </w:tc>
        <w:tc>
          <w:tcPr>
            <w:tcW w:w="3213" w:type="dxa"/>
            <w:shd w:val="clear" w:color="auto" w:fill="auto"/>
            <w:vAlign w:val="center"/>
          </w:tcPr>
          <w:p w14:paraId="3CAF5F5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1,783,778.74</w:t>
            </w:r>
          </w:p>
        </w:tc>
        <w:tc>
          <w:tcPr>
            <w:tcW w:w="3213" w:type="dxa"/>
            <w:shd w:val="clear" w:color="auto" w:fill="auto"/>
            <w:vAlign w:val="center"/>
          </w:tcPr>
          <w:p w14:paraId="2EEA7862"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28D98776" w14:textId="77777777" w:rsidTr="00A47B24">
        <w:trPr>
          <w:trHeight w:val="240"/>
        </w:trPr>
        <w:tc>
          <w:tcPr>
            <w:tcW w:w="3213" w:type="dxa"/>
            <w:shd w:val="clear" w:color="auto" w:fill="auto"/>
            <w:vAlign w:val="center"/>
          </w:tcPr>
          <w:p w14:paraId="025E66A6"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受托经营取得的托管费收入</w:t>
            </w:r>
          </w:p>
        </w:tc>
        <w:tc>
          <w:tcPr>
            <w:tcW w:w="3213" w:type="dxa"/>
            <w:shd w:val="clear" w:color="auto" w:fill="auto"/>
            <w:vAlign w:val="center"/>
          </w:tcPr>
          <w:p w14:paraId="7A94B136"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97,699.66</w:t>
            </w:r>
          </w:p>
        </w:tc>
        <w:tc>
          <w:tcPr>
            <w:tcW w:w="3213" w:type="dxa"/>
            <w:shd w:val="clear" w:color="auto" w:fill="auto"/>
            <w:vAlign w:val="center"/>
          </w:tcPr>
          <w:p w14:paraId="355F6CB1"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58E7123F" w14:textId="77777777" w:rsidTr="00A47B24">
        <w:trPr>
          <w:trHeight w:val="240"/>
        </w:trPr>
        <w:tc>
          <w:tcPr>
            <w:tcW w:w="3213" w:type="dxa"/>
            <w:shd w:val="clear" w:color="auto" w:fill="auto"/>
            <w:vAlign w:val="center"/>
          </w:tcPr>
          <w:p w14:paraId="3C2E8672"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除上述各项之外的其他营业外收入和支出</w:t>
            </w:r>
          </w:p>
        </w:tc>
        <w:tc>
          <w:tcPr>
            <w:tcW w:w="3213" w:type="dxa"/>
            <w:shd w:val="clear" w:color="auto" w:fill="auto"/>
            <w:vAlign w:val="center"/>
          </w:tcPr>
          <w:p w14:paraId="5FE88F5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1,173,469.31</w:t>
            </w:r>
          </w:p>
        </w:tc>
        <w:tc>
          <w:tcPr>
            <w:tcW w:w="3213" w:type="dxa"/>
            <w:shd w:val="clear" w:color="auto" w:fill="auto"/>
            <w:vAlign w:val="center"/>
          </w:tcPr>
          <w:p w14:paraId="77CEF056"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1E4CE712" w14:textId="77777777" w:rsidTr="00A47B24">
        <w:trPr>
          <w:trHeight w:val="240"/>
        </w:trPr>
        <w:tc>
          <w:tcPr>
            <w:tcW w:w="3213" w:type="dxa"/>
            <w:shd w:val="clear" w:color="auto" w:fill="auto"/>
            <w:vAlign w:val="center"/>
          </w:tcPr>
          <w:p w14:paraId="33B3D03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减：所得税影响额</w:t>
            </w:r>
          </w:p>
        </w:tc>
        <w:tc>
          <w:tcPr>
            <w:tcW w:w="3213" w:type="dxa"/>
            <w:shd w:val="clear" w:color="auto" w:fill="auto"/>
            <w:vAlign w:val="center"/>
          </w:tcPr>
          <w:p w14:paraId="14483D0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-31,716.74</w:t>
            </w:r>
          </w:p>
        </w:tc>
        <w:tc>
          <w:tcPr>
            <w:tcW w:w="3213" w:type="dxa"/>
            <w:shd w:val="clear" w:color="auto" w:fill="auto"/>
            <w:vAlign w:val="center"/>
          </w:tcPr>
          <w:p w14:paraId="32591379"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25A97F48" w14:textId="77777777" w:rsidTr="00A47B24">
        <w:trPr>
          <w:trHeight w:val="240"/>
        </w:trPr>
        <w:tc>
          <w:tcPr>
            <w:tcW w:w="3213" w:type="dxa"/>
            <w:shd w:val="clear" w:color="auto" w:fill="auto"/>
            <w:vAlign w:val="center"/>
          </w:tcPr>
          <w:p w14:paraId="0749566A" w14:textId="77777777" w:rsidR="00E32FE0" w:rsidRPr="005B5EC1" w:rsidRDefault="00000000">
            <w:pPr>
              <w:spacing w:before="40" w:after="40" w:line="240" w:lineRule="exact"/>
              <w:ind w:firstLineChars="200" w:firstLine="360"/>
              <w:rPr>
                <w:rFonts w:ascii="Times New Roman" w:eastAsia="宋体" w:hAnsi="Times New Roman" w:cs="Times New Roman"/>
                <w:sz w:val="18"/>
                <w:szCs w:val="18"/>
              </w:rPr>
            </w:pPr>
            <w:r w:rsidRPr="005B5EC1">
              <w:rPr>
                <w:rFonts w:ascii="Times New Roman" w:eastAsia="宋体" w:hAnsi="Times New Roman" w:cs="Times New Roman"/>
                <w:sz w:val="18"/>
                <w:szCs w:val="18"/>
              </w:rPr>
              <w:t>少数股东权益影响额（税后）</w:t>
            </w:r>
          </w:p>
        </w:tc>
        <w:tc>
          <w:tcPr>
            <w:tcW w:w="3213" w:type="dxa"/>
            <w:shd w:val="clear" w:color="auto" w:fill="auto"/>
            <w:vAlign w:val="center"/>
          </w:tcPr>
          <w:p w14:paraId="2384CED1"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2,295,834.17</w:t>
            </w:r>
          </w:p>
        </w:tc>
        <w:tc>
          <w:tcPr>
            <w:tcW w:w="3213" w:type="dxa"/>
            <w:shd w:val="clear" w:color="auto" w:fill="auto"/>
            <w:vAlign w:val="center"/>
          </w:tcPr>
          <w:p w14:paraId="38FEE525" w14:textId="77777777" w:rsidR="00E32FE0" w:rsidRPr="005B5EC1" w:rsidRDefault="00E32FE0">
            <w:pPr>
              <w:spacing w:after="0" w:line="240" w:lineRule="exact"/>
              <w:rPr>
                <w:rFonts w:ascii="Times New Roman" w:eastAsia="宋体" w:hAnsi="Times New Roman" w:cs="Times New Roman"/>
                <w:sz w:val="18"/>
                <w:szCs w:val="18"/>
              </w:rPr>
            </w:pPr>
          </w:p>
        </w:tc>
      </w:tr>
      <w:tr w:rsidR="00E32FE0" w:rsidRPr="005B5EC1" w14:paraId="556270F0" w14:textId="77777777" w:rsidTr="00A47B24">
        <w:trPr>
          <w:trHeight w:val="240"/>
        </w:trPr>
        <w:tc>
          <w:tcPr>
            <w:tcW w:w="3213" w:type="dxa"/>
            <w:shd w:val="clear" w:color="auto" w:fill="auto"/>
            <w:vAlign w:val="center"/>
          </w:tcPr>
          <w:p w14:paraId="7284A187"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合计</w:t>
            </w:r>
          </w:p>
        </w:tc>
        <w:tc>
          <w:tcPr>
            <w:tcW w:w="3213" w:type="dxa"/>
            <w:shd w:val="clear" w:color="auto" w:fill="auto"/>
            <w:vAlign w:val="center"/>
          </w:tcPr>
          <w:p w14:paraId="6535B6F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79,823,091.71</w:t>
            </w:r>
          </w:p>
        </w:tc>
        <w:tc>
          <w:tcPr>
            <w:tcW w:w="3213" w:type="dxa"/>
            <w:shd w:val="clear" w:color="auto" w:fill="auto"/>
            <w:vAlign w:val="center"/>
          </w:tcPr>
          <w:p w14:paraId="58B93CE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w:t>
            </w:r>
          </w:p>
        </w:tc>
      </w:tr>
    </w:tbl>
    <w:p w14:paraId="3C938D2A"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其他符合非经常性损益定义的损益项目的具体情况：</w:t>
      </w:r>
    </w:p>
    <w:p w14:paraId="039B6645"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7BAF08A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公司不存在其他符合非经常性损益定义的损益项目的具体情况。</w:t>
      </w:r>
    </w:p>
    <w:p w14:paraId="04EBF997"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将《公开发行证券的公司信息披露解释性公告第</w:t>
      </w:r>
      <w:r w:rsidRPr="005B5EC1">
        <w:rPr>
          <w:rFonts w:ascii="Times New Roman" w:eastAsia="宋体" w:hAnsi="Times New Roman" w:cs="Times New Roman"/>
          <w:sz w:val="18"/>
          <w:szCs w:val="18"/>
        </w:rPr>
        <w:t>1</w:t>
      </w:r>
      <w:r w:rsidRPr="005B5EC1">
        <w:rPr>
          <w:rFonts w:ascii="Times New Roman" w:eastAsia="宋体" w:hAnsi="Times New Roman" w:cs="Times New Roman"/>
          <w:sz w:val="18"/>
          <w:szCs w:val="18"/>
        </w:rPr>
        <w:t>号</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非经常性损益》中列举的非经常性损益项目界定为经常性损益项目的情况说明</w:t>
      </w:r>
    </w:p>
    <w:p w14:paraId="6BD2C056"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0F29A313" w14:textId="77777777" w:rsidR="00E32FE0" w:rsidRPr="005B5EC1" w:rsidRDefault="00000000">
      <w:pPr>
        <w:pStyle w:val="3"/>
        <w:spacing w:line="280" w:lineRule="exact"/>
        <w:jc w:val="left"/>
        <w:rPr>
          <w:rFonts w:ascii="Times New Roman" w:hAnsi="Times New Roman" w:cs="Times New Roman"/>
          <w:b/>
          <w:bCs/>
        </w:rPr>
      </w:pPr>
      <w:bookmarkStart w:id="540" w:name="_Toc989507"/>
      <w:r w:rsidRPr="005B5EC1">
        <w:rPr>
          <w:rFonts w:ascii="Times New Roman" w:hAnsi="Times New Roman" w:cs="Times New Roman"/>
          <w:b/>
          <w:bCs/>
        </w:rPr>
        <w:t>2</w:t>
      </w:r>
      <w:r w:rsidRPr="005B5EC1">
        <w:rPr>
          <w:rFonts w:ascii="Times New Roman" w:hAnsi="Times New Roman" w:cs="Times New Roman"/>
          <w:b/>
          <w:bCs/>
        </w:rPr>
        <w:t>、净资产收益率及每股收益</w:t>
      </w:r>
      <w:bookmarkEnd w:id="540"/>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E32FE0" w:rsidRPr="005B5EC1" w14:paraId="7ECA0866" w14:textId="77777777" w:rsidTr="00A47B2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B61BEE2"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报告期利润</w:t>
            </w:r>
          </w:p>
        </w:tc>
        <w:tc>
          <w:tcPr>
            <w:tcW w:w="2410"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7FE4B9AB"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4B3BF99"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每股收益</w:t>
            </w:r>
          </w:p>
        </w:tc>
      </w:tr>
      <w:tr w:rsidR="00E32FE0" w:rsidRPr="005B5EC1" w14:paraId="11B9E38B" w14:textId="77777777" w:rsidTr="00A47B24">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7B13D9F" w14:textId="77777777" w:rsidR="00E32FE0" w:rsidRPr="005B5EC1" w:rsidRDefault="00E32FE0">
            <w:pPr>
              <w:rPr>
                <w:rFonts w:ascii="Times New Roman" w:hAnsi="Times New Roman" w:cs="Times New Roman"/>
              </w:rPr>
            </w:pPr>
          </w:p>
        </w:tc>
        <w:tc>
          <w:tcPr>
            <w:tcW w:w="241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5595CD4F" w14:textId="77777777" w:rsidR="00E32FE0" w:rsidRPr="005B5EC1" w:rsidRDefault="00E32FE0">
            <w:pPr>
              <w:rPr>
                <w:rFonts w:ascii="Times New Roman" w:hAnsi="Times New Roman" w:cs="Times New Roman"/>
              </w:rPr>
            </w:pP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EF233A7"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基本每股收益（元</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股）</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CB47358" w14:textId="77777777" w:rsidR="00E32FE0" w:rsidRPr="005B5EC1" w:rsidRDefault="00000000">
            <w:pPr>
              <w:spacing w:before="40" w:after="40" w:line="240" w:lineRule="exact"/>
              <w:jc w:val="center"/>
              <w:rPr>
                <w:rFonts w:ascii="Times New Roman" w:eastAsia="宋体" w:hAnsi="Times New Roman" w:cs="Times New Roman"/>
                <w:sz w:val="18"/>
                <w:szCs w:val="18"/>
              </w:rPr>
            </w:pPr>
            <w:r w:rsidRPr="005B5EC1">
              <w:rPr>
                <w:rFonts w:ascii="Times New Roman" w:eastAsia="宋体" w:hAnsi="Times New Roman" w:cs="Times New Roman"/>
                <w:sz w:val="18"/>
                <w:szCs w:val="18"/>
              </w:rPr>
              <w:t>稀释每股收益（元</w:t>
            </w: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股）</w:t>
            </w:r>
          </w:p>
        </w:tc>
      </w:tr>
      <w:tr w:rsidR="00E32FE0" w:rsidRPr="005B5EC1" w14:paraId="6B4F5EFE"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235B068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归属于公司普通股股东的净利润</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7616BB10"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1.64%</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61135A5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0.02</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E7D6318"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0.0309</w:t>
            </w:r>
          </w:p>
        </w:tc>
      </w:tr>
      <w:tr w:rsidR="00E32FE0" w:rsidRPr="005B5EC1" w14:paraId="389128C9" w14:textId="77777777" w:rsidTr="00A47B2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EFC16DB" w14:textId="77777777" w:rsidR="00E32FE0" w:rsidRPr="005B5EC1" w:rsidRDefault="00000000">
            <w:pPr>
              <w:spacing w:before="40" w:after="4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扣除非经常性损益后归属于公司普通股股东的净利润</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0805AEA5"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-4.41%</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D09B6AC"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-0.0539</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8B1D04E" w14:textId="77777777" w:rsidR="00E32FE0" w:rsidRPr="005B5EC1" w:rsidRDefault="00000000">
            <w:pPr>
              <w:spacing w:after="0" w:line="240" w:lineRule="exact"/>
              <w:jc w:val="right"/>
              <w:rPr>
                <w:rFonts w:ascii="Times New Roman" w:eastAsia="宋体" w:hAnsi="Times New Roman" w:cs="Times New Roman"/>
                <w:sz w:val="18"/>
                <w:szCs w:val="18"/>
              </w:rPr>
            </w:pPr>
            <w:r w:rsidRPr="005B5EC1">
              <w:rPr>
                <w:rFonts w:ascii="Times New Roman" w:eastAsia="宋体" w:hAnsi="Times New Roman" w:cs="Times New Roman"/>
                <w:sz w:val="18"/>
                <w:szCs w:val="18"/>
              </w:rPr>
              <w:t>-0.0367</w:t>
            </w:r>
          </w:p>
        </w:tc>
      </w:tr>
    </w:tbl>
    <w:p w14:paraId="33D688CD" w14:textId="77777777" w:rsidR="00E32FE0" w:rsidRPr="005B5EC1" w:rsidRDefault="00000000">
      <w:pPr>
        <w:pStyle w:val="3"/>
        <w:spacing w:line="280" w:lineRule="exact"/>
        <w:jc w:val="left"/>
        <w:rPr>
          <w:rFonts w:ascii="Times New Roman" w:hAnsi="Times New Roman" w:cs="Times New Roman"/>
          <w:b/>
          <w:bCs/>
        </w:rPr>
      </w:pPr>
      <w:bookmarkStart w:id="541" w:name="_Toc989508"/>
      <w:r w:rsidRPr="005B5EC1">
        <w:rPr>
          <w:rFonts w:ascii="Times New Roman" w:hAnsi="Times New Roman" w:cs="Times New Roman"/>
          <w:b/>
          <w:bCs/>
        </w:rPr>
        <w:t>3</w:t>
      </w:r>
      <w:r w:rsidRPr="005B5EC1">
        <w:rPr>
          <w:rFonts w:ascii="Times New Roman" w:hAnsi="Times New Roman" w:cs="Times New Roman"/>
          <w:b/>
          <w:bCs/>
        </w:rPr>
        <w:t>、境内外会计准则下会计数据差异</w:t>
      </w:r>
      <w:bookmarkEnd w:id="541"/>
    </w:p>
    <w:p w14:paraId="484AFBE3"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42" w:name="_Toc989509"/>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1</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同时按照国际会计准则与按中国会计准则披露的财务</w:t>
      </w:r>
      <w:proofErr w:type="gramStart"/>
      <w:r w:rsidRPr="005B5EC1">
        <w:rPr>
          <w:rFonts w:ascii="Times New Roman" w:eastAsia="宋体" w:hAnsi="Times New Roman" w:cs="Times New Roman"/>
          <w:b/>
          <w:bCs/>
          <w:sz w:val="21"/>
          <w:szCs w:val="21"/>
        </w:rPr>
        <w:t>报告中净利润</w:t>
      </w:r>
      <w:proofErr w:type="gramEnd"/>
      <w:r w:rsidRPr="005B5EC1">
        <w:rPr>
          <w:rFonts w:ascii="Times New Roman" w:eastAsia="宋体" w:hAnsi="Times New Roman" w:cs="Times New Roman"/>
          <w:b/>
          <w:bCs/>
          <w:sz w:val="21"/>
          <w:szCs w:val="21"/>
        </w:rPr>
        <w:t>和净资产差异情况</w:t>
      </w:r>
      <w:bookmarkEnd w:id="542"/>
    </w:p>
    <w:p w14:paraId="7FADFE04" w14:textId="77777777" w:rsidR="00E32FE0" w:rsidRPr="005B5EC1" w:rsidRDefault="00000000">
      <w:pPr>
        <w:spacing w:before="100" w:after="10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50F6D564"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43" w:name="_Toc989510"/>
      <w:r w:rsidRPr="005B5EC1">
        <w:rPr>
          <w:rFonts w:ascii="Times New Roman" w:eastAsia="宋体" w:hAnsi="Times New Roman" w:cs="Times New Roman"/>
          <w:b/>
          <w:bCs/>
          <w:sz w:val="21"/>
          <w:szCs w:val="21"/>
        </w:rPr>
        <w:lastRenderedPageBreak/>
        <w:t>（</w:t>
      </w:r>
      <w:r w:rsidRPr="005B5EC1">
        <w:rPr>
          <w:rFonts w:ascii="Times New Roman" w:eastAsia="宋体" w:hAnsi="Times New Roman" w:cs="Times New Roman"/>
          <w:b/>
          <w:bCs/>
          <w:sz w:val="21"/>
          <w:szCs w:val="21"/>
        </w:rPr>
        <w:t>2</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同时按照境外会计准则与按中国会计准则披露的财务</w:t>
      </w:r>
      <w:proofErr w:type="gramStart"/>
      <w:r w:rsidRPr="005B5EC1">
        <w:rPr>
          <w:rFonts w:ascii="Times New Roman" w:eastAsia="宋体" w:hAnsi="Times New Roman" w:cs="Times New Roman"/>
          <w:b/>
          <w:bCs/>
          <w:sz w:val="21"/>
          <w:szCs w:val="21"/>
        </w:rPr>
        <w:t>报告中净利润</w:t>
      </w:r>
      <w:proofErr w:type="gramEnd"/>
      <w:r w:rsidRPr="005B5EC1">
        <w:rPr>
          <w:rFonts w:ascii="Times New Roman" w:eastAsia="宋体" w:hAnsi="Times New Roman" w:cs="Times New Roman"/>
          <w:b/>
          <w:bCs/>
          <w:sz w:val="21"/>
          <w:szCs w:val="21"/>
        </w:rPr>
        <w:t>和净资产差异情况</w:t>
      </w:r>
      <w:bookmarkEnd w:id="543"/>
    </w:p>
    <w:p w14:paraId="28653393" w14:textId="77777777" w:rsidR="00E32FE0" w:rsidRPr="005B5EC1" w:rsidRDefault="00000000">
      <w:pPr>
        <w:spacing w:after="0" w:line="240" w:lineRule="exact"/>
        <w:rPr>
          <w:rFonts w:ascii="Times New Roman" w:eastAsia="宋体" w:hAnsi="Times New Roman" w:cs="Times New Roman"/>
          <w:sz w:val="18"/>
          <w:szCs w:val="18"/>
        </w:rPr>
      </w:pPr>
      <w:r w:rsidRPr="005B5EC1">
        <w:rPr>
          <w:rFonts w:ascii="Times New Roman" w:eastAsia="宋体" w:hAnsi="Times New Roman" w:cs="Times New Roman"/>
          <w:sz w:val="18"/>
          <w:szCs w:val="18"/>
        </w:rPr>
        <w:t>□</w:t>
      </w:r>
      <w:r w:rsidRPr="005B5EC1">
        <w:rPr>
          <w:rFonts w:ascii="Times New Roman" w:eastAsia="宋体" w:hAnsi="Times New Roman" w:cs="Times New Roman"/>
          <w:sz w:val="18"/>
          <w:szCs w:val="18"/>
        </w:rPr>
        <w:t>适用</w:t>
      </w:r>
      <w:r w:rsidRPr="005B5EC1">
        <w:rPr>
          <w:rFonts w:ascii="Times New Roman" w:eastAsia="宋体" w:hAnsi="Times New Roman" w:cs="Times New Roman"/>
          <w:sz w:val="18"/>
          <w:szCs w:val="18"/>
        </w:rPr>
        <w:t xml:space="preserve"> </w:t>
      </w:r>
      <w:r w:rsidRPr="005B5EC1">
        <w:rPr>
          <w:rFonts w:ascii="Times New Roman" w:eastAsia="宋体" w:hAnsi="Times New Roman" w:cs="Times New Roman"/>
          <w:sz w:val="18"/>
          <w:szCs w:val="18"/>
        </w:rPr>
        <w:sym w:font="Wingdings 2" w:char="F052"/>
      </w:r>
      <w:r w:rsidRPr="005B5EC1">
        <w:rPr>
          <w:rFonts w:ascii="Times New Roman" w:eastAsia="宋体" w:hAnsi="Times New Roman" w:cs="Times New Roman"/>
          <w:sz w:val="18"/>
          <w:szCs w:val="18"/>
        </w:rPr>
        <w:t>不适用</w:t>
      </w:r>
    </w:p>
    <w:p w14:paraId="4D784480" w14:textId="77777777" w:rsidR="00E32FE0" w:rsidRPr="005B5EC1" w:rsidRDefault="00000000">
      <w:pPr>
        <w:keepNext/>
        <w:keepLines/>
        <w:spacing w:before="300" w:after="300" w:line="280" w:lineRule="exact"/>
        <w:outlineLvl w:val="3"/>
        <w:rPr>
          <w:rFonts w:ascii="Times New Roman" w:eastAsia="宋体" w:hAnsi="Times New Roman" w:cs="Times New Roman"/>
          <w:b/>
          <w:bCs/>
          <w:sz w:val="21"/>
          <w:szCs w:val="21"/>
        </w:rPr>
      </w:pPr>
      <w:bookmarkStart w:id="544" w:name="_Toc989511"/>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3</w:t>
      </w:r>
      <w:r w:rsidRPr="005B5EC1">
        <w:rPr>
          <w:rFonts w:ascii="Times New Roman" w:eastAsia="宋体" w:hAnsi="Times New Roman" w:cs="Times New Roman"/>
          <w:b/>
          <w:bCs/>
          <w:sz w:val="21"/>
          <w:szCs w:val="21"/>
        </w:rPr>
        <w:t>）</w:t>
      </w:r>
      <w:r w:rsidRPr="005B5EC1">
        <w:rPr>
          <w:rFonts w:ascii="Times New Roman" w:eastAsia="宋体" w:hAnsi="Times New Roman" w:cs="Times New Roman"/>
          <w:b/>
          <w:bCs/>
          <w:sz w:val="21"/>
          <w:szCs w:val="21"/>
        </w:rPr>
        <w:t xml:space="preserve"> </w:t>
      </w:r>
      <w:r w:rsidRPr="005B5EC1">
        <w:rPr>
          <w:rFonts w:ascii="Times New Roman" w:eastAsia="宋体" w:hAnsi="Times New Roman" w:cs="Times New Roman"/>
          <w:b/>
          <w:bCs/>
          <w:sz w:val="21"/>
          <w:szCs w:val="21"/>
        </w:rPr>
        <w:t>境内外会计准则下会计数据差异原因说明，对已经境外审计机构审计的数据进行差异调节的，应注明该境外机构的名称</w:t>
      </w:r>
      <w:bookmarkEnd w:id="544"/>
    </w:p>
    <w:p w14:paraId="19E8C1E3" w14:textId="77777777" w:rsidR="00E32FE0" w:rsidRPr="005B5EC1" w:rsidRDefault="00000000">
      <w:pPr>
        <w:pStyle w:val="3"/>
        <w:spacing w:line="280" w:lineRule="exact"/>
        <w:jc w:val="left"/>
        <w:rPr>
          <w:rFonts w:ascii="Times New Roman" w:hAnsi="Times New Roman" w:cs="Times New Roman"/>
          <w:b/>
          <w:bCs/>
        </w:rPr>
      </w:pPr>
      <w:bookmarkStart w:id="545" w:name="_Toc989512"/>
      <w:r w:rsidRPr="005B5EC1">
        <w:rPr>
          <w:rFonts w:ascii="Times New Roman" w:hAnsi="Times New Roman" w:cs="Times New Roman"/>
          <w:b/>
          <w:bCs/>
        </w:rPr>
        <w:t>4</w:t>
      </w:r>
      <w:r w:rsidRPr="005B5EC1">
        <w:rPr>
          <w:rFonts w:ascii="Times New Roman" w:hAnsi="Times New Roman" w:cs="Times New Roman"/>
          <w:b/>
          <w:bCs/>
        </w:rPr>
        <w:t>、其他</w:t>
      </w:r>
      <w:bookmarkEnd w:id="545"/>
    </w:p>
    <w:p w14:paraId="1162DDB6" w14:textId="77777777" w:rsidR="00E32FE0" w:rsidRPr="005B5EC1" w:rsidRDefault="00E32FE0">
      <w:pPr>
        <w:rPr>
          <w:rFonts w:ascii="Times New Roman" w:hAnsi="Times New Roman" w:cs="Times New Roman"/>
        </w:rPr>
      </w:pPr>
    </w:p>
    <w:p w14:paraId="18E04418" w14:textId="77777777" w:rsidR="00E32FE0" w:rsidRPr="005B5EC1" w:rsidRDefault="00E32FE0">
      <w:pPr>
        <w:spacing w:before="100" w:after="100" w:line="0" w:lineRule="atLeast"/>
        <w:rPr>
          <w:rFonts w:ascii="Times New Roman" w:hAnsi="Times New Roman" w:cs="Times New Roman"/>
        </w:rPr>
      </w:pPr>
    </w:p>
    <w:sectPr w:rsidR="00E32FE0" w:rsidRPr="005B5EC1">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E64F" w14:textId="77777777" w:rsidR="004D703D" w:rsidRDefault="004D703D">
      <w:pPr>
        <w:spacing w:after="0" w:line="240" w:lineRule="auto"/>
        <w:rPr>
          <w:rFonts w:hint="eastAsia"/>
        </w:rPr>
      </w:pPr>
      <w:r>
        <w:separator/>
      </w:r>
    </w:p>
  </w:endnote>
  <w:endnote w:type="continuationSeparator" w:id="0">
    <w:p w14:paraId="41BEBA2A" w14:textId="77777777" w:rsidR="004D703D" w:rsidRDefault="004D703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B10A" w14:textId="77777777" w:rsidR="00E32FE0" w:rsidRPr="00F21BB6" w:rsidRDefault="00000000">
    <w:pPr>
      <w:pStyle w:val="fotter1"/>
      <w:rPr>
        <w:rFonts w:ascii="Times New Roman" w:hAnsi="Times New Roman" w:cs="Times New Roman"/>
      </w:rPr>
    </w:pPr>
    <w:r w:rsidRPr="00F21BB6">
      <w:rPr>
        <w:rFonts w:ascii="Times New Roman" w:hAnsi="Times New Roman" w:cs="Times New Roman"/>
      </w:rPr>
      <w:fldChar w:fldCharType="begin"/>
    </w:r>
    <w:r w:rsidRPr="00F21BB6">
      <w:rPr>
        <w:rFonts w:ascii="Times New Roman" w:hAnsi="Times New Roman" w:cs="Times New Roman"/>
      </w:rPr>
      <w:instrText>PAGE   \* MERGEFORMAT</w:instrText>
    </w:r>
    <w:r w:rsidRPr="00F21BB6">
      <w:rPr>
        <w:rFonts w:ascii="Times New Roman" w:hAnsi="Times New Roman" w:cs="Times New Roman"/>
      </w:rPr>
      <w:fldChar w:fldCharType="separate"/>
    </w:r>
    <w:r w:rsidRPr="00F21BB6">
      <w:rPr>
        <w:rFonts w:ascii="Times New Roman" w:hAnsi="Times New Roman" w:cs="Times New Roman"/>
      </w:rPr>
      <w:t>1</w:t>
    </w:r>
    <w:r w:rsidRPr="00F21BB6">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066D" w14:textId="77777777" w:rsidR="004D703D" w:rsidRDefault="004D703D">
      <w:pPr>
        <w:spacing w:after="0" w:line="240" w:lineRule="auto"/>
        <w:rPr>
          <w:rFonts w:hint="eastAsia"/>
        </w:rPr>
      </w:pPr>
      <w:r>
        <w:separator/>
      </w:r>
    </w:p>
  </w:footnote>
  <w:footnote w:type="continuationSeparator" w:id="0">
    <w:p w14:paraId="7A677D39" w14:textId="77777777" w:rsidR="004D703D" w:rsidRDefault="004D703D">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0FC9" w14:textId="77777777" w:rsidR="00E32FE0" w:rsidRDefault="00000000">
    <w:pPr>
      <w:pStyle w:val="Header1"/>
      <w:pBdr>
        <w:bottom w:val="single" w:sz="6" w:space="1" w:color="auto"/>
      </w:pBdr>
      <w:rPr>
        <w:rFonts w:hint="eastAsia"/>
      </w:rPr>
    </w:pPr>
    <w:r>
      <w:t>山东龙大美食股份有限公司2024年年度报告全文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D61"/>
    <w:multiLevelType w:val="hybridMultilevel"/>
    <w:tmpl w:val="D4EE3BCE"/>
    <w:lvl w:ilvl="0" w:tplc="D02243E4">
      <w:start w:val="6"/>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F5C2539"/>
    <w:multiLevelType w:val="hybridMultilevel"/>
    <w:tmpl w:val="E674880E"/>
    <w:lvl w:ilvl="0" w:tplc="4C44566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77748932">
    <w:abstractNumId w:val="0"/>
  </w:num>
  <w:num w:numId="2" w16cid:durableId="13064064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32FE0"/>
    <w:rsid w:val="000710F2"/>
    <w:rsid w:val="000B1262"/>
    <w:rsid w:val="000E0746"/>
    <w:rsid w:val="00135897"/>
    <w:rsid w:val="00185672"/>
    <w:rsid w:val="001D2517"/>
    <w:rsid w:val="001D2CFD"/>
    <w:rsid w:val="001E6977"/>
    <w:rsid w:val="00204E98"/>
    <w:rsid w:val="00221397"/>
    <w:rsid w:val="00280ACE"/>
    <w:rsid w:val="00280E85"/>
    <w:rsid w:val="002A11EF"/>
    <w:rsid w:val="002A6312"/>
    <w:rsid w:val="002C225D"/>
    <w:rsid w:val="002D722A"/>
    <w:rsid w:val="00311FD1"/>
    <w:rsid w:val="0031386A"/>
    <w:rsid w:val="00314ACE"/>
    <w:rsid w:val="00324955"/>
    <w:rsid w:val="00345B35"/>
    <w:rsid w:val="003C1792"/>
    <w:rsid w:val="004057F2"/>
    <w:rsid w:val="00446468"/>
    <w:rsid w:val="004C3D2C"/>
    <w:rsid w:val="004D703D"/>
    <w:rsid w:val="004D74B9"/>
    <w:rsid w:val="004F58FC"/>
    <w:rsid w:val="00520C70"/>
    <w:rsid w:val="0053739A"/>
    <w:rsid w:val="00560187"/>
    <w:rsid w:val="00564B00"/>
    <w:rsid w:val="005B5EC1"/>
    <w:rsid w:val="005C09BC"/>
    <w:rsid w:val="005E413D"/>
    <w:rsid w:val="005F2410"/>
    <w:rsid w:val="005F3539"/>
    <w:rsid w:val="005F6797"/>
    <w:rsid w:val="0060141B"/>
    <w:rsid w:val="0064021D"/>
    <w:rsid w:val="006E3DBB"/>
    <w:rsid w:val="006F1362"/>
    <w:rsid w:val="006F2424"/>
    <w:rsid w:val="00781CA2"/>
    <w:rsid w:val="007D1463"/>
    <w:rsid w:val="008353DC"/>
    <w:rsid w:val="00897D40"/>
    <w:rsid w:val="008B52A6"/>
    <w:rsid w:val="008D5F9C"/>
    <w:rsid w:val="00901425"/>
    <w:rsid w:val="00943032"/>
    <w:rsid w:val="00975D82"/>
    <w:rsid w:val="009A07C1"/>
    <w:rsid w:val="009F44CD"/>
    <w:rsid w:val="00A01E8D"/>
    <w:rsid w:val="00A12739"/>
    <w:rsid w:val="00A17567"/>
    <w:rsid w:val="00A47B24"/>
    <w:rsid w:val="00A74037"/>
    <w:rsid w:val="00A749CF"/>
    <w:rsid w:val="00A820CB"/>
    <w:rsid w:val="00AF139E"/>
    <w:rsid w:val="00B47D4D"/>
    <w:rsid w:val="00B56FB4"/>
    <w:rsid w:val="00BB1F9D"/>
    <w:rsid w:val="00C453ED"/>
    <w:rsid w:val="00C46E6A"/>
    <w:rsid w:val="00C63ABA"/>
    <w:rsid w:val="00CB3A29"/>
    <w:rsid w:val="00D05A56"/>
    <w:rsid w:val="00D94FB2"/>
    <w:rsid w:val="00DD627B"/>
    <w:rsid w:val="00E07E74"/>
    <w:rsid w:val="00E10CEE"/>
    <w:rsid w:val="00E32FE0"/>
    <w:rsid w:val="00E60943"/>
    <w:rsid w:val="00E639FD"/>
    <w:rsid w:val="00E71751"/>
    <w:rsid w:val="00E8409F"/>
    <w:rsid w:val="00E9365B"/>
    <w:rsid w:val="00EB1608"/>
    <w:rsid w:val="00EB16D7"/>
    <w:rsid w:val="00ED124D"/>
    <w:rsid w:val="00F21BB6"/>
    <w:rsid w:val="00F24B16"/>
    <w:rsid w:val="00F506FC"/>
    <w:rsid w:val="00F51501"/>
    <w:rsid w:val="00F6776C"/>
    <w:rsid w:val="00FB57C3"/>
    <w:rsid w:val="00FF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EE623"/>
  <w15:docId w15:val="{747A7694-0EAC-4A91-BEB0-C428FE39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line="240" w:lineRule="auto"/>
      <w:outlineLvl w:val="1"/>
    </w:pPr>
    <w:rPr>
      <w:sz w:val="21"/>
      <w:szCs w:val="21"/>
    </w:rPr>
  </w:style>
  <w:style w:type="paragraph" w:styleId="3">
    <w:name w:val="heading 3"/>
    <w:basedOn w:val="a"/>
    <w:next w:val="a"/>
    <w:uiPriority w:val="9"/>
    <w:unhideWhenUsed/>
    <w:qFormat/>
    <w:rsid w:val="00B74129"/>
    <w:pPr>
      <w:keepNext/>
      <w:keepLines/>
      <w:spacing w:before="300" w:after="300" w:line="241" w:lineRule="auto"/>
      <w:jc w:val="both"/>
      <w:outlineLvl w:val="2"/>
    </w:pPr>
    <w:rPr>
      <w:rFonts w:eastAsia="宋体"/>
      <w:sz w:val="21"/>
      <w:szCs w:val="21"/>
    </w:rPr>
  </w:style>
  <w:style w:type="paragraph" w:styleId="4">
    <w:name w:val="heading 4"/>
    <w:basedOn w:val="a"/>
    <w:next w:val="a"/>
    <w:link w:val="40"/>
    <w:uiPriority w:val="9"/>
    <w:unhideWhenUsed/>
    <w:qFormat/>
    <w:rsid w:val="008B52A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8B52A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line="240" w:lineRule="auto"/>
    </w:pPr>
    <w:rPr>
      <w:rFonts w:ascii="宋体" w:eastAsia="宋体" w:hAnsi="宋体" w:cs="宋体"/>
      <w:kern w:val="0"/>
      <w:sz w:val="24"/>
      <w14:ligatures w14:val="none"/>
    </w:rPr>
  </w:style>
  <w:style w:type="character" w:styleId="a4">
    <w:name w:val="Strong"/>
    <w:basedOn w:val="a0"/>
    <w:uiPriority w:val="22"/>
    <w:qFormat/>
    <w:rPr>
      <w:b/>
      <w:bCs/>
    </w:rPr>
  </w:style>
  <w:style w:type="character" w:styleId="a5">
    <w:name w:val="Emphasis"/>
    <w:basedOn w:val="a0"/>
    <w:uiPriority w:val="20"/>
    <w:qFormat/>
    <w:rPr>
      <w:i/>
      <w:iCs/>
    </w:rPr>
  </w:style>
  <w:style w:type="paragraph" w:customStyle="1" w:styleId="17">
    <w:name w:val="17"/>
    <w:basedOn w:val="a"/>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16">
    <w:name w:val="16"/>
    <w:basedOn w:val="a"/>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18">
    <w:name w:val="18"/>
    <w:basedOn w:val="a"/>
    <w:pPr>
      <w:widowControl/>
      <w:spacing w:before="100" w:beforeAutospacing="1" w:after="100" w:afterAutospacing="1" w:line="240" w:lineRule="auto"/>
    </w:pPr>
    <w:rPr>
      <w:rFonts w:ascii="宋体" w:eastAsia="宋体" w:hAnsi="宋体" w:cs="宋体"/>
      <w:kern w:val="0"/>
      <w:sz w:val="24"/>
      <w14:ligatures w14:val="none"/>
    </w:rPr>
  </w:style>
  <w:style w:type="character" w:styleId="a6">
    <w:name w:val="Hyperlink"/>
    <w:basedOn w:val="a0"/>
    <w:uiPriority w:val="99"/>
    <w:semiHidden/>
    <w:unhideWhenUsed/>
    <w:rPr>
      <w:color w:val="0000FF"/>
      <w:u w:val="single"/>
    </w:rPr>
  </w:style>
  <w:style w:type="paragraph" w:customStyle="1" w:styleId="15">
    <w:name w:val="15"/>
    <w:basedOn w:val="a"/>
    <w:pPr>
      <w:widowControl/>
      <w:spacing w:before="100" w:beforeAutospacing="1" w:after="100" w:afterAutospacing="1" w:line="240" w:lineRule="auto"/>
    </w:pPr>
    <w:rPr>
      <w:rFonts w:ascii="宋体" w:eastAsia="宋体" w:hAnsi="宋体" w:cs="宋体"/>
      <w:kern w:val="0"/>
      <w:sz w:val="24"/>
      <w14:ligatures w14:val="none"/>
    </w:rPr>
  </w:style>
  <w:style w:type="paragraph" w:styleId="a7">
    <w:name w:val="header"/>
    <w:basedOn w:val="a"/>
    <w:link w:val="a8"/>
    <w:uiPriority w:val="99"/>
    <w:unhideWhenUsed/>
    <w:rsid w:val="00F21BB6"/>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F21BB6"/>
    <w:rPr>
      <w:sz w:val="18"/>
      <w:szCs w:val="18"/>
    </w:rPr>
  </w:style>
  <w:style w:type="paragraph" w:styleId="a9">
    <w:name w:val="footer"/>
    <w:basedOn w:val="a"/>
    <w:link w:val="aa"/>
    <w:uiPriority w:val="99"/>
    <w:unhideWhenUsed/>
    <w:rsid w:val="00F21BB6"/>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F21BB6"/>
    <w:rPr>
      <w:sz w:val="18"/>
      <w:szCs w:val="18"/>
    </w:rPr>
  </w:style>
  <w:style w:type="paragraph" w:styleId="ab">
    <w:name w:val="List Paragraph"/>
    <w:basedOn w:val="a"/>
    <w:uiPriority w:val="34"/>
    <w:qFormat/>
    <w:rsid w:val="00A12739"/>
    <w:pPr>
      <w:ind w:firstLineChars="200" w:firstLine="420"/>
    </w:pPr>
  </w:style>
  <w:style w:type="character" w:customStyle="1" w:styleId="40">
    <w:name w:val="标题 4 字符"/>
    <w:basedOn w:val="a0"/>
    <w:link w:val="4"/>
    <w:uiPriority w:val="9"/>
    <w:rsid w:val="008B52A6"/>
    <w:rPr>
      <w:rFonts w:asciiTheme="majorHAnsi" w:eastAsiaTheme="majorEastAsia" w:hAnsiTheme="majorHAnsi" w:cstheme="majorBidi"/>
      <w:b/>
      <w:bCs/>
      <w:sz w:val="28"/>
      <w:szCs w:val="28"/>
    </w:rPr>
  </w:style>
  <w:style w:type="character" w:customStyle="1" w:styleId="50">
    <w:name w:val="标题 5 字符"/>
    <w:basedOn w:val="a0"/>
    <w:link w:val="5"/>
    <w:uiPriority w:val="9"/>
    <w:rsid w:val="008B52A6"/>
    <w:rPr>
      <w:b/>
      <w:bCs/>
      <w:sz w:val="28"/>
      <w:szCs w:val="28"/>
    </w:rPr>
  </w:style>
  <w:style w:type="paragraph" w:styleId="ac">
    <w:name w:val="Revision"/>
    <w:hidden/>
    <w:uiPriority w:val="99"/>
    <w:semiHidden/>
    <w:rsid w:val="00781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334">
      <w:bodyDiv w:val="1"/>
      <w:marLeft w:val="0"/>
      <w:marRight w:val="0"/>
      <w:marTop w:val="0"/>
      <w:marBottom w:val="0"/>
      <w:divBdr>
        <w:top w:val="none" w:sz="0" w:space="0" w:color="auto"/>
        <w:left w:val="none" w:sz="0" w:space="0" w:color="auto"/>
        <w:bottom w:val="none" w:sz="0" w:space="0" w:color="auto"/>
        <w:right w:val="none" w:sz="0" w:space="0" w:color="auto"/>
      </w:divBdr>
    </w:div>
    <w:div w:id="14692139">
      <w:bodyDiv w:val="1"/>
      <w:marLeft w:val="0"/>
      <w:marRight w:val="0"/>
      <w:marTop w:val="0"/>
      <w:marBottom w:val="0"/>
      <w:divBdr>
        <w:top w:val="none" w:sz="0" w:space="0" w:color="auto"/>
        <w:left w:val="none" w:sz="0" w:space="0" w:color="auto"/>
        <w:bottom w:val="none" w:sz="0" w:space="0" w:color="auto"/>
        <w:right w:val="none" w:sz="0" w:space="0" w:color="auto"/>
      </w:divBdr>
    </w:div>
    <w:div w:id="16350531">
      <w:bodyDiv w:val="1"/>
      <w:marLeft w:val="0"/>
      <w:marRight w:val="0"/>
      <w:marTop w:val="0"/>
      <w:marBottom w:val="0"/>
      <w:divBdr>
        <w:top w:val="none" w:sz="0" w:space="0" w:color="auto"/>
        <w:left w:val="none" w:sz="0" w:space="0" w:color="auto"/>
        <w:bottom w:val="none" w:sz="0" w:space="0" w:color="auto"/>
        <w:right w:val="none" w:sz="0" w:space="0" w:color="auto"/>
      </w:divBdr>
    </w:div>
    <w:div w:id="18626329">
      <w:bodyDiv w:val="1"/>
      <w:marLeft w:val="0"/>
      <w:marRight w:val="0"/>
      <w:marTop w:val="0"/>
      <w:marBottom w:val="0"/>
      <w:divBdr>
        <w:top w:val="none" w:sz="0" w:space="0" w:color="auto"/>
        <w:left w:val="none" w:sz="0" w:space="0" w:color="auto"/>
        <w:bottom w:val="none" w:sz="0" w:space="0" w:color="auto"/>
        <w:right w:val="none" w:sz="0" w:space="0" w:color="auto"/>
      </w:divBdr>
    </w:div>
    <w:div w:id="26834888">
      <w:bodyDiv w:val="1"/>
      <w:marLeft w:val="0"/>
      <w:marRight w:val="0"/>
      <w:marTop w:val="0"/>
      <w:marBottom w:val="0"/>
      <w:divBdr>
        <w:top w:val="none" w:sz="0" w:space="0" w:color="auto"/>
        <w:left w:val="none" w:sz="0" w:space="0" w:color="auto"/>
        <w:bottom w:val="none" w:sz="0" w:space="0" w:color="auto"/>
        <w:right w:val="none" w:sz="0" w:space="0" w:color="auto"/>
      </w:divBdr>
    </w:div>
    <w:div w:id="28452254">
      <w:bodyDiv w:val="1"/>
      <w:marLeft w:val="0"/>
      <w:marRight w:val="0"/>
      <w:marTop w:val="0"/>
      <w:marBottom w:val="0"/>
      <w:divBdr>
        <w:top w:val="none" w:sz="0" w:space="0" w:color="auto"/>
        <w:left w:val="none" w:sz="0" w:space="0" w:color="auto"/>
        <w:bottom w:val="none" w:sz="0" w:space="0" w:color="auto"/>
        <w:right w:val="none" w:sz="0" w:space="0" w:color="auto"/>
      </w:divBdr>
    </w:div>
    <w:div w:id="28457808">
      <w:bodyDiv w:val="1"/>
      <w:marLeft w:val="0"/>
      <w:marRight w:val="0"/>
      <w:marTop w:val="0"/>
      <w:marBottom w:val="0"/>
      <w:divBdr>
        <w:top w:val="none" w:sz="0" w:space="0" w:color="auto"/>
        <w:left w:val="none" w:sz="0" w:space="0" w:color="auto"/>
        <w:bottom w:val="none" w:sz="0" w:space="0" w:color="auto"/>
        <w:right w:val="none" w:sz="0" w:space="0" w:color="auto"/>
      </w:divBdr>
    </w:div>
    <w:div w:id="31005312">
      <w:bodyDiv w:val="1"/>
      <w:marLeft w:val="0"/>
      <w:marRight w:val="0"/>
      <w:marTop w:val="0"/>
      <w:marBottom w:val="0"/>
      <w:divBdr>
        <w:top w:val="none" w:sz="0" w:space="0" w:color="auto"/>
        <w:left w:val="none" w:sz="0" w:space="0" w:color="auto"/>
        <w:bottom w:val="none" w:sz="0" w:space="0" w:color="auto"/>
        <w:right w:val="none" w:sz="0" w:space="0" w:color="auto"/>
      </w:divBdr>
    </w:div>
    <w:div w:id="38096165">
      <w:bodyDiv w:val="1"/>
      <w:marLeft w:val="0"/>
      <w:marRight w:val="0"/>
      <w:marTop w:val="0"/>
      <w:marBottom w:val="0"/>
      <w:divBdr>
        <w:top w:val="none" w:sz="0" w:space="0" w:color="auto"/>
        <w:left w:val="none" w:sz="0" w:space="0" w:color="auto"/>
        <w:bottom w:val="none" w:sz="0" w:space="0" w:color="auto"/>
        <w:right w:val="none" w:sz="0" w:space="0" w:color="auto"/>
      </w:divBdr>
    </w:div>
    <w:div w:id="58022144">
      <w:bodyDiv w:val="1"/>
      <w:marLeft w:val="0"/>
      <w:marRight w:val="0"/>
      <w:marTop w:val="0"/>
      <w:marBottom w:val="0"/>
      <w:divBdr>
        <w:top w:val="none" w:sz="0" w:space="0" w:color="auto"/>
        <w:left w:val="none" w:sz="0" w:space="0" w:color="auto"/>
        <w:bottom w:val="none" w:sz="0" w:space="0" w:color="auto"/>
        <w:right w:val="none" w:sz="0" w:space="0" w:color="auto"/>
      </w:divBdr>
    </w:div>
    <w:div w:id="68692464">
      <w:bodyDiv w:val="1"/>
      <w:marLeft w:val="0"/>
      <w:marRight w:val="0"/>
      <w:marTop w:val="0"/>
      <w:marBottom w:val="0"/>
      <w:divBdr>
        <w:top w:val="none" w:sz="0" w:space="0" w:color="auto"/>
        <w:left w:val="none" w:sz="0" w:space="0" w:color="auto"/>
        <w:bottom w:val="none" w:sz="0" w:space="0" w:color="auto"/>
        <w:right w:val="none" w:sz="0" w:space="0" w:color="auto"/>
      </w:divBdr>
    </w:div>
    <w:div w:id="78213420">
      <w:bodyDiv w:val="1"/>
      <w:marLeft w:val="0"/>
      <w:marRight w:val="0"/>
      <w:marTop w:val="0"/>
      <w:marBottom w:val="0"/>
      <w:divBdr>
        <w:top w:val="none" w:sz="0" w:space="0" w:color="auto"/>
        <w:left w:val="none" w:sz="0" w:space="0" w:color="auto"/>
        <w:bottom w:val="none" w:sz="0" w:space="0" w:color="auto"/>
        <w:right w:val="none" w:sz="0" w:space="0" w:color="auto"/>
      </w:divBdr>
    </w:div>
    <w:div w:id="80564161">
      <w:bodyDiv w:val="1"/>
      <w:marLeft w:val="0"/>
      <w:marRight w:val="0"/>
      <w:marTop w:val="0"/>
      <w:marBottom w:val="0"/>
      <w:divBdr>
        <w:top w:val="none" w:sz="0" w:space="0" w:color="auto"/>
        <w:left w:val="none" w:sz="0" w:space="0" w:color="auto"/>
        <w:bottom w:val="none" w:sz="0" w:space="0" w:color="auto"/>
        <w:right w:val="none" w:sz="0" w:space="0" w:color="auto"/>
      </w:divBdr>
    </w:div>
    <w:div w:id="84806822">
      <w:bodyDiv w:val="1"/>
      <w:marLeft w:val="0"/>
      <w:marRight w:val="0"/>
      <w:marTop w:val="0"/>
      <w:marBottom w:val="0"/>
      <w:divBdr>
        <w:top w:val="none" w:sz="0" w:space="0" w:color="auto"/>
        <w:left w:val="none" w:sz="0" w:space="0" w:color="auto"/>
        <w:bottom w:val="none" w:sz="0" w:space="0" w:color="auto"/>
        <w:right w:val="none" w:sz="0" w:space="0" w:color="auto"/>
      </w:divBdr>
    </w:div>
    <w:div w:id="84813044">
      <w:bodyDiv w:val="1"/>
      <w:marLeft w:val="0"/>
      <w:marRight w:val="0"/>
      <w:marTop w:val="0"/>
      <w:marBottom w:val="0"/>
      <w:divBdr>
        <w:top w:val="none" w:sz="0" w:space="0" w:color="auto"/>
        <w:left w:val="none" w:sz="0" w:space="0" w:color="auto"/>
        <w:bottom w:val="none" w:sz="0" w:space="0" w:color="auto"/>
        <w:right w:val="none" w:sz="0" w:space="0" w:color="auto"/>
      </w:divBdr>
    </w:div>
    <w:div w:id="90123575">
      <w:bodyDiv w:val="1"/>
      <w:marLeft w:val="0"/>
      <w:marRight w:val="0"/>
      <w:marTop w:val="0"/>
      <w:marBottom w:val="0"/>
      <w:divBdr>
        <w:top w:val="none" w:sz="0" w:space="0" w:color="auto"/>
        <w:left w:val="none" w:sz="0" w:space="0" w:color="auto"/>
        <w:bottom w:val="none" w:sz="0" w:space="0" w:color="auto"/>
        <w:right w:val="none" w:sz="0" w:space="0" w:color="auto"/>
      </w:divBdr>
    </w:div>
    <w:div w:id="91827257">
      <w:bodyDiv w:val="1"/>
      <w:marLeft w:val="0"/>
      <w:marRight w:val="0"/>
      <w:marTop w:val="0"/>
      <w:marBottom w:val="0"/>
      <w:divBdr>
        <w:top w:val="none" w:sz="0" w:space="0" w:color="auto"/>
        <w:left w:val="none" w:sz="0" w:space="0" w:color="auto"/>
        <w:bottom w:val="none" w:sz="0" w:space="0" w:color="auto"/>
        <w:right w:val="none" w:sz="0" w:space="0" w:color="auto"/>
      </w:divBdr>
    </w:div>
    <w:div w:id="104426126">
      <w:bodyDiv w:val="1"/>
      <w:marLeft w:val="0"/>
      <w:marRight w:val="0"/>
      <w:marTop w:val="0"/>
      <w:marBottom w:val="0"/>
      <w:divBdr>
        <w:top w:val="none" w:sz="0" w:space="0" w:color="auto"/>
        <w:left w:val="none" w:sz="0" w:space="0" w:color="auto"/>
        <w:bottom w:val="none" w:sz="0" w:space="0" w:color="auto"/>
        <w:right w:val="none" w:sz="0" w:space="0" w:color="auto"/>
      </w:divBdr>
    </w:div>
    <w:div w:id="112948901">
      <w:bodyDiv w:val="1"/>
      <w:marLeft w:val="0"/>
      <w:marRight w:val="0"/>
      <w:marTop w:val="0"/>
      <w:marBottom w:val="0"/>
      <w:divBdr>
        <w:top w:val="none" w:sz="0" w:space="0" w:color="auto"/>
        <w:left w:val="none" w:sz="0" w:space="0" w:color="auto"/>
        <w:bottom w:val="none" w:sz="0" w:space="0" w:color="auto"/>
        <w:right w:val="none" w:sz="0" w:space="0" w:color="auto"/>
      </w:divBdr>
    </w:div>
    <w:div w:id="113867835">
      <w:bodyDiv w:val="1"/>
      <w:marLeft w:val="0"/>
      <w:marRight w:val="0"/>
      <w:marTop w:val="0"/>
      <w:marBottom w:val="0"/>
      <w:divBdr>
        <w:top w:val="none" w:sz="0" w:space="0" w:color="auto"/>
        <w:left w:val="none" w:sz="0" w:space="0" w:color="auto"/>
        <w:bottom w:val="none" w:sz="0" w:space="0" w:color="auto"/>
        <w:right w:val="none" w:sz="0" w:space="0" w:color="auto"/>
      </w:divBdr>
    </w:div>
    <w:div w:id="119230544">
      <w:bodyDiv w:val="1"/>
      <w:marLeft w:val="0"/>
      <w:marRight w:val="0"/>
      <w:marTop w:val="0"/>
      <w:marBottom w:val="0"/>
      <w:divBdr>
        <w:top w:val="none" w:sz="0" w:space="0" w:color="auto"/>
        <w:left w:val="none" w:sz="0" w:space="0" w:color="auto"/>
        <w:bottom w:val="none" w:sz="0" w:space="0" w:color="auto"/>
        <w:right w:val="none" w:sz="0" w:space="0" w:color="auto"/>
      </w:divBdr>
    </w:div>
    <w:div w:id="120347274">
      <w:bodyDiv w:val="1"/>
      <w:marLeft w:val="0"/>
      <w:marRight w:val="0"/>
      <w:marTop w:val="0"/>
      <w:marBottom w:val="0"/>
      <w:divBdr>
        <w:top w:val="none" w:sz="0" w:space="0" w:color="auto"/>
        <w:left w:val="none" w:sz="0" w:space="0" w:color="auto"/>
        <w:bottom w:val="none" w:sz="0" w:space="0" w:color="auto"/>
        <w:right w:val="none" w:sz="0" w:space="0" w:color="auto"/>
      </w:divBdr>
    </w:div>
    <w:div w:id="148518057">
      <w:bodyDiv w:val="1"/>
      <w:marLeft w:val="0"/>
      <w:marRight w:val="0"/>
      <w:marTop w:val="0"/>
      <w:marBottom w:val="0"/>
      <w:divBdr>
        <w:top w:val="none" w:sz="0" w:space="0" w:color="auto"/>
        <w:left w:val="none" w:sz="0" w:space="0" w:color="auto"/>
        <w:bottom w:val="none" w:sz="0" w:space="0" w:color="auto"/>
        <w:right w:val="none" w:sz="0" w:space="0" w:color="auto"/>
      </w:divBdr>
    </w:div>
    <w:div w:id="154692916">
      <w:bodyDiv w:val="1"/>
      <w:marLeft w:val="0"/>
      <w:marRight w:val="0"/>
      <w:marTop w:val="0"/>
      <w:marBottom w:val="0"/>
      <w:divBdr>
        <w:top w:val="none" w:sz="0" w:space="0" w:color="auto"/>
        <w:left w:val="none" w:sz="0" w:space="0" w:color="auto"/>
        <w:bottom w:val="none" w:sz="0" w:space="0" w:color="auto"/>
        <w:right w:val="none" w:sz="0" w:space="0" w:color="auto"/>
      </w:divBdr>
    </w:div>
    <w:div w:id="157506426">
      <w:bodyDiv w:val="1"/>
      <w:marLeft w:val="0"/>
      <w:marRight w:val="0"/>
      <w:marTop w:val="0"/>
      <w:marBottom w:val="0"/>
      <w:divBdr>
        <w:top w:val="none" w:sz="0" w:space="0" w:color="auto"/>
        <w:left w:val="none" w:sz="0" w:space="0" w:color="auto"/>
        <w:bottom w:val="none" w:sz="0" w:space="0" w:color="auto"/>
        <w:right w:val="none" w:sz="0" w:space="0" w:color="auto"/>
      </w:divBdr>
    </w:div>
    <w:div w:id="160892537">
      <w:bodyDiv w:val="1"/>
      <w:marLeft w:val="0"/>
      <w:marRight w:val="0"/>
      <w:marTop w:val="0"/>
      <w:marBottom w:val="0"/>
      <w:divBdr>
        <w:top w:val="none" w:sz="0" w:space="0" w:color="auto"/>
        <w:left w:val="none" w:sz="0" w:space="0" w:color="auto"/>
        <w:bottom w:val="none" w:sz="0" w:space="0" w:color="auto"/>
        <w:right w:val="none" w:sz="0" w:space="0" w:color="auto"/>
      </w:divBdr>
    </w:div>
    <w:div w:id="164976973">
      <w:bodyDiv w:val="1"/>
      <w:marLeft w:val="0"/>
      <w:marRight w:val="0"/>
      <w:marTop w:val="0"/>
      <w:marBottom w:val="0"/>
      <w:divBdr>
        <w:top w:val="none" w:sz="0" w:space="0" w:color="auto"/>
        <w:left w:val="none" w:sz="0" w:space="0" w:color="auto"/>
        <w:bottom w:val="none" w:sz="0" w:space="0" w:color="auto"/>
        <w:right w:val="none" w:sz="0" w:space="0" w:color="auto"/>
      </w:divBdr>
    </w:div>
    <w:div w:id="167332283">
      <w:bodyDiv w:val="1"/>
      <w:marLeft w:val="0"/>
      <w:marRight w:val="0"/>
      <w:marTop w:val="0"/>
      <w:marBottom w:val="0"/>
      <w:divBdr>
        <w:top w:val="none" w:sz="0" w:space="0" w:color="auto"/>
        <w:left w:val="none" w:sz="0" w:space="0" w:color="auto"/>
        <w:bottom w:val="none" w:sz="0" w:space="0" w:color="auto"/>
        <w:right w:val="none" w:sz="0" w:space="0" w:color="auto"/>
      </w:divBdr>
    </w:div>
    <w:div w:id="171989032">
      <w:bodyDiv w:val="1"/>
      <w:marLeft w:val="0"/>
      <w:marRight w:val="0"/>
      <w:marTop w:val="0"/>
      <w:marBottom w:val="0"/>
      <w:divBdr>
        <w:top w:val="none" w:sz="0" w:space="0" w:color="auto"/>
        <w:left w:val="none" w:sz="0" w:space="0" w:color="auto"/>
        <w:bottom w:val="none" w:sz="0" w:space="0" w:color="auto"/>
        <w:right w:val="none" w:sz="0" w:space="0" w:color="auto"/>
      </w:divBdr>
    </w:div>
    <w:div w:id="175190008">
      <w:bodyDiv w:val="1"/>
      <w:marLeft w:val="0"/>
      <w:marRight w:val="0"/>
      <w:marTop w:val="0"/>
      <w:marBottom w:val="0"/>
      <w:divBdr>
        <w:top w:val="none" w:sz="0" w:space="0" w:color="auto"/>
        <w:left w:val="none" w:sz="0" w:space="0" w:color="auto"/>
        <w:bottom w:val="none" w:sz="0" w:space="0" w:color="auto"/>
        <w:right w:val="none" w:sz="0" w:space="0" w:color="auto"/>
      </w:divBdr>
    </w:div>
    <w:div w:id="176844563">
      <w:bodyDiv w:val="1"/>
      <w:marLeft w:val="0"/>
      <w:marRight w:val="0"/>
      <w:marTop w:val="0"/>
      <w:marBottom w:val="0"/>
      <w:divBdr>
        <w:top w:val="none" w:sz="0" w:space="0" w:color="auto"/>
        <w:left w:val="none" w:sz="0" w:space="0" w:color="auto"/>
        <w:bottom w:val="none" w:sz="0" w:space="0" w:color="auto"/>
        <w:right w:val="none" w:sz="0" w:space="0" w:color="auto"/>
      </w:divBdr>
    </w:div>
    <w:div w:id="178585817">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1745933">
      <w:bodyDiv w:val="1"/>
      <w:marLeft w:val="0"/>
      <w:marRight w:val="0"/>
      <w:marTop w:val="0"/>
      <w:marBottom w:val="0"/>
      <w:divBdr>
        <w:top w:val="none" w:sz="0" w:space="0" w:color="auto"/>
        <w:left w:val="none" w:sz="0" w:space="0" w:color="auto"/>
        <w:bottom w:val="none" w:sz="0" w:space="0" w:color="auto"/>
        <w:right w:val="none" w:sz="0" w:space="0" w:color="auto"/>
      </w:divBdr>
    </w:div>
    <w:div w:id="203176990">
      <w:bodyDiv w:val="1"/>
      <w:marLeft w:val="0"/>
      <w:marRight w:val="0"/>
      <w:marTop w:val="0"/>
      <w:marBottom w:val="0"/>
      <w:divBdr>
        <w:top w:val="none" w:sz="0" w:space="0" w:color="auto"/>
        <w:left w:val="none" w:sz="0" w:space="0" w:color="auto"/>
        <w:bottom w:val="none" w:sz="0" w:space="0" w:color="auto"/>
        <w:right w:val="none" w:sz="0" w:space="0" w:color="auto"/>
      </w:divBdr>
    </w:div>
    <w:div w:id="211157963">
      <w:bodyDiv w:val="1"/>
      <w:marLeft w:val="0"/>
      <w:marRight w:val="0"/>
      <w:marTop w:val="0"/>
      <w:marBottom w:val="0"/>
      <w:divBdr>
        <w:top w:val="none" w:sz="0" w:space="0" w:color="auto"/>
        <w:left w:val="none" w:sz="0" w:space="0" w:color="auto"/>
        <w:bottom w:val="none" w:sz="0" w:space="0" w:color="auto"/>
        <w:right w:val="none" w:sz="0" w:space="0" w:color="auto"/>
      </w:divBdr>
    </w:div>
    <w:div w:id="214774767">
      <w:bodyDiv w:val="1"/>
      <w:marLeft w:val="0"/>
      <w:marRight w:val="0"/>
      <w:marTop w:val="0"/>
      <w:marBottom w:val="0"/>
      <w:divBdr>
        <w:top w:val="none" w:sz="0" w:space="0" w:color="auto"/>
        <w:left w:val="none" w:sz="0" w:space="0" w:color="auto"/>
        <w:bottom w:val="none" w:sz="0" w:space="0" w:color="auto"/>
        <w:right w:val="none" w:sz="0" w:space="0" w:color="auto"/>
      </w:divBdr>
    </w:div>
    <w:div w:id="217475490">
      <w:bodyDiv w:val="1"/>
      <w:marLeft w:val="0"/>
      <w:marRight w:val="0"/>
      <w:marTop w:val="0"/>
      <w:marBottom w:val="0"/>
      <w:divBdr>
        <w:top w:val="none" w:sz="0" w:space="0" w:color="auto"/>
        <w:left w:val="none" w:sz="0" w:space="0" w:color="auto"/>
        <w:bottom w:val="none" w:sz="0" w:space="0" w:color="auto"/>
        <w:right w:val="none" w:sz="0" w:space="0" w:color="auto"/>
      </w:divBdr>
    </w:div>
    <w:div w:id="219168324">
      <w:bodyDiv w:val="1"/>
      <w:marLeft w:val="0"/>
      <w:marRight w:val="0"/>
      <w:marTop w:val="0"/>
      <w:marBottom w:val="0"/>
      <w:divBdr>
        <w:top w:val="none" w:sz="0" w:space="0" w:color="auto"/>
        <w:left w:val="none" w:sz="0" w:space="0" w:color="auto"/>
        <w:bottom w:val="none" w:sz="0" w:space="0" w:color="auto"/>
        <w:right w:val="none" w:sz="0" w:space="0" w:color="auto"/>
      </w:divBdr>
    </w:div>
    <w:div w:id="227231920">
      <w:bodyDiv w:val="1"/>
      <w:marLeft w:val="0"/>
      <w:marRight w:val="0"/>
      <w:marTop w:val="0"/>
      <w:marBottom w:val="0"/>
      <w:divBdr>
        <w:top w:val="none" w:sz="0" w:space="0" w:color="auto"/>
        <w:left w:val="none" w:sz="0" w:space="0" w:color="auto"/>
        <w:bottom w:val="none" w:sz="0" w:space="0" w:color="auto"/>
        <w:right w:val="none" w:sz="0" w:space="0" w:color="auto"/>
      </w:divBdr>
    </w:div>
    <w:div w:id="228733199">
      <w:bodyDiv w:val="1"/>
      <w:marLeft w:val="0"/>
      <w:marRight w:val="0"/>
      <w:marTop w:val="0"/>
      <w:marBottom w:val="0"/>
      <w:divBdr>
        <w:top w:val="none" w:sz="0" w:space="0" w:color="auto"/>
        <w:left w:val="none" w:sz="0" w:space="0" w:color="auto"/>
        <w:bottom w:val="none" w:sz="0" w:space="0" w:color="auto"/>
        <w:right w:val="none" w:sz="0" w:space="0" w:color="auto"/>
      </w:divBdr>
    </w:div>
    <w:div w:id="230501239">
      <w:bodyDiv w:val="1"/>
      <w:marLeft w:val="0"/>
      <w:marRight w:val="0"/>
      <w:marTop w:val="0"/>
      <w:marBottom w:val="0"/>
      <w:divBdr>
        <w:top w:val="none" w:sz="0" w:space="0" w:color="auto"/>
        <w:left w:val="none" w:sz="0" w:space="0" w:color="auto"/>
        <w:bottom w:val="none" w:sz="0" w:space="0" w:color="auto"/>
        <w:right w:val="none" w:sz="0" w:space="0" w:color="auto"/>
      </w:divBdr>
    </w:div>
    <w:div w:id="244730360">
      <w:bodyDiv w:val="1"/>
      <w:marLeft w:val="0"/>
      <w:marRight w:val="0"/>
      <w:marTop w:val="0"/>
      <w:marBottom w:val="0"/>
      <w:divBdr>
        <w:top w:val="none" w:sz="0" w:space="0" w:color="auto"/>
        <w:left w:val="none" w:sz="0" w:space="0" w:color="auto"/>
        <w:bottom w:val="none" w:sz="0" w:space="0" w:color="auto"/>
        <w:right w:val="none" w:sz="0" w:space="0" w:color="auto"/>
      </w:divBdr>
    </w:div>
    <w:div w:id="245649194">
      <w:bodyDiv w:val="1"/>
      <w:marLeft w:val="0"/>
      <w:marRight w:val="0"/>
      <w:marTop w:val="0"/>
      <w:marBottom w:val="0"/>
      <w:divBdr>
        <w:top w:val="none" w:sz="0" w:space="0" w:color="auto"/>
        <w:left w:val="none" w:sz="0" w:space="0" w:color="auto"/>
        <w:bottom w:val="none" w:sz="0" w:space="0" w:color="auto"/>
        <w:right w:val="none" w:sz="0" w:space="0" w:color="auto"/>
      </w:divBdr>
    </w:div>
    <w:div w:id="248319020">
      <w:bodyDiv w:val="1"/>
      <w:marLeft w:val="0"/>
      <w:marRight w:val="0"/>
      <w:marTop w:val="0"/>
      <w:marBottom w:val="0"/>
      <w:divBdr>
        <w:top w:val="none" w:sz="0" w:space="0" w:color="auto"/>
        <w:left w:val="none" w:sz="0" w:space="0" w:color="auto"/>
        <w:bottom w:val="none" w:sz="0" w:space="0" w:color="auto"/>
        <w:right w:val="none" w:sz="0" w:space="0" w:color="auto"/>
      </w:divBdr>
    </w:div>
    <w:div w:id="267928117">
      <w:bodyDiv w:val="1"/>
      <w:marLeft w:val="0"/>
      <w:marRight w:val="0"/>
      <w:marTop w:val="0"/>
      <w:marBottom w:val="0"/>
      <w:divBdr>
        <w:top w:val="none" w:sz="0" w:space="0" w:color="auto"/>
        <w:left w:val="none" w:sz="0" w:space="0" w:color="auto"/>
        <w:bottom w:val="none" w:sz="0" w:space="0" w:color="auto"/>
        <w:right w:val="none" w:sz="0" w:space="0" w:color="auto"/>
      </w:divBdr>
    </w:div>
    <w:div w:id="275331762">
      <w:bodyDiv w:val="1"/>
      <w:marLeft w:val="0"/>
      <w:marRight w:val="0"/>
      <w:marTop w:val="0"/>
      <w:marBottom w:val="0"/>
      <w:divBdr>
        <w:top w:val="none" w:sz="0" w:space="0" w:color="auto"/>
        <w:left w:val="none" w:sz="0" w:space="0" w:color="auto"/>
        <w:bottom w:val="none" w:sz="0" w:space="0" w:color="auto"/>
        <w:right w:val="none" w:sz="0" w:space="0" w:color="auto"/>
      </w:divBdr>
    </w:div>
    <w:div w:id="275449787">
      <w:bodyDiv w:val="1"/>
      <w:marLeft w:val="0"/>
      <w:marRight w:val="0"/>
      <w:marTop w:val="0"/>
      <w:marBottom w:val="0"/>
      <w:divBdr>
        <w:top w:val="none" w:sz="0" w:space="0" w:color="auto"/>
        <w:left w:val="none" w:sz="0" w:space="0" w:color="auto"/>
        <w:bottom w:val="none" w:sz="0" w:space="0" w:color="auto"/>
        <w:right w:val="none" w:sz="0" w:space="0" w:color="auto"/>
      </w:divBdr>
    </w:div>
    <w:div w:id="275908371">
      <w:bodyDiv w:val="1"/>
      <w:marLeft w:val="0"/>
      <w:marRight w:val="0"/>
      <w:marTop w:val="0"/>
      <w:marBottom w:val="0"/>
      <w:divBdr>
        <w:top w:val="none" w:sz="0" w:space="0" w:color="auto"/>
        <w:left w:val="none" w:sz="0" w:space="0" w:color="auto"/>
        <w:bottom w:val="none" w:sz="0" w:space="0" w:color="auto"/>
        <w:right w:val="none" w:sz="0" w:space="0" w:color="auto"/>
      </w:divBdr>
    </w:div>
    <w:div w:id="294725727">
      <w:bodyDiv w:val="1"/>
      <w:marLeft w:val="0"/>
      <w:marRight w:val="0"/>
      <w:marTop w:val="0"/>
      <w:marBottom w:val="0"/>
      <w:divBdr>
        <w:top w:val="none" w:sz="0" w:space="0" w:color="auto"/>
        <w:left w:val="none" w:sz="0" w:space="0" w:color="auto"/>
        <w:bottom w:val="none" w:sz="0" w:space="0" w:color="auto"/>
        <w:right w:val="none" w:sz="0" w:space="0" w:color="auto"/>
      </w:divBdr>
    </w:div>
    <w:div w:id="301738655">
      <w:bodyDiv w:val="1"/>
      <w:marLeft w:val="0"/>
      <w:marRight w:val="0"/>
      <w:marTop w:val="0"/>
      <w:marBottom w:val="0"/>
      <w:divBdr>
        <w:top w:val="none" w:sz="0" w:space="0" w:color="auto"/>
        <w:left w:val="none" w:sz="0" w:space="0" w:color="auto"/>
        <w:bottom w:val="none" w:sz="0" w:space="0" w:color="auto"/>
        <w:right w:val="none" w:sz="0" w:space="0" w:color="auto"/>
      </w:divBdr>
    </w:div>
    <w:div w:id="310067097">
      <w:bodyDiv w:val="1"/>
      <w:marLeft w:val="0"/>
      <w:marRight w:val="0"/>
      <w:marTop w:val="0"/>
      <w:marBottom w:val="0"/>
      <w:divBdr>
        <w:top w:val="none" w:sz="0" w:space="0" w:color="auto"/>
        <w:left w:val="none" w:sz="0" w:space="0" w:color="auto"/>
        <w:bottom w:val="none" w:sz="0" w:space="0" w:color="auto"/>
        <w:right w:val="none" w:sz="0" w:space="0" w:color="auto"/>
      </w:divBdr>
    </w:div>
    <w:div w:id="311522657">
      <w:bodyDiv w:val="1"/>
      <w:marLeft w:val="0"/>
      <w:marRight w:val="0"/>
      <w:marTop w:val="0"/>
      <w:marBottom w:val="0"/>
      <w:divBdr>
        <w:top w:val="none" w:sz="0" w:space="0" w:color="auto"/>
        <w:left w:val="none" w:sz="0" w:space="0" w:color="auto"/>
        <w:bottom w:val="none" w:sz="0" w:space="0" w:color="auto"/>
        <w:right w:val="none" w:sz="0" w:space="0" w:color="auto"/>
      </w:divBdr>
    </w:div>
    <w:div w:id="314917519">
      <w:bodyDiv w:val="1"/>
      <w:marLeft w:val="0"/>
      <w:marRight w:val="0"/>
      <w:marTop w:val="0"/>
      <w:marBottom w:val="0"/>
      <w:divBdr>
        <w:top w:val="none" w:sz="0" w:space="0" w:color="auto"/>
        <w:left w:val="none" w:sz="0" w:space="0" w:color="auto"/>
        <w:bottom w:val="none" w:sz="0" w:space="0" w:color="auto"/>
        <w:right w:val="none" w:sz="0" w:space="0" w:color="auto"/>
      </w:divBdr>
    </w:div>
    <w:div w:id="325010934">
      <w:bodyDiv w:val="1"/>
      <w:marLeft w:val="0"/>
      <w:marRight w:val="0"/>
      <w:marTop w:val="0"/>
      <w:marBottom w:val="0"/>
      <w:divBdr>
        <w:top w:val="none" w:sz="0" w:space="0" w:color="auto"/>
        <w:left w:val="none" w:sz="0" w:space="0" w:color="auto"/>
        <w:bottom w:val="none" w:sz="0" w:space="0" w:color="auto"/>
        <w:right w:val="none" w:sz="0" w:space="0" w:color="auto"/>
      </w:divBdr>
    </w:div>
    <w:div w:id="328991615">
      <w:bodyDiv w:val="1"/>
      <w:marLeft w:val="0"/>
      <w:marRight w:val="0"/>
      <w:marTop w:val="0"/>
      <w:marBottom w:val="0"/>
      <w:divBdr>
        <w:top w:val="none" w:sz="0" w:space="0" w:color="auto"/>
        <w:left w:val="none" w:sz="0" w:space="0" w:color="auto"/>
        <w:bottom w:val="none" w:sz="0" w:space="0" w:color="auto"/>
        <w:right w:val="none" w:sz="0" w:space="0" w:color="auto"/>
      </w:divBdr>
    </w:div>
    <w:div w:id="343827849">
      <w:bodyDiv w:val="1"/>
      <w:marLeft w:val="0"/>
      <w:marRight w:val="0"/>
      <w:marTop w:val="0"/>
      <w:marBottom w:val="0"/>
      <w:divBdr>
        <w:top w:val="none" w:sz="0" w:space="0" w:color="auto"/>
        <w:left w:val="none" w:sz="0" w:space="0" w:color="auto"/>
        <w:bottom w:val="none" w:sz="0" w:space="0" w:color="auto"/>
        <w:right w:val="none" w:sz="0" w:space="0" w:color="auto"/>
      </w:divBdr>
    </w:div>
    <w:div w:id="356927822">
      <w:bodyDiv w:val="1"/>
      <w:marLeft w:val="0"/>
      <w:marRight w:val="0"/>
      <w:marTop w:val="0"/>
      <w:marBottom w:val="0"/>
      <w:divBdr>
        <w:top w:val="none" w:sz="0" w:space="0" w:color="auto"/>
        <w:left w:val="none" w:sz="0" w:space="0" w:color="auto"/>
        <w:bottom w:val="none" w:sz="0" w:space="0" w:color="auto"/>
        <w:right w:val="none" w:sz="0" w:space="0" w:color="auto"/>
      </w:divBdr>
    </w:div>
    <w:div w:id="366486566">
      <w:bodyDiv w:val="1"/>
      <w:marLeft w:val="0"/>
      <w:marRight w:val="0"/>
      <w:marTop w:val="0"/>
      <w:marBottom w:val="0"/>
      <w:divBdr>
        <w:top w:val="none" w:sz="0" w:space="0" w:color="auto"/>
        <w:left w:val="none" w:sz="0" w:space="0" w:color="auto"/>
        <w:bottom w:val="none" w:sz="0" w:space="0" w:color="auto"/>
        <w:right w:val="none" w:sz="0" w:space="0" w:color="auto"/>
      </w:divBdr>
    </w:div>
    <w:div w:id="378937742">
      <w:bodyDiv w:val="1"/>
      <w:marLeft w:val="0"/>
      <w:marRight w:val="0"/>
      <w:marTop w:val="0"/>
      <w:marBottom w:val="0"/>
      <w:divBdr>
        <w:top w:val="none" w:sz="0" w:space="0" w:color="auto"/>
        <w:left w:val="none" w:sz="0" w:space="0" w:color="auto"/>
        <w:bottom w:val="none" w:sz="0" w:space="0" w:color="auto"/>
        <w:right w:val="none" w:sz="0" w:space="0" w:color="auto"/>
      </w:divBdr>
    </w:div>
    <w:div w:id="381171591">
      <w:bodyDiv w:val="1"/>
      <w:marLeft w:val="0"/>
      <w:marRight w:val="0"/>
      <w:marTop w:val="0"/>
      <w:marBottom w:val="0"/>
      <w:divBdr>
        <w:top w:val="none" w:sz="0" w:space="0" w:color="auto"/>
        <w:left w:val="none" w:sz="0" w:space="0" w:color="auto"/>
        <w:bottom w:val="none" w:sz="0" w:space="0" w:color="auto"/>
        <w:right w:val="none" w:sz="0" w:space="0" w:color="auto"/>
      </w:divBdr>
    </w:div>
    <w:div w:id="385682059">
      <w:bodyDiv w:val="1"/>
      <w:marLeft w:val="0"/>
      <w:marRight w:val="0"/>
      <w:marTop w:val="0"/>
      <w:marBottom w:val="0"/>
      <w:divBdr>
        <w:top w:val="none" w:sz="0" w:space="0" w:color="auto"/>
        <w:left w:val="none" w:sz="0" w:space="0" w:color="auto"/>
        <w:bottom w:val="none" w:sz="0" w:space="0" w:color="auto"/>
        <w:right w:val="none" w:sz="0" w:space="0" w:color="auto"/>
      </w:divBdr>
    </w:div>
    <w:div w:id="387803762">
      <w:bodyDiv w:val="1"/>
      <w:marLeft w:val="0"/>
      <w:marRight w:val="0"/>
      <w:marTop w:val="0"/>
      <w:marBottom w:val="0"/>
      <w:divBdr>
        <w:top w:val="none" w:sz="0" w:space="0" w:color="auto"/>
        <w:left w:val="none" w:sz="0" w:space="0" w:color="auto"/>
        <w:bottom w:val="none" w:sz="0" w:space="0" w:color="auto"/>
        <w:right w:val="none" w:sz="0" w:space="0" w:color="auto"/>
      </w:divBdr>
    </w:div>
    <w:div w:id="387845455">
      <w:bodyDiv w:val="1"/>
      <w:marLeft w:val="0"/>
      <w:marRight w:val="0"/>
      <w:marTop w:val="0"/>
      <w:marBottom w:val="0"/>
      <w:divBdr>
        <w:top w:val="none" w:sz="0" w:space="0" w:color="auto"/>
        <w:left w:val="none" w:sz="0" w:space="0" w:color="auto"/>
        <w:bottom w:val="none" w:sz="0" w:space="0" w:color="auto"/>
        <w:right w:val="none" w:sz="0" w:space="0" w:color="auto"/>
      </w:divBdr>
    </w:div>
    <w:div w:id="394938720">
      <w:bodyDiv w:val="1"/>
      <w:marLeft w:val="0"/>
      <w:marRight w:val="0"/>
      <w:marTop w:val="0"/>
      <w:marBottom w:val="0"/>
      <w:divBdr>
        <w:top w:val="none" w:sz="0" w:space="0" w:color="auto"/>
        <w:left w:val="none" w:sz="0" w:space="0" w:color="auto"/>
        <w:bottom w:val="none" w:sz="0" w:space="0" w:color="auto"/>
        <w:right w:val="none" w:sz="0" w:space="0" w:color="auto"/>
      </w:divBdr>
    </w:div>
    <w:div w:id="395930816">
      <w:bodyDiv w:val="1"/>
      <w:marLeft w:val="0"/>
      <w:marRight w:val="0"/>
      <w:marTop w:val="0"/>
      <w:marBottom w:val="0"/>
      <w:divBdr>
        <w:top w:val="none" w:sz="0" w:space="0" w:color="auto"/>
        <w:left w:val="none" w:sz="0" w:space="0" w:color="auto"/>
        <w:bottom w:val="none" w:sz="0" w:space="0" w:color="auto"/>
        <w:right w:val="none" w:sz="0" w:space="0" w:color="auto"/>
      </w:divBdr>
    </w:div>
    <w:div w:id="408188908">
      <w:bodyDiv w:val="1"/>
      <w:marLeft w:val="0"/>
      <w:marRight w:val="0"/>
      <w:marTop w:val="0"/>
      <w:marBottom w:val="0"/>
      <w:divBdr>
        <w:top w:val="none" w:sz="0" w:space="0" w:color="auto"/>
        <w:left w:val="none" w:sz="0" w:space="0" w:color="auto"/>
        <w:bottom w:val="none" w:sz="0" w:space="0" w:color="auto"/>
        <w:right w:val="none" w:sz="0" w:space="0" w:color="auto"/>
      </w:divBdr>
    </w:div>
    <w:div w:id="416245601">
      <w:bodyDiv w:val="1"/>
      <w:marLeft w:val="0"/>
      <w:marRight w:val="0"/>
      <w:marTop w:val="0"/>
      <w:marBottom w:val="0"/>
      <w:divBdr>
        <w:top w:val="none" w:sz="0" w:space="0" w:color="auto"/>
        <w:left w:val="none" w:sz="0" w:space="0" w:color="auto"/>
        <w:bottom w:val="none" w:sz="0" w:space="0" w:color="auto"/>
        <w:right w:val="none" w:sz="0" w:space="0" w:color="auto"/>
      </w:divBdr>
    </w:div>
    <w:div w:id="421418032">
      <w:bodyDiv w:val="1"/>
      <w:marLeft w:val="0"/>
      <w:marRight w:val="0"/>
      <w:marTop w:val="0"/>
      <w:marBottom w:val="0"/>
      <w:divBdr>
        <w:top w:val="none" w:sz="0" w:space="0" w:color="auto"/>
        <w:left w:val="none" w:sz="0" w:space="0" w:color="auto"/>
        <w:bottom w:val="none" w:sz="0" w:space="0" w:color="auto"/>
        <w:right w:val="none" w:sz="0" w:space="0" w:color="auto"/>
      </w:divBdr>
    </w:div>
    <w:div w:id="425199637">
      <w:bodyDiv w:val="1"/>
      <w:marLeft w:val="0"/>
      <w:marRight w:val="0"/>
      <w:marTop w:val="0"/>
      <w:marBottom w:val="0"/>
      <w:divBdr>
        <w:top w:val="none" w:sz="0" w:space="0" w:color="auto"/>
        <w:left w:val="none" w:sz="0" w:space="0" w:color="auto"/>
        <w:bottom w:val="none" w:sz="0" w:space="0" w:color="auto"/>
        <w:right w:val="none" w:sz="0" w:space="0" w:color="auto"/>
      </w:divBdr>
    </w:div>
    <w:div w:id="434714323">
      <w:bodyDiv w:val="1"/>
      <w:marLeft w:val="0"/>
      <w:marRight w:val="0"/>
      <w:marTop w:val="0"/>
      <w:marBottom w:val="0"/>
      <w:divBdr>
        <w:top w:val="none" w:sz="0" w:space="0" w:color="auto"/>
        <w:left w:val="none" w:sz="0" w:space="0" w:color="auto"/>
        <w:bottom w:val="none" w:sz="0" w:space="0" w:color="auto"/>
        <w:right w:val="none" w:sz="0" w:space="0" w:color="auto"/>
      </w:divBdr>
    </w:div>
    <w:div w:id="439840986">
      <w:bodyDiv w:val="1"/>
      <w:marLeft w:val="0"/>
      <w:marRight w:val="0"/>
      <w:marTop w:val="0"/>
      <w:marBottom w:val="0"/>
      <w:divBdr>
        <w:top w:val="none" w:sz="0" w:space="0" w:color="auto"/>
        <w:left w:val="none" w:sz="0" w:space="0" w:color="auto"/>
        <w:bottom w:val="none" w:sz="0" w:space="0" w:color="auto"/>
        <w:right w:val="none" w:sz="0" w:space="0" w:color="auto"/>
      </w:divBdr>
    </w:div>
    <w:div w:id="445077522">
      <w:bodyDiv w:val="1"/>
      <w:marLeft w:val="0"/>
      <w:marRight w:val="0"/>
      <w:marTop w:val="0"/>
      <w:marBottom w:val="0"/>
      <w:divBdr>
        <w:top w:val="none" w:sz="0" w:space="0" w:color="auto"/>
        <w:left w:val="none" w:sz="0" w:space="0" w:color="auto"/>
        <w:bottom w:val="none" w:sz="0" w:space="0" w:color="auto"/>
        <w:right w:val="none" w:sz="0" w:space="0" w:color="auto"/>
      </w:divBdr>
    </w:div>
    <w:div w:id="450440625">
      <w:bodyDiv w:val="1"/>
      <w:marLeft w:val="0"/>
      <w:marRight w:val="0"/>
      <w:marTop w:val="0"/>
      <w:marBottom w:val="0"/>
      <w:divBdr>
        <w:top w:val="none" w:sz="0" w:space="0" w:color="auto"/>
        <w:left w:val="none" w:sz="0" w:space="0" w:color="auto"/>
        <w:bottom w:val="none" w:sz="0" w:space="0" w:color="auto"/>
        <w:right w:val="none" w:sz="0" w:space="0" w:color="auto"/>
      </w:divBdr>
    </w:div>
    <w:div w:id="459541486">
      <w:bodyDiv w:val="1"/>
      <w:marLeft w:val="0"/>
      <w:marRight w:val="0"/>
      <w:marTop w:val="0"/>
      <w:marBottom w:val="0"/>
      <w:divBdr>
        <w:top w:val="none" w:sz="0" w:space="0" w:color="auto"/>
        <w:left w:val="none" w:sz="0" w:space="0" w:color="auto"/>
        <w:bottom w:val="none" w:sz="0" w:space="0" w:color="auto"/>
        <w:right w:val="none" w:sz="0" w:space="0" w:color="auto"/>
      </w:divBdr>
    </w:div>
    <w:div w:id="469321587">
      <w:bodyDiv w:val="1"/>
      <w:marLeft w:val="0"/>
      <w:marRight w:val="0"/>
      <w:marTop w:val="0"/>
      <w:marBottom w:val="0"/>
      <w:divBdr>
        <w:top w:val="none" w:sz="0" w:space="0" w:color="auto"/>
        <w:left w:val="none" w:sz="0" w:space="0" w:color="auto"/>
        <w:bottom w:val="none" w:sz="0" w:space="0" w:color="auto"/>
        <w:right w:val="none" w:sz="0" w:space="0" w:color="auto"/>
      </w:divBdr>
    </w:div>
    <w:div w:id="482043654">
      <w:bodyDiv w:val="1"/>
      <w:marLeft w:val="0"/>
      <w:marRight w:val="0"/>
      <w:marTop w:val="0"/>
      <w:marBottom w:val="0"/>
      <w:divBdr>
        <w:top w:val="none" w:sz="0" w:space="0" w:color="auto"/>
        <w:left w:val="none" w:sz="0" w:space="0" w:color="auto"/>
        <w:bottom w:val="none" w:sz="0" w:space="0" w:color="auto"/>
        <w:right w:val="none" w:sz="0" w:space="0" w:color="auto"/>
      </w:divBdr>
    </w:div>
    <w:div w:id="485557591">
      <w:bodyDiv w:val="1"/>
      <w:marLeft w:val="0"/>
      <w:marRight w:val="0"/>
      <w:marTop w:val="0"/>
      <w:marBottom w:val="0"/>
      <w:divBdr>
        <w:top w:val="none" w:sz="0" w:space="0" w:color="auto"/>
        <w:left w:val="none" w:sz="0" w:space="0" w:color="auto"/>
        <w:bottom w:val="none" w:sz="0" w:space="0" w:color="auto"/>
        <w:right w:val="none" w:sz="0" w:space="0" w:color="auto"/>
      </w:divBdr>
    </w:div>
    <w:div w:id="486676664">
      <w:bodyDiv w:val="1"/>
      <w:marLeft w:val="0"/>
      <w:marRight w:val="0"/>
      <w:marTop w:val="0"/>
      <w:marBottom w:val="0"/>
      <w:divBdr>
        <w:top w:val="none" w:sz="0" w:space="0" w:color="auto"/>
        <w:left w:val="none" w:sz="0" w:space="0" w:color="auto"/>
        <w:bottom w:val="none" w:sz="0" w:space="0" w:color="auto"/>
        <w:right w:val="none" w:sz="0" w:space="0" w:color="auto"/>
      </w:divBdr>
    </w:div>
    <w:div w:id="487939973">
      <w:bodyDiv w:val="1"/>
      <w:marLeft w:val="0"/>
      <w:marRight w:val="0"/>
      <w:marTop w:val="0"/>
      <w:marBottom w:val="0"/>
      <w:divBdr>
        <w:top w:val="none" w:sz="0" w:space="0" w:color="auto"/>
        <w:left w:val="none" w:sz="0" w:space="0" w:color="auto"/>
        <w:bottom w:val="none" w:sz="0" w:space="0" w:color="auto"/>
        <w:right w:val="none" w:sz="0" w:space="0" w:color="auto"/>
      </w:divBdr>
    </w:div>
    <w:div w:id="488636714">
      <w:bodyDiv w:val="1"/>
      <w:marLeft w:val="0"/>
      <w:marRight w:val="0"/>
      <w:marTop w:val="0"/>
      <w:marBottom w:val="0"/>
      <w:divBdr>
        <w:top w:val="none" w:sz="0" w:space="0" w:color="auto"/>
        <w:left w:val="none" w:sz="0" w:space="0" w:color="auto"/>
        <w:bottom w:val="none" w:sz="0" w:space="0" w:color="auto"/>
        <w:right w:val="none" w:sz="0" w:space="0" w:color="auto"/>
      </w:divBdr>
    </w:div>
    <w:div w:id="496582207">
      <w:bodyDiv w:val="1"/>
      <w:marLeft w:val="0"/>
      <w:marRight w:val="0"/>
      <w:marTop w:val="0"/>
      <w:marBottom w:val="0"/>
      <w:divBdr>
        <w:top w:val="none" w:sz="0" w:space="0" w:color="auto"/>
        <w:left w:val="none" w:sz="0" w:space="0" w:color="auto"/>
        <w:bottom w:val="none" w:sz="0" w:space="0" w:color="auto"/>
        <w:right w:val="none" w:sz="0" w:space="0" w:color="auto"/>
      </w:divBdr>
    </w:div>
    <w:div w:id="500315279">
      <w:bodyDiv w:val="1"/>
      <w:marLeft w:val="0"/>
      <w:marRight w:val="0"/>
      <w:marTop w:val="0"/>
      <w:marBottom w:val="0"/>
      <w:divBdr>
        <w:top w:val="none" w:sz="0" w:space="0" w:color="auto"/>
        <w:left w:val="none" w:sz="0" w:space="0" w:color="auto"/>
        <w:bottom w:val="none" w:sz="0" w:space="0" w:color="auto"/>
        <w:right w:val="none" w:sz="0" w:space="0" w:color="auto"/>
      </w:divBdr>
    </w:div>
    <w:div w:id="502210502">
      <w:bodyDiv w:val="1"/>
      <w:marLeft w:val="0"/>
      <w:marRight w:val="0"/>
      <w:marTop w:val="0"/>
      <w:marBottom w:val="0"/>
      <w:divBdr>
        <w:top w:val="none" w:sz="0" w:space="0" w:color="auto"/>
        <w:left w:val="none" w:sz="0" w:space="0" w:color="auto"/>
        <w:bottom w:val="none" w:sz="0" w:space="0" w:color="auto"/>
        <w:right w:val="none" w:sz="0" w:space="0" w:color="auto"/>
      </w:divBdr>
    </w:div>
    <w:div w:id="505824371">
      <w:bodyDiv w:val="1"/>
      <w:marLeft w:val="0"/>
      <w:marRight w:val="0"/>
      <w:marTop w:val="0"/>
      <w:marBottom w:val="0"/>
      <w:divBdr>
        <w:top w:val="none" w:sz="0" w:space="0" w:color="auto"/>
        <w:left w:val="none" w:sz="0" w:space="0" w:color="auto"/>
        <w:bottom w:val="none" w:sz="0" w:space="0" w:color="auto"/>
        <w:right w:val="none" w:sz="0" w:space="0" w:color="auto"/>
      </w:divBdr>
    </w:div>
    <w:div w:id="510220941">
      <w:bodyDiv w:val="1"/>
      <w:marLeft w:val="0"/>
      <w:marRight w:val="0"/>
      <w:marTop w:val="0"/>
      <w:marBottom w:val="0"/>
      <w:divBdr>
        <w:top w:val="none" w:sz="0" w:space="0" w:color="auto"/>
        <w:left w:val="none" w:sz="0" w:space="0" w:color="auto"/>
        <w:bottom w:val="none" w:sz="0" w:space="0" w:color="auto"/>
        <w:right w:val="none" w:sz="0" w:space="0" w:color="auto"/>
      </w:divBdr>
    </w:div>
    <w:div w:id="514416681">
      <w:bodyDiv w:val="1"/>
      <w:marLeft w:val="0"/>
      <w:marRight w:val="0"/>
      <w:marTop w:val="0"/>
      <w:marBottom w:val="0"/>
      <w:divBdr>
        <w:top w:val="none" w:sz="0" w:space="0" w:color="auto"/>
        <w:left w:val="none" w:sz="0" w:space="0" w:color="auto"/>
        <w:bottom w:val="none" w:sz="0" w:space="0" w:color="auto"/>
        <w:right w:val="none" w:sz="0" w:space="0" w:color="auto"/>
      </w:divBdr>
    </w:div>
    <w:div w:id="516962035">
      <w:bodyDiv w:val="1"/>
      <w:marLeft w:val="0"/>
      <w:marRight w:val="0"/>
      <w:marTop w:val="0"/>
      <w:marBottom w:val="0"/>
      <w:divBdr>
        <w:top w:val="none" w:sz="0" w:space="0" w:color="auto"/>
        <w:left w:val="none" w:sz="0" w:space="0" w:color="auto"/>
        <w:bottom w:val="none" w:sz="0" w:space="0" w:color="auto"/>
        <w:right w:val="none" w:sz="0" w:space="0" w:color="auto"/>
      </w:divBdr>
    </w:div>
    <w:div w:id="518813992">
      <w:bodyDiv w:val="1"/>
      <w:marLeft w:val="0"/>
      <w:marRight w:val="0"/>
      <w:marTop w:val="0"/>
      <w:marBottom w:val="0"/>
      <w:divBdr>
        <w:top w:val="none" w:sz="0" w:space="0" w:color="auto"/>
        <w:left w:val="none" w:sz="0" w:space="0" w:color="auto"/>
        <w:bottom w:val="none" w:sz="0" w:space="0" w:color="auto"/>
        <w:right w:val="none" w:sz="0" w:space="0" w:color="auto"/>
      </w:divBdr>
    </w:div>
    <w:div w:id="520583345">
      <w:bodyDiv w:val="1"/>
      <w:marLeft w:val="0"/>
      <w:marRight w:val="0"/>
      <w:marTop w:val="0"/>
      <w:marBottom w:val="0"/>
      <w:divBdr>
        <w:top w:val="none" w:sz="0" w:space="0" w:color="auto"/>
        <w:left w:val="none" w:sz="0" w:space="0" w:color="auto"/>
        <w:bottom w:val="none" w:sz="0" w:space="0" w:color="auto"/>
        <w:right w:val="none" w:sz="0" w:space="0" w:color="auto"/>
      </w:divBdr>
    </w:div>
    <w:div w:id="531308555">
      <w:bodyDiv w:val="1"/>
      <w:marLeft w:val="0"/>
      <w:marRight w:val="0"/>
      <w:marTop w:val="0"/>
      <w:marBottom w:val="0"/>
      <w:divBdr>
        <w:top w:val="none" w:sz="0" w:space="0" w:color="auto"/>
        <w:left w:val="none" w:sz="0" w:space="0" w:color="auto"/>
        <w:bottom w:val="none" w:sz="0" w:space="0" w:color="auto"/>
        <w:right w:val="none" w:sz="0" w:space="0" w:color="auto"/>
      </w:divBdr>
    </w:div>
    <w:div w:id="531958438">
      <w:bodyDiv w:val="1"/>
      <w:marLeft w:val="0"/>
      <w:marRight w:val="0"/>
      <w:marTop w:val="0"/>
      <w:marBottom w:val="0"/>
      <w:divBdr>
        <w:top w:val="none" w:sz="0" w:space="0" w:color="auto"/>
        <w:left w:val="none" w:sz="0" w:space="0" w:color="auto"/>
        <w:bottom w:val="none" w:sz="0" w:space="0" w:color="auto"/>
        <w:right w:val="none" w:sz="0" w:space="0" w:color="auto"/>
      </w:divBdr>
    </w:div>
    <w:div w:id="533078441">
      <w:bodyDiv w:val="1"/>
      <w:marLeft w:val="0"/>
      <w:marRight w:val="0"/>
      <w:marTop w:val="0"/>
      <w:marBottom w:val="0"/>
      <w:divBdr>
        <w:top w:val="none" w:sz="0" w:space="0" w:color="auto"/>
        <w:left w:val="none" w:sz="0" w:space="0" w:color="auto"/>
        <w:bottom w:val="none" w:sz="0" w:space="0" w:color="auto"/>
        <w:right w:val="none" w:sz="0" w:space="0" w:color="auto"/>
      </w:divBdr>
    </w:div>
    <w:div w:id="539780683">
      <w:bodyDiv w:val="1"/>
      <w:marLeft w:val="0"/>
      <w:marRight w:val="0"/>
      <w:marTop w:val="0"/>
      <w:marBottom w:val="0"/>
      <w:divBdr>
        <w:top w:val="none" w:sz="0" w:space="0" w:color="auto"/>
        <w:left w:val="none" w:sz="0" w:space="0" w:color="auto"/>
        <w:bottom w:val="none" w:sz="0" w:space="0" w:color="auto"/>
        <w:right w:val="none" w:sz="0" w:space="0" w:color="auto"/>
      </w:divBdr>
    </w:div>
    <w:div w:id="542332955">
      <w:bodyDiv w:val="1"/>
      <w:marLeft w:val="0"/>
      <w:marRight w:val="0"/>
      <w:marTop w:val="0"/>
      <w:marBottom w:val="0"/>
      <w:divBdr>
        <w:top w:val="none" w:sz="0" w:space="0" w:color="auto"/>
        <w:left w:val="none" w:sz="0" w:space="0" w:color="auto"/>
        <w:bottom w:val="none" w:sz="0" w:space="0" w:color="auto"/>
        <w:right w:val="none" w:sz="0" w:space="0" w:color="auto"/>
      </w:divBdr>
    </w:div>
    <w:div w:id="542444201">
      <w:bodyDiv w:val="1"/>
      <w:marLeft w:val="0"/>
      <w:marRight w:val="0"/>
      <w:marTop w:val="0"/>
      <w:marBottom w:val="0"/>
      <w:divBdr>
        <w:top w:val="none" w:sz="0" w:space="0" w:color="auto"/>
        <w:left w:val="none" w:sz="0" w:space="0" w:color="auto"/>
        <w:bottom w:val="none" w:sz="0" w:space="0" w:color="auto"/>
        <w:right w:val="none" w:sz="0" w:space="0" w:color="auto"/>
      </w:divBdr>
    </w:div>
    <w:div w:id="543951189">
      <w:bodyDiv w:val="1"/>
      <w:marLeft w:val="0"/>
      <w:marRight w:val="0"/>
      <w:marTop w:val="0"/>
      <w:marBottom w:val="0"/>
      <w:divBdr>
        <w:top w:val="none" w:sz="0" w:space="0" w:color="auto"/>
        <w:left w:val="none" w:sz="0" w:space="0" w:color="auto"/>
        <w:bottom w:val="none" w:sz="0" w:space="0" w:color="auto"/>
        <w:right w:val="none" w:sz="0" w:space="0" w:color="auto"/>
      </w:divBdr>
    </w:div>
    <w:div w:id="546988325">
      <w:bodyDiv w:val="1"/>
      <w:marLeft w:val="0"/>
      <w:marRight w:val="0"/>
      <w:marTop w:val="0"/>
      <w:marBottom w:val="0"/>
      <w:divBdr>
        <w:top w:val="none" w:sz="0" w:space="0" w:color="auto"/>
        <w:left w:val="none" w:sz="0" w:space="0" w:color="auto"/>
        <w:bottom w:val="none" w:sz="0" w:space="0" w:color="auto"/>
        <w:right w:val="none" w:sz="0" w:space="0" w:color="auto"/>
      </w:divBdr>
    </w:div>
    <w:div w:id="554975342">
      <w:bodyDiv w:val="1"/>
      <w:marLeft w:val="0"/>
      <w:marRight w:val="0"/>
      <w:marTop w:val="0"/>
      <w:marBottom w:val="0"/>
      <w:divBdr>
        <w:top w:val="none" w:sz="0" w:space="0" w:color="auto"/>
        <w:left w:val="none" w:sz="0" w:space="0" w:color="auto"/>
        <w:bottom w:val="none" w:sz="0" w:space="0" w:color="auto"/>
        <w:right w:val="none" w:sz="0" w:space="0" w:color="auto"/>
      </w:divBdr>
    </w:div>
    <w:div w:id="557252890">
      <w:bodyDiv w:val="1"/>
      <w:marLeft w:val="0"/>
      <w:marRight w:val="0"/>
      <w:marTop w:val="0"/>
      <w:marBottom w:val="0"/>
      <w:divBdr>
        <w:top w:val="none" w:sz="0" w:space="0" w:color="auto"/>
        <w:left w:val="none" w:sz="0" w:space="0" w:color="auto"/>
        <w:bottom w:val="none" w:sz="0" w:space="0" w:color="auto"/>
        <w:right w:val="none" w:sz="0" w:space="0" w:color="auto"/>
      </w:divBdr>
    </w:div>
    <w:div w:id="558129761">
      <w:bodyDiv w:val="1"/>
      <w:marLeft w:val="0"/>
      <w:marRight w:val="0"/>
      <w:marTop w:val="0"/>
      <w:marBottom w:val="0"/>
      <w:divBdr>
        <w:top w:val="none" w:sz="0" w:space="0" w:color="auto"/>
        <w:left w:val="none" w:sz="0" w:space="0" w:color="auto"/>
        <w:bottom w:val="none" w:sz="0" w:space="0" w:color="auto"/>
        <w:right w:val="none" w:sz="0" w:space="0" w:color="auto"/>
      </w:divBdr>
    </w:div>
    <w:div w:id="558368660">
      <w:bodyDiv w:val="1"/>
      <w:marLeft w:val="0"/>
      <w:marRight w:val="0"/>
      <w:marTop w:val="0"/>
      <w:marBottom w:val="0"/>
      <w:divBdr>
        <w:top w:val="none" w:sz="0" w:space="0" w:color="auto"/>
        <w:left w:val="none" w:sz="0" w:space="0" w:color="auto"/>
        <w:bottom w:val="none" w:sz="0" w:space="0" w:color="auto"/>
        <w:right w:val="none" w:sz="0" w:space="0" w:color="auto"/>
      </w:divBdr>
    </w:div>
    <w:div w:id="567157722">
      <w:bodyDiv w:val="1"/>
      <w:marLeft w:val="0"/>
      <w:marRight w:val="0"/>
      <w:marTop w:val="0"/>
      <w:marBottom w:val="0"/>
      <w:divBdr>
        <w:top w:val="none" w:sz="0" w:space="0" w:color="auto"/>
        <w:left w:val="none" w:sz="0" w:space="0" w:color="auto"/>
        <w:bottom w:val="none" w:sz="0" w:space="0" w:color="auto"/>
        <w:right w:val="none" w:sz="0" w:space="0" w:color="auto"/>
      </w:divBdr>
    </w:div>
    <w:div w:id="570237922">
      <w:bodyDiv w:val="1"/>
      <w:marLeft w:val="0"/>
      <w:marRight w:val="0"/>
      <w:marTop w:val="0"/>
      <w:marBottom w:val="0"/>
      <w:divBdr>
        <w:top w:val="none" w:sz="0" w:space="0" w:color="auto"/>
        <w:left w:val="none" w:sz="0" w:space="0" w:color="auto"/>
        <w:bottom w:val="none" w:sz="0" w:space="0" w:color="auto"/>
        <w:right w:val="none" w:sz="0" w:space="0" w:color="auto"/>
      </w:divBdr>
    </w:div>
    <w:div w:id="571043713">
      <w:bodyDiv w:val="1"/>
      <w:marLeft w:val="0"/>
      <w:marRight w:val="0"/>
      <w:marTop w:val="0"/>
      <w:marBottom w:val="0"/>
      <w:divBdr>
        <w:top w:val="none" w:sz="0" w:space="0" w:color="auto"/>
        <w:left w:val="none" w:sz="0" w:space="0" w:color="auto"/>
        <w:bottom w:val="none" w:sz="0" w:space="0" w:color="auto"/>
        <w:right w:val="none" w:sz="0" w:space="0" w:color="auto"/>
      </w:divBdr>
    </w:div>
    <w:div w:id="575356964">
      <w:bodyDiv w:val="1"/>
      <w:marLeft w:val="0"/>
      <w:marRight w:val="0"/>
      <w:marTop w:val="0"/>
      <w:marBottom w:val="0"/>
      <w:divBdr>
        <w:top w:val="none" w:sz="0" w:space="0" w:color="auto"/>
        <w:left w:val="none" w:sz="0" w:space="0" w:color="auto"/>
        <w:bottom w:val="none" w:sz="0" w:space="0" w:color="auto"/>
        <w:right w:val="none" w:sz="0" w:space="0" w:color="auto"/>
      </w:divBdr>
    </w:div>
    <w:div w:id="576020281">
      <w:bodyDiv w:val="1"/>
      <w:marLeft w:val="0"/>
      <w:marRight w:val="0"/>
      <w:marTop w:val="0"/>
      <w:marBottom w:val="0"/>
      <w:divBdr>
        <w:top w:val="none" w:sz="0" w:space="0" w:color="auto"/>
        <w:left w:val="none" w:sz="0" w:space="0" w:color="auto"/>
        <w:bottom w:val="none" w:sz="0" w:space="0" w:color="auto"/>
        <w:right w:val="none" w:sz="0" w:space="0" w:color="auto"/>
      </w:divBdr>
    </w:div>
    <w:div w:id="592014802">
      <w:bodyDiv w:val="1"/>
      <w:marLeft w:val="0"/>
      <w:marRight w:val="0"/>
      <w:marTop w:val="0"/>
      <w:marBottom w:val="0"/>
      <w:divBdr>
        <w:top w:val="none" w:sz="0" w:space="0" w:color="auto"/>
        <w:left w:val="none" w:sz="0" w:space="0" w:color="auto"/>
        <w:bottom w:val="none" w:sz="0" w:space="0" w:color="auto"/>
        <w:right w:val="none" w:sz="0" w:space="0" w:color="auto"/>
      </w:divBdr>
    </w:div>
    <w:div w:id="592280270">
      <w:bodyDiv w:val="1"/>
      <w:marLeft w:val="0"/>
      <w:marRight w:val="0"/>
      <w:marTop w:val="0"/>
      <w:marBottom w:val="0"/>
      <w:divBdr>
        <w:top w:val="none" w:sz="0" w:space="0" w:color="auto"/>
        <w:left w:val="none" w:sz="0" w:space="0" w:color="auto"/>
        <w:bottom w:val="none" w:sz="0" w:space="0" w:color="auto"/>
        <w:right w:val="none" w:sz="0" w:space="0" w:color="auto"/>
      </w:divBdr>
    </w:div>
    <w:div w:id="592934625">
      <w:bodyDiv w:val="1"/>
      <w:marLeft w:val="0"/>
      <w:marRight w:val="0"/>
      <w:marTop w:val="0"/>
      <w:marBottom w:val="0"/>
      <w:divBdr>
        <w:top w:val="none" w:sz="0" w:space="0" w:color="auto"/>
        <w:left w:val="none" w:sz="0" w:space="0" w:color="auto"/>
        <w:bottom w:val="none" w:sz="0" w:space="0" w:color="auto"/>
        <w:right w:val="none" w:sz="0" w:space="0" w:color="auto"/>
      </w:divBdr>
    </w:div>
    <w:div w:id="592975336">
      <w:bodyDiv w:val="1"/>
      <w:marLeft w:val="0"/>
      <w:marRight w:val="0"/>
      <w:marTop w:val="0"/>
      <w:marBottom w:val="0"/>
      <w:divBdr>
        <w:top w:val="none" w:sz="0" w:space="0" w:color="auto"/>
        <w:left w:val="none" w:sz="0" w:space="0" w:color="auto"/>
        <w:bottom w:val="none" w:sz="0" w:space="0" w:color="auto"/>
        <w:right w:val="none" w:sz="0" w:space="0" w:color="auto"/>
      </w:divBdr>
    </w:div>
    <w:div w:id="600261640">
      <w:bodyDiv w:val="1"/>
      <w:marLeft w:val="0"/>
      <w:marRight w:val="0"/>
      <w:marTop w:val="0"/>
      <w:marBottom w:val="0"/>
      <w:divBdr>
        <w:top w:val="none" w:sz="0" w:space="0" w:color="auto"/>
        <w:left w:val="none" w:sz="0" w:space="0" w:color="auto"/>
        <w:bottom w:val="none" w:sz="0" w:space="0" w:color="auto"/>
        <w:right w:val="none" w:sz="0" w:space="0" w:color="auto"/>
      </w:divBdr>
    </w:div>
    <w:div w:id="604774747">
      <w:bodyDiv w:val="1"/>
      <w:marLeft w:val="0"/>
      <w:marRight w:val="0"/>
      <w:marTop w:val="0"/>
      <w:marBottom w:val="0"/>
      <w:divBdr>
        <w:top w:val="none" w:sz="0" w:space="0" w:color="auto"/>
        <w:left w:val="none" w:sz="0" w:space="0" w:color="auto"/>
        <w:bottom w:val="none" w:sz="0" w:space="0" w:color="auto"/>
        <w:right w:val="none" w:sz="0" w:space="0" w:color="auto"/>
      </w:divBdr>
    </w:div>
    <w:div w:id="617566732">
      <w:bodyDiv w:val="1"/>
      <w:marLeft w:val="0"/>
      <w:marRight w:val="0"/>
      <w:marTop w:val="0"/>
      <w:marBottom w:val="0"/>
      <w:divBdr>
        <w:top w:val="none" w:sz="0" w:space="0" w:color="auto"/>
        <w:left w:val="none" w:sz="0" w:space="0" w:color="auto"/>
        <w:bottom w:val="none" w:sz="0" w:space="0" w:color="auto"/>
        <w:right w:val="none" w:sz="0" w:space="0" w:color="auto"/>
      </w:divBdr>
    </w:div>
    <w:div w:id="628784418">
      <w:bodyDiv w:val="1"/>
      <w:marLeft w:val="0"/>
      <w:marRight w:val="0"/>
      <w:marTop w:val="0"/>
      <w:marBottom w:val="0"/>
      <w:divBdr>
        <w:top w:val="none" w:sz="0" w:space="0" w:color="auto"/>
        <w:left w:val="none" w:sz="0" w:space="0" w:color="auto"/>
        <w:bottom w:val="none" w:sz="0" w:space="0" w:color="auto"/>
        <w:right w:val="none" w:sz="0" w:space="0" w:color="auto"/>
      </w:divBdr>
    </w:div>
    <w:div w:id="629870581">
      <w:bodyDiv w:val="1"/>
      <w:marLeft w:val="0"/>
      <w:marRight w:val="0"/>
      <w:marTop w:val="0"/>
      <w:marBottom w:val="0"/>
      <w:divBdr>
        <w:top w:val="none" w:sz="0" w:space="0" w:color="auto"/>
        <w:left w:val="none" w:sz="0" w:space="0" w:color="auto"/>
        <w:bottom w:val="none" w:sz="0" w:space="0" w:color="auto"/>
        <w:right w:val="none" w:sz="0" w:space="0" w:color="auto"/>
      </w:divBdr>
    </w:div>
    <w:div w:id="631400955">
      <w:bodyDiv w:val="1"/>
      <w:marLeft w:val="0"/>
      <w:marRight w:val="0"/>
      <w:marTop w:val="0"/>
      <w:marBottom w:val="0"/>
      <w:divBdr>
        <w:top w:val="none" w:sz="0" w:space="0" w:color="auto"/>
        <w:left w:val="none" w:sz="0" w:space="0" w:color="auto"/>
        <w:bottom w:val="none" w:sz="0" w:space="0" w:color="auto"/>
        <w:right w:val="none" w:sz="0" w:space="0" w:color="auto"/>
      </w:divBdr>
    </w:div>
    <w:div w:id="631445168">
      <w:bodyDiv w:val="1"/>
      <w:marLeft w:val="0"/>
      <w:marRight w:val="0"/>
      <w:marTop w:val="0"/>
      <w:marBottom w:val="0"/>
      <w:divBdr>
        <w:top w:val="none" w:sz="0" w:space="0" w:color="auto"/>
        <w:left w:val="none" w:sz="0" w:space="0" w:color="auto"/>
        <w:bottom w:val="none" w:sz="0" w:space="0" w:color="auto"/>
        <w:right w:val="none" w:sz="0" w:space="0" w:color="auto"/>
      </w:divBdr>
    </w:div>
    <w:div w:id="632642271">
      <w:bodyDiv w:val="1"/>
      <w:marLeft w:val="0"/>
      <w:marRight w:val="0"/>
      <w:marTop w:val="0"/>
      <w:marBottom w:val="0"/>
      <w:divBdr>
        <w:top w:val="none" w:sz="0" w:space="0" w:color="auto"/>
        <w:left w:val="none" w:sz="0" w:space="0" w:color="auto"/>
        <w:bottom w:val="none" w:sz="0" w:space="0" w:color="auto"/>
        <w:right w:val="none" w:sz="0" w:space="0" w:color="auto"/>
      </w:divBdr>
    </w:div>
    <w:div w:id="652026951">
      <w:bodyDiv w:val="1"/>
      <w:marLeft w:val="0"/>
      <w:marRight w:val="0"/>
      <w:marTop w:val="0"/>
      <w:marBottom w:val="0"/>
      <w:divBdr>
        <w:top w:val="none" w:sz="0" w:space="0" w:color="auto"/>
        <w:left w:val="none" w:sz="0" w:space="0" w:color="auto"/>
        <w:bottom w:val="none" w:sz="0" w:space="0" w:color="auto"/>
        <w:right w:val="none" w:sz="0" w:space="0" w:color="auto"/>
      </w:divBdr>
    </w:div>
    <w:div w:id="653996940">
      <w:bodyDiv w:val="1"/>
      <w:marLeft w:val="0"/>
      <w:marRight w:val="0"/>
      <w:marTop w:val="0"/>
      <w:marBottom w:val="0"/>
      <w:divBdr>
        <w:top w:val="none" w:sz="0" w:space="0" w:color="auto"/>
        <w:left w:val="none" w:sz="0" w:space="0" w:color="auto"/>
        <w:bottom w:val="none" w:sz="0" w:space="0" w:color="auto"/>
        <w:right w:val="none" w:sz="0" w:space="0" w:color="auto"/>
      </w:divBdr>
    </w:div>
    <w:div w:id="656416250">
      <w:bodyDiv w:val="1"/>
      <w:marLeft w:val="0"/>
      <w:marRight w:val="0"/>
      <w:marTop w:val="0"/>
      <w:marBottom w:val="0"/>
      <w:divBdr>
        <w:top w:val="none" w:sz="0" w:space="0" w:color="auto"/>
        <w:left w:val="none" w:sz="0" w:space="0" w:color="auto"/>
        <w:bottom w:val="none" w:sz="0" w:space="0" w:color="auto"/>
        <w:right w:val="none" w:sz="0" w:space="0" w:color="auto"/>
      </w:divBdr>
    </w:div>
    <w:div w:id="657001536">
      <w:bodyDiv w:val="1"/>
      <w:marLeft w:val="0"/>
      <w:marRight w:val="0"/>
      <w:marTop w:val="0"/>
      <w:marBottom w:val="0"/>
      <w:divBdr>
        <w:top w:val="none" w:sz="0" w:space="0" w:color="auto"/>
        <w:left w:val="none" w:sz="0" w:space="0" w:color="auto"/>
        <w:bottom w:val="none" w:sz="0" w:space="0" w:color="auto"/>
        <w:right w:val="none" w:sz="0" w:space="0" w:color="auto"/>
      </w:divBdr>
    </w:div>
    <w:div w:id="658003938">
      <w:bodyDiv w:val="1"/>
      <w:marLeft w:val="0"/>
      <w:marRight w:val="0"/>
      <w:marTop w:val="0"/>
      <w:marBottom w:val="0"/>
      <w:divBdr>
        <w:top w:val="none" w:sz="0" w:space="0" w:color="auto"/>
        <w:left w:val="none" w:sz="0" w:space="0" w:color="auto"/>
        <w:bottom w:val="none" w:sz="0" w:space="0" w:color="auto"/>
        <w:right w:val="none" w:sz="0" w:space="0" w:color="auto"/>
      </w:divBdr>
    </w:div>
    <w:div w:id="671954298">
      <w:bodyDiv w:val="1"/>
      <w:marLeft w:val="0"/>
      <w:marRight w:val="0"/>
      <w:marTop w:val="0"/>
      <w:marBottom w:val="0"/>
      <w:divBdr>
        <w:top w:val="none" w:sz="0" w:space="0" w:color="auto"/>
        <w:left w:val="none" w:sz="0" w:space="0" w:color="auto"/>
        <w:bottom w:val="none" w:sz="0" w:space="0" w:color="auto"/>
        <w:right w:val="none" w:sz="0" w:space="0" w:color="auto"/>
      </w:divBdr>
    </w:div>
    <w:div w:id="671956096">
      <w:bodyDiv w:val="1"/>
      <w:marLeft w:val="0"/>
      <w:marRight w:val="0"/>
      <w:marTop w:val="0"/>
      <w:marBottom w:val="0"/>
      <w:divBdr>
        <w:top w:val="none" w:sz="0" w:space="0" w:color="auto"/>
        <w:left w:val="none" w:sz="0" w:space="0" w:color="auto"/>
        <w:bottom w:val="none" w:sz="0" w:space="0" w:color="auto"/>
        <w:right w:val="none" w:sz="0" w:space="0" w:color="auto"/>
      </w:divBdr>
    </w:div>
    <w:div w:id="682897365">
      <w:bodyDiv w:val="1"/>
      <w:marLeft w:val="0"/>
      <w:marRight w:val="0"/>
      <w:marTop w:val="0"/>
      <w:marBottom w:val="0"/>
      <w:divBdr>
        <w:top w:val="none" w:sz="0" w:space="0" w:color="auto"/>
        <w:left w:val="none" w:sz="0" w:space="0" w:color="auto"/>
        <w:bottom w:val="none" w:sz="0" w:space="0" w:color="auto"/>
        <w:right w:val="none" w:sz="0" w:space="0" w:color="auto"/>
      </w:divBdr>
    </w:div>
    <w:div w:id="687871365">
      <w:bodyDiv w:val="1"/>
      <w:marLeft w:val="0"/>
      <w:marRight w:val="0"/>
      <w:marTop w:val="0"/>
      <w:marBottom w:val="0"/>
      <w:divBdr>
        <w:top w:val="none" w:sz="0" w:space="0" w:color="auto"/>
        <w:left w:val="none" w:sz="0" w:space="0" w:color="auto"/>
        <w:bottom w:val="none" w:sz="0" w:space="0" w:color="auto"/>
        <w:right w:val="none" w:sz="0" w:space="0" w:color="auto"/>
      </w:divBdr>
    </w:div>
    <w:div w:id="691497130">
      <w:bodyDiv w:val="1"/>
      <w:marLeft w:val="0"/>
      <w:marRight w:val="0"/>
      <w:marTop w:val="0"/>
      <w:marBottom w:val="0"/>
      <w:divBdr>
        <w:top w:val="none" w:sz="0" w:space="0" w:color="auto"/>
        <w:left w:val="none" w:sz="0" w:space="0" w:color="auto"/>
        <w:bottom w:val="none" w:sz="0" w:space="0" w:color="auto"/>
        <w:right w:val="none" w:sz="0" w:space="0" w:color="auto"/>
      </w:divBdr>
    </w:div>
    <w:div w:id="692388113">
      <w:bodyDiv w:val="1"/>
      <w:marLeft w:val="0"/>
      <w:marRight w:val="0"/>
      <w:marTop w:val="0"/>
      <w:marBottom w:val="0"/>
      <w:divBdr>
        <w:top w:val="none" w:sz="0" w:space="0" w:color="auto"/>
        <w:left w:val="none" w:sz="0" w:space="0" w:color="auto"/>
        <w:bottom w:val="none" w:sz="0" w:space="0" w:color="auto"/>
        <w:right w:val="none" w:sz="0" w:space="0" w:color="auto"/>
      </w:divBdr>
    </w:div>
    <w:div w:id="696195525">
      <w:bodyDiv w:val="1"/>
      <w:marLeft w:val="0"/>
      <w:marRight w:val="0"/>
      <w:marTop w:val="0"/>
      <w:marBottom w:val="0"/>
      <w:divBdr>
        <w:top w:val="none" w:sz="0" w:space="0" w:color="auto"/>
        <w:left w:val="none" w:sz="0" w:space="0" w:color="auto"/>
        <w:bottom w:val="none" w:sz="0" w:space="0" w:color="auto"/>
        <w:right w:val="none" w:sz="0" w:space="0" w:color="auto"/>
      </w:divBdr>
    </w:div>
    <w:div w:id="702023088">
      <w:bodyDiv w:val="1"/>
      <w:marLeft w:val="0"/>
      <w:marRight w:val="0"/>
      <w:marTop w:val="0"/>
      <w:marBottom w:val="0"/>
      <w:divBdr>
        <w:top w:val="none" w:sz="0" w:space="0" w:color="auto"/>
        <w:left w:val="none" w:sz="0" w:space="0" w:color="auto"/>
        <w:bottom w:val="none" w:sz="0" w:space="0" w:color="auto"/>
        <w:right w:val="none" w:sz="0" w:space="0" w:color="auto"/>
      </w:divBdr>
    </w:div>
    <w:div w:id="702097700">
      <w:bodyDiv w:val="1"/>
      <w:marLeft w:val="0"/>
      <w:marRight w:val="0"/>
      <w:marTop w:val="0"/>
      <w:marBottom w:val="0"/>
      <w:divBdr>
        <w:top w:val="none" w:sz="0" w:space="0" w:color="auto"/>
        <w:left w:val="none" w:sz="0" w:space="0" w:color="auto"/>
        <w:bottom w:val="none" w:sz="0" w:space="0" w:color="auto"/>
        <w:right w:val="none" w:sz="0" w:space="0" w:color="auto"/>
      </w:divBdr>
    </w:div>
    <w:div w:id="702947030">
      <w:bodyDiv w:val="1"/>
      <w:marLeft w:val="0"/>
      <w:marRight w:val="0"/>
      <w:marTop w:val="0"/>
      <w:marBottom w:val="0"/>
      <w:divBdr>
        <w:top w:val="none" w:sz="0" w:space="0" w:color="auto"/>
        <w:left w:val="none" w:sz="0" w:space="0" w:color="auto"/>
        <w:bottom w:val="none" w:sz="0" w:space="0" w:color="auto"/>
        <w:right w:val="none" w:sz="0" w:space="0" w:color="auto"/>
      </w:divBdr>
    </w:div>
    <w:div w:id="719019481">
      <w:bodyDiv w:val="1"/>
      <w:marLeft w:val="0"/>
      <w:marRight w:val="0"/>
      <w:marTop w:val="0"/>
      <w:marBottom w:val="0"/>
      <w:divBdr>
        <w:top w:val="none" w:sz="0" w:space="0" w:color="auto"/>
        <w:left w:val="none" w:sz="0" w:space="0" w:color="auto"/>
        <w:bottom w:val="none" w:sz="0" w:space="0" w:color="auto"/>
        <w:right w:val="none" w:sz="0" w:space="0" w:color="auto"/>
      </w:divBdr>
    </w:div>
    <w:div w:id="732780059">
      <w:bodyDiv w:val="1"/>
      <w:marLeft w:val="0"/>
      <w:marRight w:val="0"/>
      <w:marTop w:val="0"/>
      <w:marBottom w:val="0"/>
      <w:divBdr>
        <w:top w:val="none" w:sz="0" w:space="0" w:color="auto"/>
        <w:left w:val="none" w:sz="0" w:space="0" w:color="auto"/>
        <w:bottom w:val="none" w:sz="0" w:space="0" w:color="auto"/>
        <w:right w:val="none" w:sz="0" w:space="0" w:color="auto"/>
      </w:divBdr>
    </w:div>
    <w:div w:id="736786947">
      <w:bodyDiv w:val="1"/>
      <w:marLeft w:val="0"/>
      <w:marRight w:val="0"/>
      <w:marTop w:val="0"/>
      <w:marBottom w:val="0"/>
      <w:divBdr>
        <w:top w:val="none" w:sz="0" w:space="0" w:color="auto"/>
        <w:left w:val="none" w:sz="0" w:space="0" w:color="auto"/>
        <w:bottom w:val="none" w:sz="0" w:space="0" w:color="auto"/>
        <w:right w:val="none" w:sz="0" w:space="0" w:color="auto"/>
      </w:divBdr>
    </w:div>
    <w:div w:id="742802953">
      <w:bodyDiv w:val="1"/>
      <w:marLeft w:val="0"/>
      <w:marRight w:val="0"/>
      <w:marTop w:val="0"/>
      <w:marBottom w:val="0"/>
      <w:divBdr>
        <w:top w:val="none" w:sz="0" w:space="0" w:color="auto"/>
        <w:left w:val="none" w:sz="0" w:space="0" w:color="auto"/>
        <w:bottom w:val="none" w:sz="0" w:space="0" w:color="auto"/>
        <w:right w:val="none" w:sz="0" w:space="0" w:color="auto"/>
      </w:divBdr>
    </w:div>
    <w:div w:id="754666535">
      <w:bodyDiv w:val="1"/>
      <w:marLeft w:val="0"/>
      <w:marRight w:val="0"/>
      <w:marTop w:val="0"/>
      <w:marBottom w:val="0"/>
      <w:divBdr>
        <w:top w:val="none" w:sz="0" w:space="0" w:color="auto"/>
        <w:left w:val="none" w:sz="0" w:space="0" w:color="auto"/>
        <w:bottom w:val="none" w:sz="0" w:space="0" w:color="auto"/>
        <w:right w:val="none" w:sz="0" w:space="0" w:color="auto"/>
      </w:divBdr>
    </w:div>
    <w:div w:id="756367928">
      <w:bodyDiv w:val="1"/>
      <w:marLeft w:val="0"/>
      <w:marRight w:val="0"/>
      <w:marTop w:val="0"/>
      <w:marBottom w:val="0"/>
      <w:divBdr>
        <w:top w:val="none" w:sz="0" w:space="0" w:color="auto"/>
        <w:left w:val="none" w:sz="0" w:space="0" w:color="auto"/>
        <w:bottom w:val="none" w:sz="0" w:space="0" w:color="auto"/>
        <w:right w:val="none" w:sz="0" w:space="0" w:color="auto"/>
      </w:divBdr>
    </w:div>
    <w:div w:id="760679823">
      <w:bodyDiv w:val="1"/>
      <w:marLeft w:val="0"/>
      <w:marRight w:val="0"/>
      <w:marTop w:val="0"/>
      <w:marBottom w:val="0"/>
      <w:divBdr>
        <w:top w:val="none" w:sz="0" w:space="0" w:color="auto"/>
        <w:left w:val="none" w:sz="0" w:space="0" w:color="auto"/>
        <w:bottom w:val="none" w:sz="0" w:space="0" w:color="auto"/>
        <w:right w:val="none" w:sz="0" w:space="0" w:color="auto"/>
      </w:divBdr>
    </w:div>
    <w:div w:id="762803753">
      <w:bodyDiv w:val="1"/>
      <w:marLeft w:val="0"/>
      <w:marRight w:val="0"/>
      <w:marTop w:val="0"/>
      <w:marBottom w:val="0"/>
      <w:divBdr>
        <w:top w:val="none" w:sz="0" w:space="0" w:color="auto"/>
        <w:left w:val="none" w:sz="0" w:space="0" w:color="auto"/>
        <w:bottom w:val="none" w:sz="0" w:space="0" w:color="auto"/>
        <w:right w:val="none" w:sz="0" w:space="0" w:color="auto"/>
      </w:divBdr>
    </w:div>
    <w:div w:id="763692650">
      <w:bodyDiv w:val="1"/>
      <w:marLeft w:val="0"/>
      <w:marRight w:val="0"/>
      <w:marTop w:val="0"/>
      <w:marBottom w:val="0"/>
      <w:divBdr>
        <w:top w:val="none" w:sz="0" w:space="0" w:color="auto"/>
        <w:left w:val="none" w:sz="0" w:space="0" w:color="auto"/>
        <w:bottom w:val="none" w:sz="0" w:space="0" w:color="auto"/>
        <w:right w:val="none" w:sz="0" w:space="0" w:color="auto"/>
      </w:divBdr>
    </w:div>
    <w:div w:id="774715018">
      <w:bodyDiv w:val="1"/>
      <w:marLeft w:val="0"/>
      <w:marRight w:val="0"/>
      <w:marTop w:val="0"/>
      <w:marBottom w:val="0"/>
      <w:divBdr>
        <w:top w:val="none" w:sz="0" w:space="0" w:color="auto"/>
        <w:left w:val="none" w:sz="0" w:space="0" w:color="auto"/>
        <w:bottom w:val="none" w:sz="0" w:space="0" w:color="auto"/>
        <w:right w:val="none" w:sz="0" w:space="0" w:color="auto"/>
      </w:divBdr>
    </w:div>
    <w:div w:id="777335231">
      <w:bodyDiv w:val="1"/>
      <w:marLeft w:val="0"/>
      <w:marRight w:val="0"/>
      <w:marTop w:val="0"/>
      <w:marBottom w:val="0"/>
      <w:divBdr>
        <w:top w:val="none" w:sz="0" w:space="0" w:color="auto"/>
        <w:left w:val="none" w:sz="0" w:space="0" w:color="auto"/>
        <w:bottom w:val="none" w:sz="0" w:space="0" w:color="auto"/>
        <w:right w:val="none" w:sz="0" w:space="0" w:color="auto"/>
      </w:divBdr>
    </w:div>
    <w:div w:id="779452219">
      <w:bodyDiv w:val="1"/>
      <w:marLeft w:val="0"/>
      <w:marRight w:val="0"/>
      <w:marTop w:val="0"/>
      <w:marBottom w:val="0"/>
      <w:divBdr>
        <w:top w:val="none" w:sz="0" w:space="0" w:color="auto"/>
        <w:left w:val="none" w:sz="0" w:space="0" w:color="auto"/>
        <w:bottom w:val="none" w:sz="0" w:space="0" w:color="auto"/>
        <w:right w:val="none" w:sz="0" w:space="0" w:color="auto"/>
      </w:divBdr>
    </w:div>
    <w:div w:id="789281624">
      <w:bodyDiv w:val="1"/>
      <w:marLeft w:val="0"/>
      <w:marRight w:val="0"/>
      <w:marTop w:val="0"/>
      <w:marBottom w:val="0"/>
      <w:divBdr>
        <w:top w:val="none" w:sz="0" w:space="0" w:color="auto"/>
        <w:left w:val="none" w:sz="0" w:space="0" w:color="auto"/>
        <w:bottom w:val="none" w:sz="0" w:space="0" w:color="auto"/>
        <w:right w:val="none" w:sz="0" w:space="0" w:color="auto"/>
      </w:divBdr>
    </w:div>
    <w:div w:id="791558341">
      <w:bodyDiv w:val="1"/>
      <w:marLeft w:val="0"/>
      <w:marRight w:val="0"/>
      <w:marTop w:val="0"/>
      <w:marBottom w:val="0"/>
      <w:divBdr>
        <w:top w:val="none" w:sz="0" w:space="0" w:color="auto"/>
        <w:left w:val="none" w:sz="0" w:space="0" w:color="auto"/>
        <w:bottom w:val="none" w:sz="0" w:space="0" w:color="auto"/>
        <w:right w:val="none" w:sz="0" w:space="0" w:color="auto"/>
      </w:divBdr>
    </w:div>
    <w:div w:id="792023862">
      <w:bodyDiv w:val="1"/>
      <w:marLeft w:val="0"/>
      <w:marRight w:val="0"/>
      <w:marTop w:val="0"/>
      <w:marBottom w:val="0"/>
      <w:divBdr>
        <w:top w:val="none" w:sz="0" w:space="0" w:color="auto"/>
        <w:left w:val="none" w:sz="0" w:space="0" w:color="auto"/>
        <w:bottom w:val="none" w:sz="0" w:space="0" w:color="auto"/>
        <w:right w:val="none" w:sz="0" w:space="0" w:color="auto"/>
      </w:divBdr>
    </w:div>
    <w:div w:id="831216321">
      <w:bodyDiv w:val="1"/>
      <w:marLeft w:val="0"/>
      <w:marRight w:val="0"/>
      <w:marTop w:val="0"/>
      <w:marBottom w:val="0"/>
      <w:divBdr>
        <w:top w:val="none" w:sz="0" w:space="0" w:color="auto"/>
        <w:left w:val="none" w:sz="0" w:space="0" w:color="auto"/>
        <w:bottom w:val="none" w:sz="0" w:space="0" w:color="auto"/>
        <w:right w:val="none" w:sz="0" w:space="0" w:color="auto"/>
      </w:divBdr>
    </w:div>
    <w:div w:id="844326588">
      <w:bodyDiv w:val="1"/>
      <w:marLeft w:val="0"/>
      <w:marRight w:val="0"/>
      <w:marTop w:val="0"/>
      <w:marBottom w:val="0"/>
      <w:divBdr>
        <w:top w:val="none" w:sz="0" w:space="0" w:color="auto"/>
        <w:left w:val="none" w:sz="0" w:space="0" w:color="auto"/>
        <w:bottom w:val="none" w:sz="0" w:space="0" w:color="auto"/>
        <w:right w:val="none" w:sz="0" w:space="0" w:color="auto"/>
      </w:divBdr>
    </w:div>
    <w:div w:id="845024185">
      <w:bodyDiv w:val="1"/>
      <w:marLeft w:val="0"/>
      <w:marRight w:val="0"/>
      <w:marTop w:val="0"/>
      <w:marBottom w:val="0"/>
      <w:divBdr>
        <w:top w:val="none" w:sz="0" w:space="0" w:color="auto"/>
        <w:left w:val="none" w:sz="0" w:space="0" w:color="auto"/>
        <w:bottom w:val="none" w:sz="0" w:space="0" w:color="auto"/>
        <w:right w:val="none" w:sz="0" w:space="0" w:color="auto"/>
      </w:divBdr>
    </w:div>
    <w:div w:id="845746673">
      <w:bodyDiv w:val="1"/>
      <w:marLeft w:val="0"/>
      <w:marRight w:val="0"/>
      <w:marTop w:val="0"/>
      <w:marBottom w:val="0"/>
      <w:divBdr>
        <w:top w:val="none" w:sz="0" w:space="0" w:color="auto"/>
        <w:left w:val="none" w:sz="0" w:space="0" w:color="auto"/>
        <w:bottom w:val="none" w:sz="0" w:space="0" w:color="auto"/>
        <w:right w:val="none" w:sz="0" w:space="0" w:color="auto"/>
      </w:divBdr>
    </w:div>
    <w:div w:id="855122393">
      <w:bodyDiv w:val="1"/>
      <w:marLeft w:val="0"/>
      <w:marRight w:val="0"/>
      <w:marTop w:val="0"/>
      <w:marBottom w:val="0"/>
      <w:divBdr>
        <w:top w:val="none" w:sz="0" w:space="0" w:color="auto"/>
        <w:left w:val="none" w:sz="0" w:space="0" w:color="auto"/>
        <w:bottom w:val="none" w:sz="0" w:space="0" w:color="auto"/>
        <w:right w:val="none" w:sz="0" w:space="0" w:color="auto"/>
      </w:divBdr>
    </w:div>
    <w:div w:id="859509029">
      <w:bodyDiv w:val="1"/>
      <w:marLeft w:val="0"/>
      <w:marRight w:val="0"/>
      <w:marTop w:val="0"/>
      <w:marBottom w:val="0"/>
      <w:divBdr>
        <w:top w:val="none" w:sz="0" w:space="0" w:color="auto"/>
        <w:left w:val="none" w:sz="0" w:space="0" w:color="auto"/>
        <w:bottom w:val="none" w:sz="0" w:space="0" w:color="auto"/>
        <w:right w:val="none" w:sz="0" w:space="0" w:color="auto"/>
      </w:divBdr>
    </w:div>
    <w:div w:id="871184984">
      <w:bodyDiv w:val="1"/>
      <w:marLeft w:val="0"/>
      <w:marRight w:val="0"/>
      <w:marTop w:val="0"/>
      <w:marBottom w:val="0"/>
      <w:divBdr>
        <w:top w:val="none" w:sz="0" w:space="0" w:color="auto"/>
        <w:left w:val="none" w:sz="0" w:space="0" w:color="auto"/>
        <w:bottom w:val="none" w:sz="0" w:space="0" w:color="auto"/>
        <w:right w:val="none" w:sz="0" w:space="0" w:color="auto"/>
      </w:divBdr>
    </w:div>
    <w:div w:id="873812393">
      <w:bodyDiv w:val="1"/>
      <w:marLeft w:val="0"/>
      <w:marRight w:val="0"/>
      <w:marTop w:val="0"/>
      <w:marBottom w:val="0"/>
      <w:divBdr>
        <w:top w:val="none" w:sz="0" w:space="0" w:color="auto"/>
        <w:left w:val="none" w:sz="0" w:space="0" w:color="auto"/>
        <w:bottom w:val="none" w:sz="0" w:space="0" w:color="auto"/>
        <w:right w:val="none" w:sz="0" w:space="0" w:color="auto"/>
      </w:divBdr>
    </w:div>
    <w:div w:id="882248275">
      <w:bodyDiv w:val="1"/>
      <w:marLeft w:val="0"/>
      <w:marRight w:val="0"/>
      <w:marTop w:val="0"/>
      <w:marBottom w:val="0"/>
      <w:divBdr>
        <w:top w:val="none" w:sz="0" w:space="0" w:color="auto"/>
        <w:left w:val="none" w:sz="0" w:space="0" w:color="auto"/>
        <w:bottom w:val="none" w:sz="0" w:space="0" w:color="auto"/>
        <w:right w:val="none" w:sz="0" w:space="0" w:color="auto"/>
      </w:divBdr>
    </w:div>
    <w:div w:id="882517317">
      <w:bodyDiv w:val="1"/>
      <w:marLeft w:val="0"/>
      <w:marRight w:val="0"/>
      <w:marTop w:val="0"/>
      <w:marBottom w:val="0"/>
      <w:divBdr>
        <w:top w:val="none" w:sz="0" w:space="0" w:color="auto"/>
        <w:left w:val="none" w:sz="0" w:space="0" w:color="auto"/>
        <w:bottom w:val="none" w:sz="0" w:space="0" w:color="auto"/>
        <w:right w:val="none" w:sz="0" w:space="0" w:color="auto"/>
      </w:divBdr>
    </w:div>
    <w:div w:id="892546522">
      <w:bodyDiv w:val="1"/>
      <w:marLeft w:val="0"/>
      <w:marRight w:val="0"/>
      <w:marTop w:val="0"/>
      <w:marBottom w:val="0"/>
      <w:divBdr>
        <w:top w:val="none" w:sz="0" w:space="0" w:color="auto"/>
        <w:left w:val="none" w:sz="0" w:space="0" w:color="auto"/>
        <w:bottom w:val="none" w:sz="0" w:space="0" w:color="auto"/>
        <w:right w:val="none" w:sz="0" w:space="0" w:color="auto"/>
      </w:divBdr>
    </w:div>
    <w:div w:id="903026680">
      <w:bodyDiv w:val="1"/>
      <w:marLeft w:val="0"/>
      <w:marRight w:val="0"/>
      <w:marTop w:val="0"/>
      <w:marBottom w:val="0"/>
      <w:divBdr>
        <w:top w:val="none" w:sz="0" w:space="0" w:color="auto"/>
        <w:left w:val="none" w:sz="0" w:space="0" w:color="auto"/>
        <w:bottom w:val="none" w:sz="0" w:space="0" w:color="auto"/>
        <w:right w:val="none" w:sz="0" w:space="0" w:color="auto"/>
      </w:divBdr>
    </w:div>
    <w:div w:id="907888518">
      <w:bodyDiv w:val="1"/>
      <w:marLeft w:val="0"/>
      <w:marRight w:val="0"/>
      <w:marTop w:val="0"/>
      <w:marBottom w:val="0"/>
      <w:divBdr>
        <w:top w:val="none" w:sz="0" w:space="0" w:color="auto"/>
        <w:left w:val="none" w:sz="0" w:space="0" w:color="auto"/>
        <w:bottom w:val="none" w:sz="0" w:space="0" w:color="auto"/>
        <w:right w:val="none" w:sz="0" w:space="0" w:color="auto"/>
      </w:divBdr>
    </w:div>
    <w:div w:id="910502207">
      <w:bodyDiv w:val="1"/>
      <w:marLeft w:val="0"/>
      <w:marRight w:val="0"/>
      <w:marTop w:val="0"/>
      <w:marBottom w:val="0"/>
      <w:divBdr>
        <w:top w:val="none" w:sz="0" w:space="0" w:color="auto"/>
        <w:left w:val="none" w:sz="0" w:space="0" w:color="auto"/>
        <w:bottom w:val="none" w:sz="0" w:space="0" w:color="auto"/>
        <w:right w:val="none" w:sz="0" w:space="0" w:color="auto"/>
      </w:divBdr>
    </w:div>
    <w:div w:id="911164382">
      <w:bodyDiv w:val="1"/>
      <w:marLeft w:val="0"/>
      <w:marRight w:val="0"/>
      <w:marTop w:val="0"/>
      <w:marBottom w:val="0"/>
      <w:divBdr>
        <w:top w:val="none" w:sz="0" w:space="0" w:color="auto"/>
        <w:left w:val="none" w:sz="0" w:space="0" w:color="auto"/>
        <w:bottom w:val="none" w:sz="0" w:space="0" w:color="auto"/>
        <w:right w:val="none" w:sz="0" w:space="0" w:color="auto"/>
      </w:divBdr>
    </w:div>
    <w:div w:id="915239114">
      <w:bodyDiv w:val="1"/>
      <w:marLeft w:val="0"/>
      <w:marRight w:val="0"/>
      <w:marTop w:val="0"/>
      <w:marBottom w:val="0"/>
      <w:divBdr>
        <w:top w:val="none" w:sz="0" w:space="0" w:color="auto"/>
        <w:left w:val="none" w:sz="0" w:space="0" w:color="auto"/>
        <w:bottom w:val="none" w:sz="0" w:space="0" w:color="auto"/>
        <w:right w:val="none" w:sz="0" w:space="0" w:color="auto"/>
      </w:divBdr>
    </w:div>
    <w:div w:id="922377221">
      <w:bodyDiv w:val="1"/>
      <w:marLeft w:val="0"/>
      <w:marRight w:val="0"/>
      <w:marTop w:val="0"/>
      <w:marBottom w:val="0"/>
      <w:divBdr>
        <w:top w:val="none" w:sz="0" w:space="0" w:color="auto"/>
        <w:left w:val="none" w:sz="0" w:space="0" w:color="auto"/>
        <w:bottom w:val="none" w:sz="0" w:space="0" w:color="auto"/>
        <w:right w:val="none" w:sz="0" w:space="0" w:color="auto"/>
      </w:divBdr>
    </w:div>
    <w:div w:id="927152927">
      <w:bodyDiv w:val="1"/>
      <w:marLeft w:val="0"/>
      <w:marRight w:val="0"/>
      <w:marTop w:val="0"/>
      <w:marBottom w:val="0"/>
      <w:divBdr>
        <w:top w:val="none" w:sz="0" w:space="0" w:color="auto"/>
        <w:left w:val="none" w:sz="0" w:space="0" w:color="auto"/>
        <w:bottom w:val="none" w:sz="0" w:space="0" w:color="auto"/>
        <w:right w:val="none" w:sz="0" w:space="0" w:color="auto"/>
      </w:divBdr>
    </w:div>
    <w:div w:id="928006951">
      <w:bodyDiv w:val="1"/>
      <w:marLeft w:val="0"/>
      <w:marRight w:val="0"/>
      <w:marTop w:val="0"/>
      <w:marBottom w:val="0"/>
      <w:divBdr>
        <w:top w:val="none" w:sz="0" w:space="0" w:color="auto"/>
        <w:left w:val="none" w:sz="0" w:space="0" w:color="auto"/>
        <w:bottom w:val="none" w:sz="0" w:space="0" w:color="auto"/>
        <w:right w:val="none" w:sz="0" w:space="0" w:color="auto"/>
      </w:divBdr>
    </w:div>
    <w:div w:id="928849447">
      <w:bodyDiv w:val="1"/>
      <w:marLeft w:val="0"/>
      <w:marRight w:val="0"/>
      <w:marTop w:val="0"/>
      <w:marBottom w:val="0"/>
      <w:divBdr>
        <w:top w:val="none" w:sz="0" w:space="0" w:color="auto"/>
        <w:left w:val="none" w:sz="0" w:space="0" w:color="auto"/>
        <w:bottom w:val="none" w:sz="0" w:space="0" w:color="auto"/>
        <w:right w:val="none" w:sz="0" w:space="0" w:color="auto"/>
      </w:divBdr>
    </w:div>
    <w:div w:id="929969056">
      <w:bodyDiv w:val="1"/>
      <w:marLeft w:val="0"/>
      <w:marRight w:val="0"/>
      <w:marTop w:val="0"/>
      <w:marBottom w:val="0"/>
      <w:divBdr>
        <w:top w:val="none" w:sz="0" w:space="0" w:color="auto"/>
        <w:left w:val="none" w:sz="0" w:space="0" w:color="auto"/>
        <w:bottom w:val="none" w:sz="0" w:space="0" w:color="auto"/>
        <w:right w:val="none" w:sz="0" w:space="0" w:color="auto"/>
      </w:divBdr>
    </w:div>
    <w:div w:id="932906704">
      <w:bodyDiv w:val="1"/>
      <w:marLeft w:val="0"/>
      <w:marRight w:val="0"/>
      <w:marTop w:val="0"/>
      <w:marBottom w:val="0"/>
      <w:divBdr>
        <w:top w:val="none" w:sz="0" w:space="0" w:color="auto"/>
        <w:left w:val="none" w:sz="0" w:space="0" w:color="auto"/>
        <w:bottom w:val="none" w:sz="0" w:space="0" w:color="auto"/>
        <w:right w:val="none" w:sz="0" w:space="0" w:color="auto"/>
      </w:divBdr>
    </w:div>
    <w:div w:id="935289589">
      <w:bodyDiv w:val="1"/>
      <w:marLeft w:val="0"/>
      <w:marRight w:val="0"/>
      <w:marTop w:val="0"/>
      <w:marBottom w:val="0"/>
      <w:divBdr>
        <w:top w:val="none" w:sz="0" w:space="0" w:color="auto"/>
        <w:left w:val="none" w:sz="0" w:space="0" w:color="auto"/>
        <w:bottom w:val="none" w:sz="0" w:space="0" w:color="auto"/>
        <w:right w:val="none" w:sz="0" w:space="0" w:color="auto"/>
      </w:divBdr>
    </w:div>
    <w:div w:id="943923751">
      <w:bodyDiv w:val="1"/>
      <w:marLeft w:val="0"/>
      <w:marRight w:val="0"/>
      <w:marTop w:val="0"/>
      <w:marBottom w:val="0"/>
      <w:divBdr>
        <w:top w:val="none" w:sz="0" w:space="0" w:color="auto"/>
        <w:left w:val="none" w:sz="0" w:space="0" w:color="auto"/>
        <w:bottom w:val="none" w:sz="0" w:space="0" w:color="auto"/>
        <w:right w:val="none" w:sz="0" w:space="0" w:color="auto"/>
      </w:divBdr>
    </w:div>
    <w:div w:id="952520315">
      <w:bodyDiv w:val="1"/>
      <w:marLeft w:val="0"/>
      <w:marRight w:val="0"/>
      <w:marTop w:val="0"/>
      <w:marBottom w:val="0"/>
      <w:divBdr>
        <w:top w:val="none" w:sz="0" w:space="0" w:color="auto"/>
        <w:left w:val="none" w:sz="0" w:space="0" w:color="auto"/>
        <w:bottom w:val="none" w:sz="0" w:space="0" w:color="auto"/>
        <w:right w:val="none" w:sz="0" w:space="0" w:color="auto"/>
      </w:divBdr>
    </w:div>
    <w:div w:id="961033998">
      <w:bodyDiv w:val="1"/>
      <w:marLeft w:val="0"/>
      <w:marRight w:val="0"/>
      <w:marTop w:val="0"/>
      <w:marBottom w:val="0"/>
      <w:divBdr>
        <w:top w:val="none" w:sz="0" w:space="0" w:color="auto"/>
        <w:left w:val="none" w:sz="0" w:space="0" w:color="auto"/>
        <w:bottom w:val="none" w:sz="0" w:space="0" w:color="auto"/>
        <w:right w:val="none" w:sz="0" w:space="0" w:color="auto"/>
      </w:divBdr>
    </w:div>
    <w:div w:id="961956039">
      <w:bodyDiv w:val="1"/>
      <w:marLeft w:val="0"/>
      <w:marRight w:val="0"/>
      <w:marTop w:val="0"/>
      <w:marBottom w:val="0"/>
      <w:divBdr>
        <w:top w:val="none" w:sz="0" w:space="0" w:color="auto"/>
        <w:left w:val="none" w:sz="0" w:space="0" w:color="auto"/>
        <w:bottom w:val="none" w:sz="0" w:space="0" w:color="auto"/>
        <w:right w:val="none" w:sz="0" w:space="0" w:color="auto"/>
      </w:divBdr>
    </w:div>
    <w:div w:id="968437470">
      <w:bodyDiv w:val="1"/>
      <w:marLeft w:val="0"/>
      <w:marRight w:val="0"/>
      <w:marTop w:val="0"/>
      <w:marBottom w:val="0"/>
      <w:divBdr>
        <w:top w:val="none" w:sz="0" w:space="0" w:color="auto"/>
        <w:left w:val="none" w:sz="0" w:space="0" w:color="auto"/>
        <w:bottom w:val="none" w:sz="0" w:space="0" w:color="auto"/>
        <w:right w:val="none" w:sz="0" w:space="0" w:color="auto"/>
      </w:divBdr>
    </w:div>
    <w:div w:id="968827532">
      <w:bodyDiv w:val="1"/>
      <w:marLeft w:val="0"/>
      <w:marRight w:val="0"/>
      <w:marTop w:val="0"/>
      <w:marBottom w:val="0"/>
      <w:divBdr>
        <w:top w:val="none" w:sz="0" w:space="0" w:color="auto"/>
        <w:left w:val="none" w:sz="0" w:space="0" w:color="auto"/>
        <w:bottom w:val="none" w:sz="0" w:space="0" w:color="auto"/>
        <w:right w:val="none" w:sz="0" w:space="0" w:color="auto"/>
      </w:divBdr>
    </w:div>
    <w:div w:id="968897742">
      <w:bodyDiv w:val="1"/>
      <w:marLeft w:val="0"/>
      <w:marRight w:val="0"/>
      <w:marTop w:val="0"/>
      <w:marBottom w:val="0"/>
      <w:divBdr>
        <w:top w:val="none" w:sz="0" w:space="0" w:color="auto"/>
        <w:left w:val="none" w:sz="0" w:space="0" w:color="auto"/>
        <w:bottom w:val="none" w:sz="0" w:space="0" w:color="auto"/>
        <w:right w:val="none" w:sz="0" w:space="0" w:color="auto"/>
      </w:divBdr>
    </w:div>
    <w:div w:id="969478976">
      <w:bodyDiv w:val="1"/>
      <w:marLeft w:val="0"/>
      <w:marRight w:val="0"/>
      <w:marTop w:val="0"/>
      <w:marBottom w:val="0"/>
      <w:divBdr>
        <w:top w:val="none" w:sz="0" w:space="0" w:color="auto"/>
        <w:left w:val="none" w:sz="0" w:space="0" w:color="auto"/>
        <w:bottom w:val="none" w:sz="0" w:space="0" w:color="auto"/>
        <w:right w:val="none" w:sz="0" w:space="0" w:color="auto"/>
      </w:divBdr>
    </w:div>
    <w:div w:id="980427080">
      <w:bodyDiv w:val="1"/>
      <w:marLeft w:val="0"/>
      <w:marRight w:val="0"/>
      <w:marTop w:val="0"/>
      <w:marBottom w:val="0"/>
      <w:divBdr>
        <w:top w:val="none" w:sz="0" w:space="0" w:color="auto"/>
        <w:left w:val="none" w:sz="0" w:space="0" w:color="auto"/>
        <w:bottom w:val="none" w:sz="0" w:space="0" w:color="auto"/>
        <w:right w:val="none" w:sz="0" w:space="0" w:color="auto"/>
      </w:divBdr>
    </w:div>
    <w:div w:id="999502009">
      <w:bodyDiv w:val="1"/>
      <w:marLeft w:val="0"/>
      <w:marRight w:val="0"/>
      <w:marTop w:val="0"/>
      <w:marBottom w:val="0"/>
      <w:divBdr>
        <w:top w:val="none" w:sz="0" w:space="0" w:color="auto"/>
        <w:left w:val="none" w:sz="0" w:space="0" w:color="auto"/>
        <w:bottom w:val="none" w:sz="0" w:space="0" w:color="auto"/>
        <w:right w:val="none" w:sz="0" w:space="0" w:color="auto"/>
      </w:divBdr>
    </w:div>
    <w:div w:id="1001274561">
      <w:bodyDiv w:val="1"/>
      <w:marLeft w:val="0"/>
      <w:marRight w:val="0"/>
      <w:marTop w:val="0"/>
      <w:marBottom w:val="0"/>
      <w:divBdr>
        <w:top w:val="none" w:sz="0" w:space="0" w:color="auto"/>
        <w:left w:val="none" w:sz="0" w:space="0" w:color="auto"/>
        <w:bottom w:val="none" w:sz="0" w:space="0" w:color="auto"/>
        <w:right w:val="none" w:sz="0" w:space="0" w:color="auto"/>
      </w:divBdr>
    </w:div>
    <w:div w:id="1002661028">
      <w:bodyDiv w:val="1"/>
      <w:marLeft w:val="0"/>
      <w:marRight w:val="0"/>
      <w:marTop w:val="0"/>
      <w:marBottom w:val="0"/>
      <w:divBdr>
        <w:top w:val="none" w:sz="0" w:space="0" w:color="auto"/>
        <w:left w:val="none" w:sz="0" w:space="0" w:color="auto"/>
        <w:bottom w:val="none" w:sz="0" w:space="0" w:color="auto"/>
        <w:right w:val="none" w:sz="0" w:space="0" w:color="auto"/>
      </w:divBdr>
    </w:div>
    <w:div w:id="1019508845">
      <w:bodyDiv w:val="1"/>
      <w:marLeft w:val="0"/>
      <w:marRight w:val="0"/>
      <w:marTop w:val="0"/>
      <w:marBottom w:val="0"/>
      <w:divBdr>
        <w:top w:val="none" w:sz="0" w:space="0" w:color="auto"/>
        <w:left w:val="none" w:sz="0" w:space="0" w:color="auto"/>
        <w:bottom w:val="none" w:sz="0" w:space="0" w:color="auto"/>
        <w:right w:val="none" w:sz="0" w:space="0" w:color="auto"/>
      </w:divBdr>
    </w:div>
    <w:div w:id="1021472974">
      <w:bodyDiv w:val="1"/>
      <w:marLeft w:val="0"/>
      <w:marRight w:val="0"/>
      <w:marTop w:val="0"/>
      <w:marBottom w:val="0"/>
      <w:divBdr>
        <w:top w:val="none" w:sz="0" w:space="0" w:color="auto"/>
        <w:left w:val="none" w:sz="0" w:space="0" w:color="auto"/>
        <w:bottom w:val="none" w:sz="0" w:space="0" w:color="auto"/>
        <w:right w:val="none" w:sz="0" w:space="0" w:color="auto"/>
      </w:divBdr>
    </w:div>
    <w:div w:id="1027413574">
      <w:bodyDiv w:val="1"/>
      <w:marLeft w:val="0"/>
      <w:marRight w:val="0"/>
      <w:marTop w:val="0"/>
      <w:marBottom w:val="0"/>
      <w:divBdr>
        <w:top w:val="none" w:sz="0" w:space="0" w:color="auto"/>
        <w:left w:val="none" w:sz="0" w:space="0" w:color="auto"/>
        <w:bottom w:val="none" w:sz="0" w:space="0" w:color="auto"/>
        <w:right w:val="none" w:sz="0" w:space="0" w:color="auto"/>
      </w:divBdr>
    </w:div>
    <w:div w:id="1033076032">
      <w:bodyDiv w:val="1"/>
      <w:marLeft w:val="0"/>
      <w:marRight w:val="0"/>
      <w:marTop w:val="0"/>
      <w:marBottom w:val="0"/>
      <w:divBdr>
        <w:top w:val="none" w:sz="0" w:space="0" w:color="auto"/>
        <w:left w:val="none" w:sz="0" w:space="0" w:color="auto"/>
        <w:bottom w:val="none" w:sz="0" w:space="0" w:color="auto"/>
        <w:right w:val="none" w:sz="0" w:space="0" w:color="auto"/>
      </w:divBdr>
    </w:div>
    <w:div w:id="1037051685">
      <w:bodyDiv w:val="1"/>
      <w:marLeft w:val="0"/>
      <w:marRight w:val="0"/>
      <w:marTop w:val="0"/>
      <w:marBottom w:val="0"/>
      <w:divBdr>
        <w:top w:val="none" w:sz="0" w:space="0" w:color="auto"/>
        <w:left w:val="none" w:sz="0" w:space="0" w:color="auto"/>
        <w:bottom w:val="none" w:sz="0" w:space="0" w:color="auto"/>
        <w:right w:val="none" w:sz="0" w:space="0" w:color="auto"/>
      </w:divBdr>
    </w:div>
    <w:div w:id="1044019053">
      <w:bodyDiv w:val="1"/>
      <w:marLeft w:val="0"/>
      <w:marRight w:val="0"/>
      <w:marTop w:val="0"/>
      <w:marBottom w:val="0"/>
      <w:divBdr>
        <w:top w:val="none" w:sz="0" w:space="0" w:color="auto"/>
        <w:left w:val="none" w:sz="0" w:space="0" w:color="auto"/>
        <w:bottom w:val="none" w:sz="0" w:space="0" w:color="auto"/>
        <w:right w:val="none" w:sz="0" w:space="0" w:color="auto"/>
      </w:divBdr>
    </w:div>
    <w:div w:id="1062677700">
      <w:bodyDiv w:val="1"/>
      <w:marLeft w:val="0"/>
      <w:marRight w:val="0"/>
      <w:marTop w:val="0"/>
      <w:marBottom w:val="0"/>
      <w:divBdr>
        <w:top w:val="none" w:sz="0" w:space="0" w:color="auto"/>
        <w:left w:val="none" w:sz="0" w:space="0" w:color="auto"/>
        <w:bottom w:val="none" w:sz="0" w:space="0" w:color="auto"/>
        <w:right w:val="none" w:sz="0" w:space="0" w:color="auto"/>
      </w:divBdr>
    </w:div>
    <w:div w:id="1073311113">
      <w:bodyDiv w:val="1"/>
      <w:marLeft w:val="0"/>
      <w:marRight w:val="0"/>
      <w:marTop w:val="0"/>
      <w:marBottom w:val="0"/>
      <w:divBdr>
        <w:top w:val="none" w:sz="0" w:space="0" w:color="auto"/>
        <w:left w:val="none" w:sz="0" w:space="0" w:color="auto"/>
        <w:bottom w:val="none" w:sz="0" w:space="0" w:color="auto"/>
        <w:right w:val="none" w:sz="0" w:space="0" w:color="auto"/>
      </w:divBdr>
    </w:div>
    <w:div w:id="1077172681">
      <w:bodyDiv w:val="1"/>
      <w:marLeft w:val="0"/>
      <w:marRight w:val="0"/>
      <w:marTop w:val="0"/>
      <w:marBottom w:val="0"/>
      <w:divBdr>
        <w:top w:val="none" w:sz="0" w:space="0" w:color="auto"/>
        <w:left w:val="none" w:sz="0" w:space="0" w:color="auto"/>
        <w:bottom w:val="none" w:sz="0" w:space="0" w:color="auto"/>
        <w:right w:val="none" w:sz="0" w:space="0" w:color="auto"/>
      </w:divBdr>
    </w:div>
    <w:div w:id="1078864490">
      <w:bodyDiv w:val="1"/>
      <w:marLeft w:val="0"/>
      <w:marRight w:val="0"/>
      <w:marTop w:val="0"/>
      <w:marBottom w:val="0"/>
      <w:divBdr>
        <w:top w:val="none" w:sz="0" w:space="0" w:color="auto"/>
        <w:left w:val="none" w:sz="0" w:space="0" w:color="auto"/>
        <w:bottom w:val="none" w:sz="0" w:space="0" w:color="auto"/>
        <w:right w:val="none" w:sz="0" w:space="0" w:color="auto"/>
      </w:divBdr>
    </w:div>
    <w:div w:id="1080717227">
      <w:bodyDiv w:val="1"/>
      <w:marLeft w:val="0"/>
      <w:marRight w:val="0"/>
      <w:marTop w:val="0"/>
      <w:marBottom w:val="0"/>
      <w:divBdr>
        <w:top w:val="none" w:sz="0" w:space="0" w:color="auto"/>
        <w:left w:val="none" w:sz="0" w:space="0" w:color="auto"/>
        <w:bottom w:val="none" w:sz="0" w:space="0" w:color="auto"/>
        <w:right w:val="none" w:sz="0" w:space="0" w:color="auto"/>
      </w:divBdr>
    </w:div>
    <w:div w:id="1082071105">
      <w:bodyDiv w:val="1"/>
      <w:marLeft w:val="0"/>
      <w:marRight w:val="0"/>
      <w:marTop w:val="0"/>
      <w:marBottom w:val="0"/>
      <w:divBdr>
        <w:top w:val="none" w:sz="0" w:space="0" w:color="auto"/>
        <w:left w:val="none" w:sz="0" w:space="0" w:color="auto"/>
        <w:bottom w:val="none" w:sz="0" w:space="0" w:color="auto"/>
        <w:right w:val="none" w:sz="0" w:space="0" w:color="auto"/>
      </w:divBdr>
    </w:div>
    <w:div w:id="1082484765">
      <w:bodyDiv w:val="1"/>
      <w:marLeft w:val="0"/>
      <w:marRight w:val="0"/>
      <w:marTop w:val="0"/>
      <w:marBottom w:val="0"/>
      <w:divBdr>
        <w:top w:val="none" w:sz="0" w:space="0" w:color="auto"/>
        <w:left w:val="none" w:sz="0" w:space="0" w:color="auto"/>
        <w:bottom w:val="none" w:sz="0" w:space="0" w:color="auto"/>
        <w:right w:val="none" w:sz="0" w:space="0" w:color="auto"/>
      </w:divBdr>
    </w:div>
    <w:div w:id="1091270893">
      <w:bodyDiv w:val="1"/>
      <w:marLeft w:val="0"/>
      <w:marRight w:val="0"/>
      <w:marTop w:val="0"/>
      <w:marBottom w:val="0"/>
      <w:divBdr>
        <w:top w:val="none" w:sz="0" w:space="0" w:color="auto"/>
        <w:left w:val="none" w:sz="0" w:space="0" w:color="auto"/>
        <w:bottom w:val="none" w:sz="0" w:space="0" w:color="auto"/>
        <w:right w:val="none" w:sz="0" w:space="0" w:color="auto"/>
      </w:divBdr>
    </w:div>
    <w:div w:id="1092774618">
      <w:bodyDiv w:val="1"/>
      <w:marLeft w:val="0"/>
      <w:marRight w:val="0"/>
      <w:marTop w:val="0"/>
      <w:marBottom w:val="0"/>
      <w:divBdr>
        <w:top w:val="none" w:sz="0" w:space="0" w:color="auto"/>
        <w:left w:val="none" w:sz="0" w:space="0" w:color="auto"/>
        <w:bottom w:val="none" w:sz="0" w:space="0" w:color="auto"/>
        <w:right w:val="none" w:sz="0" w:space="0" w:color="auto"/>
      </w:divBdr>
    </w:div>
    <w:div w:id="1101610605">
      <w:bodyDiv w:val="1"/>
      <w:marLeft w:val="0"/>
      <w:marRight w:val="0"/>
      <w:marTop w:val="0"/>
      <w:marBottom w:val="0"/>
      <w:divBdr>
        <w:top w:val="none" w:sz="0" w:space="0" w:color="auto"/>
        <w:left w:val="none" w:sz="0" w:space="0" w:color="auto"/>
        <w:bottom w:val="none" w:sz="0" w:space="0" w:color="auto"/>
        <w:right w:val="none" w:sz="0" w:space="0" w:color="auto"/>
      </w:divBdr>
    </w:div>
    <w:div w:id="1101801452">
      <w:bodyDiv w:val="1"/>
      <w:marLeft w:val="0"/>
      <w:marRight w:val="0"/>
      <w:marTop w:val="0"/>
      <w:marBottom w:val="0"/>
      <w:divBdr>
        <w:top w:val="none" w:sz="0" w:space="0" w:color="auto"/>
        <w:left w:val="none" w:sz="0" w:space="0" w:color="auto"/>
        <w:bottom w:val="none" w:sz="0" w:space="0" w:color="auto"/>
        <w:right w:val="none" w:sz="0" w:space="0" w:color="auto"/>
      </w:divBdr>
    </w:div>
    <w:div w:id="1117019249">
      <w:bodyDiv w:val="1"/>
      <w:marLeft w:val="0"/>
      <w:marRight w:val="0"/>
      <w:marTop w:val="0"/>
      <w:marBottom w:val="0"/>
      <w:divBdr>
        <w:top w:val="none" w:sz="0" w:space="0" w:color="auto"/>
        <w:left w:val="none" w:sz="0" w:space="0" w:color="auto"/>
        <w:bottom w:val="none" w:sz="0" w:space="0" w:color="auto"/>
        <w:right w:val="none" w:sz="0" w:space="0" w:color="auto"/>
      </w:divBdr>
    </w:div>
    <w:div w:id="1134179956">
      <w:bodyDiv w:val="1"/>
      <w:marLeft w:val="0"/>
      <w:marRight w:val="0"/>
      <w:marTop w:val="0"/>
      <w:marBottom w:val="0"/>
      <w:divBdr>
        <w:top w:val="none" w:sz="0" w:space="0" w:color="auto"/>
        <w:left w:val="none" w:sz="0" w:space="0" w:color="auto"/>
        <w:bottom w:val="none" w:sz="0" w:space="0" w:color="auto"/>
        <w:right w:val="none" w:sz="0" w:space="0" w:color="auto"/>
      </w:divBdr>
    </w:div>
    <w:div w:id="1143698265">
      <w:bodyDiv w:val="1"/>
      <w:marLeft w:val="0"/>
      <w:marRight w:val="0"/>
      <w:marTop w:val="0"/>
      <w:marBottom w:val="0"/>
      <w:divBdr>
        <w:top w:val="none" w:sz="0" w:space="0" w:color="auto"/>
        <w:left w:val="none" w:sz="0" w:space="0" w:color="auto"/>
        <w:bottom w:val="none" w:sz="0" w:space="0" w:color="auto"/>
        <w:right w:val="none" w:sz="0" w:space="0" w:color="auto"/>
      </w:divBdr>
    </w:div>
    <w:div w:id="1148211105">
      <w:bodyDiv w:val="1"/>
      <w:marLeft w:val="0"/>
      <w:marRight w:val="0"/>
      <w:marTop w:val="0"/>
      <w:marBottom w:val="0"/>
      <w:divBdr>
        <w:top w:val="none" w:sz="0" w:space="0" w:color="auto"/>
        <w:left w:val="none" w:sz="0" w:space="0" w:color="auto"/>
        <w:bottom w:val="none" w:sz="0" w:space="0" w:color="auto"/>
        <w:right w:val="none" w:sz="0" w:space="0" w:color="auto"/>
      </w:divBdr>
    </w:div>
    <w:div w:id="1162702582">
      <w:bodyDiv w:val="1"/>
      <w:marLeft w:val="0"/>
      <w:marRight w:val="0"/>
      <w:marTop w:val="0"/>
      <w:marBottom w:val="0"/>
      <w:divBdr>
        <w:top w:val="none" w:sz="0" w:space="0" w:color="auto"/>
        <w:left w:val="none" w:sz="0" w:space="0" w:color="auto"/>
        <w:bottom w:val="none" w:sz="0" w:space="0" w:color="auto"/>
        <w:right w:val="none" w:sz="0" w:space="0" w:color="auto"/>
      </w:divBdr>
    </w:div>
    <w:div w:id="1170674939">
      <w:bodyDiv w:val="1"/>
      <w:marLeft w:val="0"/>
      <w:marRight w:val="0"/>
      <w:marTop w:val="0"/>
      <w:marBottom w:val="0"/>
      <w:divBdr>
        <w:top w:val="none" w:sz="0" w:space="0" w:color="auto"/>
        <w:left w:val="none" w:sz="0" w:space="0" w:color="auto"/>
        <w:bottom w:val="none" w:sz="0" w:space="0" w:color="auto"/>
        <w:right w:val="none" w:sz="0" w:space="0" w:color="auto"/>
      </w:divBdr>
    </w:div>
    <w:div w:id="1178883305">
      <w:bodyDiv w:val="1"/>
      <w:marLeft w:val="0"/>
      <w:marRight w:val="0"/>
      <w:marTop w:val="0"/>
      <w:marBottom w:val="0"/>
      <w:divBdr>
        <w:top w:val="none" w:sz="0" w:space="0" w:color="auto"/>
        <w:left w:val="none" w:sz="0" w:space="0" w:color="auto"/>
        <w:bottom w:val="none" w:sz="0" w:space="0" w:color="auto"/>
        <w:right w:val="none" w:sz="0" w:space="0" w:color="auto"/>
      </w:divBdr>
    </w:div>
    <w:div w:id="1184201634">
      <w:bodyDiv w:val="1"/>
      <w:marLeft w:val="0"/>
      <w:marRight w:val="0"/>
      <w:marTop w:val="0"/>
      <w:marBottom w:val="0"/>
      <w:divBdr>
        <w:top w:val="none" w:sz="0" w:space="0" w:color="auto"/>
        <w:left w:val="none" w:sz="0" w:space="0" w:color="auto"/>
        <w:bottom w:val="none" w:sz="0" w:space="0" w:color="auto"/>
        <w:right w:val="none" w:sz="0" w:space="0" w:color="auto"/>
      </w:divBdr>
    </w:div>
    <w:div w:id="1185052407">
      <w:bodyDiv w:val="1"/>
      <w:marLeft w:val="0"/>
      <w:marRight w:val="0"/>
      <w:marTop w:val="0"/>
      <w:marBottom w:val="0"/>
      <w:divBdr>
        <w:top w:val="none" w:sz="0" w:space="0" w:color="auto"/>
        <w:left w:val="none" w:sz="0" w:space="0" w:color="auto"/>
        <w:bottom w:val="none" w:sz="0" w:space="0" w:color="auto"/>
        <w:right w:val="none" w:sz="0" w:space="0" w:color="auto"/>
      </w:divBdr>
    </w:div>
    <w:div w:id="1223172538">
      <w:bodyDiv w:val="1"/>
      <w:marLeft w:val="0"/>
      <w:marRight w:val="0"/>
      <w:marTop w:val="0"/>
      <w:marBottom w:val="0"/>
      <w:divBdr>
        <w:top w:val="none" w:sz="0" w:space="0" w:color="auto"/>
        <w:left w:val="none" w:sz="0" w:space="0" w:color="auto"/>
        <w:bottom w:val="none" w:sz="0" w:space="0" w:color="auto"/>
        <w:right w:val="none" w:sz="0" w:space="0" w:color="auto"/>
      </w:divBdr>
    </w:div>
    <w:div w:id="1226451246">
      <w:bodyDiv w:val="1"/>
      <w:marLeft w:val="0"/>
      <w:marRight w:val="0"/>
      <w:marTop w:val="0"/>
      <w:marBottom w:val="0"/>
      <w:divBdr>
        <w:top w:val="none" w:sz="0" w:space="0" w:color="auto"/>
        <w:left w:val="none" w:sz="0" w:space="0" w:color="auto"/>
        <w:bottom w:val="none" w:sz="0" w:space="0" w:color="auto"/>
        <w:right w:val="none" w:sz="0" w:space="0" w:color="auto"/>
      </w:divBdr>
    </w:div>
    <w:div w:id="1236207315">
      <w:bodyDiv w:val="1"/>
      <w:marLeft w:val="0"/>
      <w:marRight w:val="0"/>
      <w:marTop w:val="0"/>
      <w:marBottom w:val="0"/>
      <w:divBdr>
        <w:top w:val="none" w:sz="0" w:space="0" w:color="auto"/>
        <w:left w:val="none" w:sz="0" w:space="0" w:color="auto"/>
        <w:bottom w:val="none" w:sz="0" w:space="0" w:color="auto"/>
        <w:right w:val="none" w:sz="0" w:space="0" w:color="auto"/>
      </w:divBdr>
    </w:div>
    <w:div w:id="1236546993">
      <w:bodyDiv w:val="1"/>
      <w:marLeft w:val="0"/>
      <w:marRight w:val="0"/>
      <w:marTop w:val="0"/>
      <w:marBottom w:val="0"/>
      <w:divBdr>
        <w:top w:val="none" w:sz="0" w:space="0" w:color="auto"/>
        <w:left w:val="none" w:sz="0" w:space="0" w:color="auto"/>
        <w:bottom w:val="none" w:sz="0" w:space="0" w:color="auto"/>
        <w:right w:val="none" w:sz="0" w:space="0" w:color="auto"/>
      </w:divBdr>
    </w:div>
    <w:div w:id="1256011063">
      <w:bodyDiv w:val="1"/>
      <w:marLeft w:val="0"/>
      <w:marRight w:val="0"/>
      <w:marTop w:val="0"/>
      <w:marBottom w:val="0"/>
      <w:divBdr>
        <w:top w:val="none" w:sz="0" w:space="0" w:color="auto"/>
        <w:left w:val="none" w:sz="0" w:space="0" w:color="auto"/>
        <w:bottom w:val="none" w:sz="0" w:space="0" w:color="auto"/>
        <w:right w:val="none" w:sz="0" w:space="0" w:color="auto"/>
      </w:divBdr>
    </w:div>
    <w:div w:id="1259369689">
      <w:bodyDiv w:val="1"/>
      <w:marLeft w:val="0"/>
      <w:marRight w:val="0"/>
      <w:marTop w:val="0"/>
      <w:marBottom w:val="0"/>
      <w:divBdr>
        <w:top w:val="none" w:sz="0" w:space="0" w:color="auto"/>
        <w:left w:val="none" w:sz="0" w:space="0" w:color="auto"/>
        <w:bottom w:val="none" w:sz="0" w:space="0" w:color="auto"/>
        <w:right w:val="none" w:sz="0" w:space="0" w:color="auto"/>
      </w:divBdr>
    </w:div>
    <w:div w:id="1260214453">
      <w:bodyDiv w:val="1"/>
      <w:marLeft w:val="0"/>
      <w:marRight w:val="0"/>
      <w:marTop w:val="0"/>
      <w:marBottom w:val="0"/>
      <w:divBdr>
        <w:top w:val="none" w:sz="0" w:space="0" w:color="auto"/>
        <w:left w:val="none" w:sz="0" w:space="0" w:color="auto"/>
        <w:bottom w:val="none" w:sz="0" w:space="0" w:color="auto"/>
        <w:right w:val="none" w:sz="0" w:space="0" w:color="auto"/>
      </w:divBdr>
    </w:div>
    <w:div w:id="1269895790">
      <w:bodyDiv w:val="1"/>
      <w:marLeft w:val="0"/>
      <w:marRight w:val="0"/>
      <w:marTop w:val="0"/>
      <w:marBottom w:val="0"/>
      <w:divBdr>
        <w:top w:val="none" w:sz="0" w:space="0" w:color="auto"/>
        <w:left w:val="none" w:sz="0" w:space="0" w:color="auto"/>
        <w:bottom w:val="none" w:sz="0" w:space="0" w:color="auto"/>
        <w:right w:val="none" w:sz="0" w:space="0" w:color="auto"/>
      </w:divBdr>
    </w:div>
    <w:div w:id="1277786547">
      <w:bodyDiv w:val="1"/>
      <w:marLeft w:val="0"/>
      <w:marRight w:val="0"/>
      <w:marTop w:val="0"/>
      <w:marBottom w:val="0"/>
      <w:divBdr>
        <w:top w:val="none" w:sz="0" w:space="0" w:color="auto"/>
        <w:left w:val="none" w:sz="0" w:space="0" w:color="auto"/>
        <w:bottom w:val="none" w:sz="0" w:space="0" w:color="auto"/>
        <w:right w:val="none" w:sz="0" w:space="0" w:color="auto"/>
      </w:divBdr>
    </w:div>
    <w:div w:id="1279142513">
      <w:bodyDiv w:val="1"/>
      <w:marLeft w:val="0"/>
      <w:marRight w:val="0"/>
      <w:marTop w:val="0"/>
      <w:marBottom w:val="0"/>
      <w:divBdr>
        <w:top w:val="none" w:sz="0" w:space="0" w:color="auto"/>
        <w:left w:val="none" w:sz="0" w:space="0" w:color="auto"/>
        <w:bottom w:val="none" w:sz="0" w:space="0" w:color="auto"/>
        <w:right w:val="none" w:sz="0" w:space="0" w:color="auto"/>
      </w:divBdr>
    </w:div>
    <w:div w:id="1284078475">
      <w:bodyDiv w:val="1"/>
      <w:marLeft w:val="0"/>
      <w:marRight w:val="0"/>
      <w:marTop w:val="0"/>
      <w:marBottom w:val="0"/>
      <w:divBdr>
        <w:top w:val="none" w:sz="0" w:space="0" w:color="auto"/>
        <w:left w:val="none" w:sz="0" w:space="0" w:color="auto"/>
        <w:bottom w:val="none" w:sz="0" w:space="0" w:color="auto"/>
        <w:right w:val="none" w:sz="0" w:space="0" w:color="auto"/>
      </w:divBdr>
    </w:div>
    <w:div w:id="1291478272">
      <w:bodyDiv w:val="1"/>
      <w:marLeft w:val="0"/>
      <w:marRight w:val="0"/>
      <w:marTop w:val="0"/>
      <w:marBottom w:val="0"/>
      <w:divBdr>
        <w:top w:val="none" w:sz="0" w:space="0" w:color="auto"/>
        <w:left w:val="none" w:sz="0" w:space="0" w:color="auto"/>
        <w:bottom w:val="none" w:sz="0" w:space="0" w:color="auto"/>
        <w:right w:val="none" w:sz="0" w:space="0" w:color="auto"/>
      </w:divBdr>
    </w:div>
    <w:div w:id="1303997114">
      <w:bodyDiv w:val="1"/>
      <w:marLeft w:val="0"/>
      <w:marRight w:val="0"/>
      <w:marTop w:val="0"/>
      <w:marBottom w:val="0"/>
      <w:divBdr>
        <w:top w:val="none" w:sz="0" w:space="0" w:color="auto"/>
        <w:left w:val="none" w:sz="0" w:space="0" w:color="auto"/>
        <w:bottom w:val="none" w:sz="0" w:space="0" w:color="auto"/>
        <w:right w:val="none" w:sz="0" w:space="0" w:color="auto"/>
      </w:divBdr>
    </w:div>
    <w:div w:id="1305237944">
      <w:bodyDiv w:val="1"/>
      <w:marLeft w:val="0"/>
      <w:marRight w:val="0"/>
      <w:marTop w:val="0"/>
      <w:marBottom w:val="0"/>
      <w:divBdr>
        <w:top w:val="none" w:sz="0" w:space="0" w:color="auto"/>
        <w:left w:val="none" w:sz="0" w:space="0" w:color="auto"/>
        <w:bottom w:val="none" w:sz="0" w:space="0" w:color="auto"/>
        <w:right w:val="none" w:sz="0" w:space="0" w:color="auto"/>
      </w:divBdr>
    </w:div>
    <w:div w:id="1312753746">
      <w:bodyDiv w:val="1"/>
      <w:marLeft w:val="0"/>
      <w:marRight w:val="0"/>
      <w:marTop w:val="0"/>
      <w:marBottom w:val="0"/>
      <w:divBdr>
        <w:top w:val="none" w:sz="0" w:space="0" w:color="auto"/>
        <w:left w:val="none" w:sz="0" w:space="0" w:color="auto"/>
        <w:bottom w:val="none" w:sz="0" w:space="0" w:color="auto"/>
        <w:right w:val="none" w:sz="0" w:space="0" w:color="auto"/>
      </w:divBdr>
    </w:div>
    <w:div w:id="1331710742">
      <w:bodyDiv w:val="1"/>
      <w:marLeft w:val="0"/>
      <w:marRight w:val="0"/>
      <w:marTop w:val="0"/>
      <w:marBottom w:val="0"/>
      <w:divBdr>
        <w:top w:val="none" w:sz="0" w:space="0" w:color="auto"/>
        <w:left w:val="none" w:sz="0" w:space="0" w:color="auto"/>
        <w:bottom w:val="none" w:sz="0" w:space="0" w:color="auto"/>
        <w:right w:val="none" w:sz="0" w:space="0" w:color="auto"/>
      </w:divBdr>
    </w:div>
    <w:div w:id="1335182610">
      <w:bodyDiv w:val="1"/>
      <w:marLeft w:val="0"/>
      <w:marRight w:val="0"/>
      <w:marTop w:val="0"/>
      <w:marBottom w:val="0"/>
      <w:divBdr>
        <w:top w:val="none" w:sz="0" w:space="0" w:color="auto"/>
        <w:left w:val="none" w:sz="0" w:space="0" w:color="auto"/>
        <w:bottom w:val="none" w:sz="0" w:space="0" w:color="auto"/>
        <w:right w:val="none" w:sz="0" w:space="0" w:color="auto"/>
      </w:divBdr>
    </w:div>
    <w:div w:id="1345741946">
      <w:bodyDiv w:val="1"/>
      <w:marLeft w:val="0"/>
      <w:marRight w:val="0"/>
      <w:marTop w:val="0"/>
      <w:marBottom w:val="0"/>
      <w:divBdr>
        <w:top w:val="none" w:sz="0" w:space="0" w:color="auto"/>
        <w:left w:val="none" w:sz="0" w:space="0" w:color="auto"/>
        <w:bottom w:val="none" w:sz="0" w:space="0" w:color="auto"/>
        <w:right w:val="none" w:sz="0" w:space="0" w:color="auto"/>
      </w:divBdr>
    </w:div>
    <w:div w:id="1353535754">
      <w:bodyDiv w:val="1"/>
      <w:marLeft w:val="0"/>
      <w:marRight w:val="0"/>
      <w:marTop w:val="0"/>
      <w:marBottom w:val="0"/>
      <w:divBdr>
        <w:top w:val="none" w:sz="0" w:space="0" w:color="auto"/>
        <w:left w:val="none" w:sz="0" w:space="0" w:color="auto"/>
        <w:bottom w:val="none" w:sz="0" w:space="0" w:color="auto"/>
        <w:right w:val="none" w:sz="0" w:space="0" w:color="auto"/>
      </w:divBdr>
    </w:div>
    <w:div w:id="1357581505">
      <w:bodyDiv w:val="1"/>
      <w:marLeft w:val="0"/>
      <w:marRight w:val="0"/>
      <w:marTop w:val="0"/>
      <w:marBottom w:val="0"/>
      <w:divBdr>
        <w:top w:val="none" w:sz="0" w:space="0" w:color="auto"/>
        <w:left w:val="none" w:sz="0" w:space="0" w:color="auto"/>
        <w:bottom w:val="none" w:sz="0" w:space="0" w:color="auto"/>
        <w:right w:val="none" w:sz="0" w:space="0" w:color="auto"/>
      </w:divBdr>
    </w:div>
    <w:div w:id="1364599106">
      <w:bodyDiv w:val="1"/>
      <w:marLeft w:val="0"/>
      <w:marRight w:val="0"/>
      <w:marTop w:val="0"/>
      <w:marBottom w:val="0"/>
      <w:divBdr>
        <w:top w:val="none" w:sz="0" w:space="0" w:color="auto"/>
        <w:left w:val="none" w:sz="0" w:space="0" w:color="auto"/>
        <w:bottom w:val="none" w:sz="0" w:space="0" w:color="auto"/>
        <w:right w:val="none" w:sz="0" w:space="0" w:color="auto"/>
      </w:divBdr>
    </w:div>
    <w:div w:id="1377970405">
      <w:bodyDiv w:val="1"/>
      <w:marLeft w:val="0"/>
      <w:marRight w:val="0"/>
      <w:marTop w:val="0"/>
      <w:marBottom w:val="0"/>
      <w:divBdr>
        <w:top w:val="none" w:sz="0" w:space="0" w:color="auto"/>
        <w:left w:val="none" w:sz="0" w:space="0" w:color="auto"/>
        <w:bottom w:val="none" w:sz="0" w:space="0" w:color="auto"/>
        <w:right w:val="none" w:sz="0" w:space="0" w:color="auto"/>
      </w:divBdr>
    </w:div>
    <w:div w:id="1388265193">
      <w:bodyDiv w:val="1"/>
      <w:marLeft w:val="0"/>
      <w:marRight w:val="0"/>
      <w:marTop w:val="0"/>
      <w:marBottom w:val="0"/>
      <w:divBdr>
        <w:top w:val="none" w:sz="0" w:space="0" w:color="auto"/>
        <w:left w:val="none" w:sz="0" w:space="0" w:color="auto"/>
        <w:bottom w:val="none" w:sz="0" w:space="0" w:color="auto"/>
        <w:right w:val="none" w:sz="0" w:space="0" w:color="auto"/>
      </w:divBdr>
    </w:div>
    <w:div w:id="1395813784">
      <w:bodyDiv w:val="1"/>
      <w:marLeft w:val="0"/>
      <w:marRight w:val="0"/>
      <w:marTop w:val="0"/>
      <w:marBottom w:val="0"/>
      <w:divBdr>
        <w:top w:val="none" w:sz="0" w:space="0" w:color="auto"/>
        <w:left w:val="none" w:sz="0" w:space="0" w:color="auto"/>
        <w:bottom w:val="none" w:sz="0" w:space="0" w:color="auto"/>
        <w:right w:val="none" w:sz="0" w:space="0" w:color="auto"/>
      </w:divBdr>
    </w:div>
    <w:div w:id="1396275021">
      <w:bodyDiv w:val="1"/>
      <w:marLeft w:val="0"/>
      <w:marRight w:val="0"/>
      <w:marTop w:val="0"/>
      <w:marBottom w:val="0"/>
      <w:divBdr>
        <w:top w:val="none" w:sz="0" w:space="0" w:color="auto"/>
        <w:left w:val="none" w:sz="0" w:space="0" w:color="auto"/>
        <w:bottom w:val="none" w:sz="0" w:space="0" w:color="auto"/>
        <w:right w:val="none" w:sz="0" w:space="0" w:color="auto"/>
      </w:divBdr>
    </w:div>
    <w:div w:id="1399089792">
      <w:bodyDiv w:val="1"/>
      <w:marLeft w:val="0"/>
      <w:marRight w:val="0"/>
      <w:marTop w:val="0"/>
      <w:marBottom w:val="0"/>
      <w:divBdr>
        <w:top w:val="none" w:sz="0" w:space="0" w:color="auto"/>
        <w:left w:val="none" w:sz="0" w:space="0" w:color="auto"/>
        <w:bottom w:val="none" w:sz="0" w:space="0" w:color="auto"/>
        <w:right w:val="none" w:sz="0" w:space="0" w:color="auto"/>
      </w:divBdr>
    </w:div>
    <w:div w:id="1410663282">
      <w:bodyDiv w:val="1"/>
      <w:marLeft w:val="0"/>
      <w:marRight w:val="0"/>
      <w:marTop w:val="0"/>
      <w:marBottom w:val="0"/>
      <w:divBdr>
        <w:top w:val="none" w:sz="0" w:space="0" w:color="auto"/>
        <w:left w:val="none" w:sz="0" w:space="0" w:color="auto"/>
        <w:bottom w:val="none" w:sz="0" w:space="0" w:color="auto"/>
        <w:right w:val="none" w:sz="0" w:space="0" w:color="auto"/>
      </w:divBdr>
    </w:div>
    <w:div w:id="1416706604">
      <w:bodyDiv w:val="1"/>
      <w:marLeft w:val="0"/>
      <w:marRight w:val="0"/>
      <w:marTop w:val="0"/>
      <w:marBottom w:val="0"/>
      <w:divBdr>
        <w:top w:val="none" w:sz="0" w:space="0" w:color="auto"/>
        <w:left w:val="none" w:sz="0" w:space="0" w:color="auto"/>
        <w:bottom w:val="none" w:sz="0" w:space="0" w:color="auto"/>
        <w:right w:val="none" w:sz="0" w:space="0" w:color="auto"/>
      </w:divBdr>
    </w:div>
    <w:div w:id="1419601326">
      <w:bodyDiv w:val="1"/>
      <w:marLeft w:val="0"/>
      <w:marRight w:val="0"/>
      <w:marTop w:val="0"/>
      <w:marBottom w:val="0"/>
      <w:divBdr>
        <w:top w:val="none" w:sz="0" w:space="0" w:color="auto"/>
        <w:left w:val="none" w:sz="0" w:space="0" w:color="auto"/>
        <w:bottom w:val="none" w:sz="0" w:space="0" w:color="auto"/>
        <w:right w:val="none" w:sz="0" w:space="0" w:color="auto"/>
      </w:divBdr>
    </w:div>
    <w:div w:id="1432163475">
      <w:bodyDiv w:val="1"/>
      <w:marLeft w:val="0"/>
      <w:marRight w:val="0"/>
      <w:marTop w:val="0"/>
      <w:marBottom w:val="0"/>
      <w:divBdr>
        <w:top w:val="none" w:sz="0" w:space="0" w:color="auto"/>
        <w:left w:val="none" w:sz="0" w:space="0" w:color="auto"/>
        <w:bottom w:val="none" w:sz="0" w:space="0" w:color="auto"/>
        <w:right w:val="none" w:sz="0" w:space="0" w:color="auto"/>
      </w:divBdr>
    </w:div>
    <w:div w:id="1448310488">
      <w:bodyDiv w:val="1"/>
      <w:marLeft w:val="0"/>
      <w:marRight w:val="0"/>
      <w:marTop w:val="0"/>
      <w:marBottom w:val="0"/>
      <w:divBdr>
        <w:top w:val="none" w:sz="0" w:space="0" w:color="auto"/>
        <w:left w:val="none" w:sz="0" w:space="0" w:color="auto"/>
        <w:bottom w:val="none" w:sz="0" w:space="0" w:color="auto"/>
        <w:right w:val="none" w:sz="0" w:space="0" w:color="auto"/>
      </w:divBdr>
    </w:div>
    <w:div w:id="1461336527">
      <w:bodyDiv w:val="1"/>
      <w:marLeft w:val="0"/>
      <w:marRight w:val="0"/>
      <w:marTop w:val="0"/>
      <w:marBottom w:val="0"/>
      <w:divBdr>
        <w:top w:val="none" w:sz="0" w:space="0" w:color="auto"/>
        <w:left w:val="none" w:sz="0" w:space="0" w:color="auto"/>
        <w:bottom w:val="none" w:sz="0" w:space="0" w:color="auto"/>
        <w:right w:val="none" w:sz="0" w:space="0" w:color="auto"/>
      </w:divBdr>
    </w:div>
    <w:div w:id="1469978706">
      <w:bodyDiv w:val="1"/>
      <w:marLeft w:val="0"/>
      <w:marRight w:val="0"/>
      <w:marTop w:val="0"/>
      <w:marBottom w:val="0"/>
      <w:divBdr>
        <w:top w:val="none" w:sz="0" w:space="0" w:color="auto"/>
        <w:left w:val="none" w:sz="0" w:space="0" w:color="auto"/>
        <w:bottom w:val="none" w:sz="0" w:space="0" w:color="auto"/>
        <w:right w:val="none" w:sz="0" w:space="0" w:color="auto"/>
      </w:divBdr>
    </w:div>
    <w:div w:id="1470316952">
      <w:bodyDiv w:val="1"/>
      <w:marLeft w:val="0"/>
      <w:marRight w:val="0"/>
      <w:marTop w:val="0"/>
      <w:marBottom w:val="0"/>
      <w:divBdr>
        <w:top w:val="none" w:sz="0" w:space="0" w:color="auto"/>
        <w:left w:val="none" w:sz="0" w:space="0" w:color="auto"/>
        <w:bottom w:val="none" w:sz="0" w:space="0" w:color="auto"/>
        <w:right w:val="none" w:sz="0" w:space="0" w:color="auto"/>
      </w:divBdr>
    </w:div>
    <w:div w:id="1475756518">
      <w:bodyDiv w:val="1"/>
      <w:marLeft w:val="0"/>
      <w:marRight w:val="0"/>
      <w:marTop w:val="0"/>
      <w:marBottom w:val="0"/>
      <w:divBdr>
        <w:top w:val="none" w:sz="0" w:space="0" w:color="auto"/>
        <w:left w:val="none" w:sz="0" w:space="0" w:color="auto"/>
        <w:bottom w:val="none" w:sz="0" w:space="0" w:color="auto"/>
        <w:right w:val="none" w:sz="0" w:space="0" w:color="auto"/>
      </w:divBdr>
    </w:div>
    <w:div w:id="1477644583">
      <w:bodyDiv w:val="1"/>
      <w:marLeft w:val="0"/>
      <w:marRight w:val="0"/>
      <w:marTop w:val="0"/>
      <w:marBottom w:val="0"/>
      <w:divBdr>
        <w:top w:val="none" w:sz="0" w:space="0" w:color="auto"/>
        <w:left w:val="none" w:sz="0" w:space="0" w:color="auto"/>
        <w:bottom w:val="none" w:sz="0" w:space="0" w:color="auto"/>
        <w:right w:val="none" w:sz="0" w:space="0" w:color="auto"/>
      </w:divBdr>
    </w:div>
    <w:div w:id="1480687028">
      <w:bodyDiv w:val="1"/>
      <w:marLeft w:val="0"/>
      <w:marRight w:val="0"/>
      <w:marTop w:val="0"/>
      <w:marBottom w:val="0"/>
      <w:divBdr>
        <w:top w:val="none" w:sz="0" w:space="0" w:color="auto"/>
        <w:left w:val="none" w:sz="0" w:space="0" w:color="auto"/>
        <w:bottom w:val="none" w:sz="0" w:space="0" w:color="auto"/>
        <w:right w:val="none" w:sz="0" w:space="0" w:color="auto"/>
      </w:divBdr>
    </w:div>
    <w:div w:id="1481654224">
      <w:bodyDiv w:val="1"/>
      <w:marLeft w:val="0"/>
      <w:marRight w:val="0"/>
      <w:marTop w:val="0"/>
      <w:marBottom w:val="0"/>
      <w:divBdr>
        <w:top w:val="none" w:sz="0" w:space="0" w:color="auto"/>
        <w:left w:val="none" w:sz="0" w:space="0" w:color="auto"/>
        <w:bottom w:val="none" w:sz="0" w:space="0" w:color="auto"/>
        <w:right w:val="none" w:sz="0" w:space="0" w:color="auto"/>
      </w:divBdr>
    </w:div>
    <w:div w:id="1489174974">
      <w:bodyDiv w:val="1"/>
      <w:marLeft w:val="0"/>
      <w:marRight w:val="0"/>
      <w:marTop w:val="0"/>
      <w:marBottom w:val="0"/>
      <w:divBdr>
        <w:top w:val="none" w:sz="0" w:space="0" w:color="auto"/>
        <w:left w:val="none" w:sz="0" w:space="0" w:color="auto"/>
        <w:bottom w:val="none" w:sz="0" w:space="0" w:color="auto"/>
        <w:right w:val="none" w:sz="0" w:space="0" w:color="auto"/>
      </w:divBdr>
    </w:div>
    <w:div w:id="1489639617">
      <w:bodyDiv w:val="1"/>
      <w:marLeft w:val="0"/>
      <w:marRight w:val="0"/>
      <w:marTop w:val="0"/>
      <w:marBottom w:val="0"/>
      <w:divBdr>
        <w:top w:val="none" w:sz="0" w:space="0" w:color="auto"/>
        <w:left w:val="none" w:sz="0" w:space="0" w:color="auto"/>
        <w:bottom w:val="none" w:sz="0" w:space="0" w:color="auto"/>
        <w:right w:val="none" w:sz="0" w:space="0" w:color="auto"/>
      </w:divBdr>
    </w:div>
    <w:div w:id="1499420551">
      <w:bodyDiv w:val="1"/>
      <w:marLeft w:val="0"/>
      <w:marRight w:val="0"/>
      <w:marTop w:val="0"/>
      <w:marBottom w:val="0"/>
      <w:divBdr>
        <w:top w:val="none" w:sz="0" w:space="0" w:color="auto"/>
        <w:left w:val="none" w:sz="0" w:space="0" w:color="auto"/>
        <w:bottom w:val="none" w:sz="0" w:space="0" w:color="auto"/>
        <w:right w:val="none" w:sz="0" w:space="0" w:color="auto"/>
      </w:divBdr>
    </w:div>
    <w:div w:id="1501044099">
      <w:bodyDiv w:val="1"/>
      <w:marLeft w:val="0"/>
      <w:marRight w:val="0"/>
      <w:marTop w:val="0"/>
      <w:marBottom w:val="0"/>
      <w:divBdr>
        <w:top w:val="none" w:sz="0" w:space="0" w:color="auto"/>
        <w:left w:val="none" w:sz="0" w:space="0" w:color="auto"/>
        <w:bottom w:val="none" w:sz="0" w:space="0" w:color="auto"/>
        <w:right w:val="none" w:sz="0" w:space="0" w:color="auto"/>
      </w:divBdr>
    </w:div>
    <w:div w:id="1501461810">
      <w:bodyDiv w:val="1"/>
      <w:marLeft w:val="0"/>
      <w:marRight w:val="0"/>
      <w:marTop w:val="0"/>
      <w:marBottom w:val="0"/>
      <w:divBdr>
        <w:top w:val="none" w:sz="0" w:space="0" w:color="auto"/>
        <w:left w:val="none" w:sz="0" w:space="0" w:color="auto"/>
        <w:bottom w:val="none" w:sz="0" w:space="0" w:color="auto"/>
        <w:right w:val="none" w:sz="0" w:space="0" w:color="auto"/>
      </w:divBdr>
    </w:div>
    <w:div w:id="1503081401">
      <w:bodyDiv w:val="1"/>
      <w:marLeft w:val="0"/>
      <w:marRight w:val="0"/>
      <w:marTop w:val="0"/>
      <w:marBottom w:val="0"/>
      <w:divBdr>
        <w:top w:val="none" w:sz="0" w:space="0" w:color="auto"/>
        <w:left w:val="none" w:sz="0" w:space="0" w:color="auto"/>
        <w:bottom w:val="none" w:sz="0" w:space="0" w:color="auto"/>
        <w:right w:val="none" w:sz="0" w:space="0" w:color="auto"/>
      </w:divBdr>
    </w:div>
    <w:div w:id="1505701181">
      <w:bodyDiv w:val="1"/>
      <w:marLeft w:val="0"/>
      <w:marRight w:val="0"/>
      <w:marTop w:val="0"/>
      <w:marBottom w:val="0"/>
      <w:divBdr>
        <w:top w:val="none" w:sz="0" w:space="0" w:color="auto"/>
        <w:left w:val="none" w:sz="0" w:space="0" w:color="auto"/>
        <w:bottom w:val="none" w:sz="0" w:space="0" w:color="auto"/>
        <w:right w:val="none" w:sz="0" w:space="0" w:color="auto"/>
      </w:divBdr>
    </w:div>
    <w:div w:id="1509326165">
      <w:bodyDiv w:val="1"/>
      <w:marLeft w:val="0"/>
      <w:marRight w:val="0"/>
      <w:marTop w:val="0"/>
      <w:marBottom w:val="0"/>
      <w:divBdr>
        <w:top w:val="none" w:sz="0" w:space="0" w:color="auto"/>
        <w:left w:val="none" w:sz="0" w:space="0" w:color="auto"/>
        <w:bottom w:val="none" w:sz="0" w:space="0" w:color="auto"/>
        <w:right w:val="none" w:sz="0" w:space="0" w:color="auto"/>
      </w:divBdr>
    </w:div>
    <w:div w:id="1509716469">
      <w:bodyDiv w:val="1"/>
      <w:marLeft w:val="0"/>
      <w:marRight w:val="0"/>
      <w:marTop w:val="0"/>
      <w:marBottom w:val="0"/>
      <w:divBdr>
        <w:top w:val="none" w:sz="0" w:space="0" w:color="auto"/>
        <w:left w:val="none" w:sz="0" w:space="0" w:color="auto"/>
        <w:bottom w:val="none" w:sz="0" w:space="0" w:color="auto"/>
        <w:right w:val="none" w:sz="0" w:space="0" w:color="auto"/>
      </w:divBdr>
    </w:div>
    <w:div w:id="1520703544">
      <w:bodyDiv w:val="1"/>
      <w:marLeft w:val="0"/>
      <w:marRight w:val="0"/>
      <w:marTop w:val="0"/>
      <w:marBottom w:val="0"/>
      <w:divBdr>
        <w:top w:val="none" w:sz="0" w:space="0" w:color="auto"/>
        <w:left w:val="none" w:sz="0" w:space="0" w:color="auto"/>
        <w:bottom w:val="none" w:sz="0" w:space="0" w:color="auto"/>
        <w:right w:val="none" w:sz="0" w:space="0" w:color="auto"/>
      </w:divBdr>
    </w:div>
    <w:div w:id="1530724489">
      <w:bodyDiv w:val="1"/>
      <w:marLeft w:val="0"/>
      <w:marRight w:val="0"/>
      <w:marTop w:val="0"/>
      <w:marBottom w:val="0"/>
      <w:divBdr>
        <w:top w:val="none" w:sz="0" w:space="0" w:color="auto"/>
        <w:left w:val="none" w:sz="0" w:space="0" w:color="auto"/>
        <w:bottom w:val="none" w:sz="0" w:space="0" w:color="auto"/>
        <w:right w:val="none" w:sz="0" w:space="0" w:color="auto"/>
      </w:divBdr>
    </w:div>
    <w:div w:id="1534463863">
      <w:bodyDiv w:val="1"/>
      <w:marLeft w:val="0"/>
      <w:marRight w:val="0"/>
      <w:marTop w:val="0"/>
      <w:marBottom w:val="0"/>
      <w:divBdr>
        <w:top w:val="none" w:sz="0" w:space="0" w:color="auto"/>
        <w:left w:val="none" w:sz="0" w:space="0" w:color="auto"/>
        <w:bottom w:val="none" w:sz="0" w:space="0" w:color="auto"/>
        <w:right w:val="none" w:sz="0" w:space="0" w:color="auto"/>
      </w:divBdr>
    </w:div>
    <w:div w:id="1535270073">
      <w:bodyDiv w:val="1"/>
      <w:marLeft w:val="0"/>
      <w:marRight w:val="0"/>
      <w:marTop w:val="0"/>
      <w:marBottom w:val="0"/>
      <w:divBdr>
        <w:top w:val="none" w:sz="0" w:space="0" w:color="auto"/>
        <w:left w:val="none" w:sz="0" w:space="0" w:color="auto"/>
        <w:bottom w:val="none" w:sz="0" w:space="0" w:color="auto"/>
        <w:right w:val="none" w:sz="0" w:space="0" w:color="auto"/>
      </w:divBdr>
    </w:div>
    <w:div w:id="1542590703">
      <w:bodyDiv w:val="1"/>
      <w:marLeft w:val="0"/>
      <w:marRight w:val="0"/>
      <w:marTop w:val="0"/>
      <w:marBottom w:val="0"/>
      <w:divBdr>
        <w:top w:val="none" w:sz="0" w:space="0" w:color="auto"/>
        <w:left w:val="none" w:sz="0" w:space="0" w:color="auto"/>
        <w:bottom w:val="none" w:sz="0" w:space="0" w:color="auto"/>
        <w:right w:val="none" w:sz="0" w:space="0" w:color="auto"/>
      </w:divBdr>
    </w:div>
    <w:div w:id="1556087162">
      <w:bodyDiv w:val="1"/>
      <w:marLeft w:val="0"/>
      <w:marRight w:val="0"/>
      <w:marTop w:val="0"/>
      <w:marBottom w:val="0"/>
      <w:divBdr>
        <w:top w:val="none" w:sz="0" w:space="0" w:color="auto"/>
        <w:left w:val="none" w:sz="0" w:space="0" w:color="auto"/>
        <w:bottom w:val="none" w:sz="0" w:space="0" w:color="auto"/>
        <w:right w:val="none" w:sz="0" w:space="0" w:color="auto"/>
      </w:divBdr>
    </w:div>
    <w:div w:id="1560629461">
      <w:bodyDiv w:val="1"/>
      <w:marLeft w:val="0"/>
      <w:marRight w:val="0"/>
      <w:marTop w:val="0"/>
      <w:marBottom w:val="0"/>
      <w:divBdr>
        <w:top w:val="none" w:sz="0" w:space="0" w:color="auto"/>
        <w:left w:val="none" w:sz="0" w:space="0" w:color="auto"/>
        <w:bottom w:val="none" w:sz="0" w:space="0" w:color="auto"/>
        <w:right w:val="none" w:sz="0" w:space="0" w:color="auto"/>
      </w:divBdr>
    </w:div>
    <w:div w:id="1567716211">
      <w:bodyDiv w:val="1"/>
      <w:marLeft w:val="0"/>
      <w:marRight w:val="0"/>
      <w:marTop w:val="0"/>
      <w:marBottom w:val="0"/>
      <w:divBdr>
        <w:top w:val="none" w:sz="0" w:space="0" w:color="auto"/>
        <w:left w:val="none" w:sz="0" w:space="0" w:color="auto"/>
        <w:bottom w:val="none" w:sz="0" w:space="0" w:color="auto"/>
        <w:right w:val="none" w:sz="0" w:space="0" w:color="auto"/>
      </w:divBdr>
    </w:div>
    <w:div w:id="1596011409">
      <w:bodyDiv w:val="1"/>
      <w:marLeft w:val="0"/>
      <w:marRight w:val="0"/>
      <w:marTop w:val="0"/>
      <w:marBottom w:val="0"/>
      <w:divBdr>
        <w:top w:val="none" w:sz="0" w:space="0" w:color="auto"/>
        <w:left w:val="none" w:sz="0" w:space="0" w:color="auto"/>
        <w:bottom w:val="none" w:sz="0" w:space="0" w:color="auto"/>
        <w:right w:val="none" w:sz="0" w:space="0" w:color="auto"/>
      </w:divBdr>
    </w:div>
    <w:div w:id="1609504935">
      <w:bodyDiv w:val="1"/>
      <w:marLeft w:val="0"/>
      <w:marRight w:val="0"/>
      <w:marTop w:val="0"/>
      <w:marBottom w:val="0"/>
      <w:divBdr>
        <w:top w:val="none" w:sz="0" w:space="0" w:color="auto"/>
        <w:left w:val="none" w:sz="0" w:space="0" w:color="auto"/>
        <w:bottom w:val="none" w:sz="0" w:space="0" w:color="auto"/>
        <w:right w:val="none" w:sz="0" w:space="0" w:color="auto"/>
      </w:divBdr>
    </w:div>
    <w:div w:id="1614096764">
      <w:bodyDiv w:val="1"/>
      <w:marLeft w:val="0"/>
      <w:marRight w:val="0"/>
      <w:marTop w:val="0"/>
      <w:marBottom w:val="0"/>
      <w:divBdr>
        <w:top w:val="none" w:sz="0" w:space="0" w:color="auto"/>
        <w:left w:val="none" w:sz="0" w:space="0" w:color="auto"/>
        <w:bottom w:val="none" w:sz="0" w:space="0" w:color="auto"/>
        <w:right w:val="none" w:sz="0" w:space="0" w:color="auto"/>
      </w:divBdr>
    </w:div>
    <w:div w:id="1614168637">
      <w:bodyDiv w:val="1"/>
      <w:marLeft w:val="0"/>
      <w:marRight w:val="0"/>
      <w:marTop w:val="0"/>
      <w:marBottom w:val="0"/>
      <w:divBdr>
        <w:top w:val="none" w:sz="0" w:space="0" w:color="auto"/>
        <w:left w:val="none" w:sz="0" w:space="0" w:color="auto"/>
        <w:bottom w:val="none" w:sz="0" w:space="0" w:color="auto"/>
        <w:right w:val="none" w:sz="0" w:space="0" w:color="auto"/>
      </w:divBdr>
    </w:div>
    <w:div w:id="1621912220">
      <w:bodyDiv w:val="1"/>
      <w:marLeft w:val="0"/>
      <w:marRight w:val="0"/>
      <w:marTop w:val="0"/>
      <w:marBottom w:val="0"/>
      <w:divBdr>
        <w:top w:val="none" w:sz="0" w:space="0" w:color="auto"/>
        <w:left w:val="none" w:sz="0" w:space="0" w:color="auto"/>
        <w:bottom w:val="none" w:sz="0" w:space="0" w:color="auto"/>
        <w:right w:val="none" w:sz="0" w:space="0" w:color="auto"/>
      </w:divBdr>
    </w:div>
    <w:div w:id="1622224431">
      <w:bodyDiv w:val="1"/>
      <w:marLeft w:val="0"/>
      <w:marRight w:val="0"/>
      <w:marTop w:val="0"/>
      <w:marBottom w:val="0"/>
      <w:divBdr>
        <w:top w:val="none" w:sz="0" w:space="0" w:color="auto"/>
        <w:left w:val="none" w:sz="0" w:space="0" w:color="auto"/>
        <w:bottom w:val="none" w:sz="0" w:space="0" w:color="auto"/>
        <w:right w:val="none" w:sz="0" w:space="0" w:color="auto"/>
      </w:divBdr>
    </w:div>
    <w:div w:id="1626814734">
      <w:bodyDiv w:val="1"/>
      <w:marLeft w:val="0"/>
      <w:marRight w:val="0"/>
      <w:marTop w:val="0"/>
      <w:marBottom w:val="0"/>
      <w:divBdr>
        <w:top w:val="none" w:sz="0" w:space="0" w:color="auto"/>
        <w:left w:val="none" w:sz="0" w:space="0" w:color="auto"/>
        <w:bottom w:val="none" w:sz="0" w:space="0" w:color="auto"/>
        <w:right w:val="none" w:sz="0" w:space="0" w:color="auto"/>
      </w:divBdr>
    </w:div>
    <w:div w:id="1641954687">
      <w:bodyDiv w:val="1"/>
      <w:marLeft w:val="0"/>
      <w:marRight w:val="0"/>
      <w:marTop w:val="0"/>
      <w:marBottom w:val="0"/>
      <w:divBdr>
        <w:top w:val="none" w:sz="0" w:space="0" w:color="auto"/>
        <w:left w:val="none" w:sz="0" w:space="0" w:color="auto"/>
        <w:bottom w:val="none" w:sz="0" w:space="0" w:color="auto"/>
        <w:right w:val="none" w:sz="0" w:space="0" w:color="auto"/>
      </w:divBdr>
    </w:div>
    <w:div w:id="1644578262">
      <w:bodyDiv w:val="1"/>
      <w:marLeft w:val="0"/>
      <w:marRight w:val="0"/>
      <w:marTop w:val="0"/>
      <w:marBottom w:val="0"/>
      <w:divBdr>
        <w:top w:val="none" w:sz="0" w:space="0" w:color="auto"/>
        <w:left w:val="none" w:sz="0" w:space="0" w:color="auto"/>
        <w:bottom w:val="none" w:sz="0" w:space="0" w:color="auto"/>
        <w:right w:val="none" w:sz="0" w:space="0" w:color="auto"/>
      </w:divBdr>
    </w:div>
    <w:div w:id="1648435451">
      <w:bodyDiv w:val="1"/>
      <w:marLeft w:val="0"/>
      <w:marRight w:val="0"/>
      <w:marTop w:val="0"/>
      <w:marBottom w:val="0"/>
      <w:divBdr>
        <w:top w:val="none" w:sz="0" w:space="0" w:color="auto"/>
        <w:left w:val="none" w:sz="0" w:space="0" w:color="auto"/>
        <w:bottom w:val="none" w:sz="0" w:space="0" w:color="auto"/>
        <w:right w:val="none" w:sz="0" w:space="0" w:color="auto"/>
      </w:divBdr>
    </w:div>
    <w:div w:id="1649282944">
      <w:bodyDiv w:val="1"/>
      <w:marLeft w:val="0"/>
      <w:marRight w:val="0"/>
      <w:marTop w:val="0"/>
      <w:marBottom w:val="0"/>
      <w:divBdr>
        <w:top w:val="none" w:sz="0" w:space="0" w:color="auto"/>
        <w:left w:val="none" w:sz="0" w:space="0" w:color="auto"/>
        <w:bottom w:val="none" w:sz="0" w:space="0" w:color="auto"/>
        <w:right w:val="none" w:sz="0" w:space="0" w:color="auto"/>
      </w:divBdr>
    </w:div>
    <w:div w:id="1652711086">
      <w:bodyDiv w:val="1"/>
      <w:marLeft w:val="0"/>
      <w:marRight w:val="0"/>
      <w:marTop w:val="0"/>
      <w:marBottom w:val="0"/>
      <w:divBdr>
        <w:top w:val="none" w:sz="0" w:space="0" w:color="auto"/>
        <w:left w:val="none" w:sz="0" w:space="0" w:color="auto"/>
        <w:bottom w:val="none" w:sz="0" w:space="0" w:color="auto"/>
        <w:right w:val="none" w:sz="0" w:space="0" w:color="auto"/>
      </w:divBdr>
    </w:div>
    <w:div w:id="1655135170">
      <w:bodyDiv w:val="1"/>
      <w:marLeft w:val="0"/>
      <w:marRight w:val="0"/>
      <w:marTop w:val="0"/>
      <w:marBottom w:val="0"/>
      <w:divBdr>
        <w:top w:val="none" w:sz="0" w:space="0" w:color="auto"/>
        <w:left w:val="none" w:sz="0" w:space="0" w:color="auto"/>
        <w:bottom w:val="none" w:sz="0" w:space="0" w:color="auto"/>
        <w:right w:val="none" w:sz="0" w:space="0" w:color="auto"/>
      </w:divBdr>
    </w:div>
    <w:div w:id="1679648256">
      <w:bodyDiv w:val="1"/>
      <w:marLeft w:val="0"/>
      <w:marRight w:val="0"/>
      <w:marTop w:val="0"/>
      <w:marBottom w:val="0"/>
      <w:divBdr>
        <w:top w:val="none" w:sz="0" w:space="0" w:color="auto"/>
        <w:left w:val="none" w:sz="0" w:space="0" w:color="auto"/>
        <w:bottom w:val="none" w:sz="0" w:space="0" w:color="auto"/>
        <w:right w:val="none" w:sz="0" w:space="0" w:color="auto"/>
      </w:divBdr>
    </w:div>
    <w:div w:id="1694652558">
      <w:bodyDiv w:val="1"/>
      <w:marLeft w:val="0"/>
      <w:marRight w:val="0"/>
      <w:marTop w:val="0"/>
      <w:marBottom w:val="0"/>
      <w:divBdr>
        <w:top w:val="none" w:sz="0" w:space="0" w:color="auto"/>
        <w:left w:val="none" w:sz="0" w:space="0" w:color="auto"/>
        <w:bottom w:val="none" w:sz="0" w:space="0" w:color="auto"/>
        <w:right w:val="none" w:sz="0" w:space="0" w:color="auto"/>
      </w:divBdr>
    </w:div>
    <w:div w:id="1742827645">
      <w:bodyDiv w:val="1"/>
      <w:marLeft w:val="0"/>
      <w:marRight w:val="0"/>
      <w:marTop w:val="0"/>
      <w:marBottom w:val="0"/>
      <w:divBdr>
        <w:top w:val="none" w:sz="0" w:space="0" w:color="auto"/>
        <w:left w:val="none" w:sz="0" w:space="0" w:color="auto"/>
        <w:bottom w:val="none" w:sz="0" w:space="0" w:color="auto"/>
        <w:right w:val="none" w:sz="0" w:space="0" w:color="auto"/>
      </w:divBdr>
    </w:div>
    <w:div w:id="1747341761">
      <w:bodyDiv w:val="1"/>
      <w:marLeft w:val="0"/>
      <w:marRight w:val="0"/>
      <w:marTop w:val="0"/>
      <w:marBottom w:val="0"/>
      <w:divBdr>
        <w:top w:val="none" w:sz="0" w:space="0" w:color="auto"/>
        <w:left w:val="none" w:sz="0" w:space="0" w:color="auto"/>
        <w:bottom w:val="none" w:sz="0" w:space="0" w:color="auto"/>
        <w:right w:val="none" w:sz="0" w:space="0" w:color="auto"/>
      </w:divBdr>
    </w:div>
    <w:div w:id="1750224626">
      <w:bodyDiv w:val="1"/>
      <w:marLeft w:val="0"/>
      <w:marRight w:val="0"/>
      <w:marTop w:val="0"/>
      <w:marBottom w:val="0"/>
      <w:divBdr>
        <w:top w:val="none" w:sz="0" w:space="0" w:color="auto"/>
        <w:left w:val="none" w:sz="0" w:space="0" w:color="auto"/>
        <w:bottom w:val="none" w:sz="0" w:space="0" w:color="auto"/>
        <w:right w:val="none" w:sz="0" w:space="0" w:color="auto"/>
      </w:divBdr>
    </w:div>
    <w:div w:id="1754088471">
      <w:bodyDiv w:val="1"/>
      <w:marLeft w:val="0"/>
      <w:marRight w:val="0"/>
      <w:marTop w:val="0"/>
      <w:marBottom w:val="0"/>
      <w:divBdr>
        <w:top w:val="none" w:sz="0" w:space="0" w:color="auto"/>
        <w:left w:val="none" w:sz="0" w:space="0" w:color="auto"/>
        <w:bottom w:val="none" w:sz="0" w:space="0" w:color="auto"/>
        <w:right w:val="none" w:sz="0" w:space="0" w:color="auto"/>
      </w:divBdr>
    </w:div>
    <w:div w:id="1790051085">
      <w:bodyDiv w:val="1"/>
      <w:marLeft w:val="0"/>
      <w:marRight w:val="0"/>
      <w:marTop w:val="0"/>
      <w:marBottom w:val="0"/>
      <w:divBdr>
        <w:top w:val="none" w:sz="0" w:space="0" w:color="auto"/>
        <w:left w:val="none" w:sz="0" w:space="0" w:color="auto"/>
        <w:bottom w:val="none" w:sz="0" w:space="0" w:color="auto"/>
        <w:right w:val="none" w:sz="0" w:space="0" w:color="auto"/>
      </w:divBdr>
    </w:div>
    <w:div w:id="1790395668">
      <w:bodyDiv w:val="1"/>
      <w:marLeft w:val="0"/>
      <w:marRight w:val="0"/>
      <w:marTop w:val="0"/>
      <w:marBottom w:val="0"/>
      <w:divBdr>
        <w:top w:val="none" w:sz="0" w:space="0" w:color="auto"/>
        <w:left w:val="none" w:sz="0" w:space="0" w:color="auto"/>
        <w:bottom w:val="none" w:sz="0" w:space="0" w:color="auto"/>
        <w:right w:val="none" w:sz="0" w:space="0" w:color="auto"/>
      </w:divBdr>
    </w:div>
    <w:div w:id="1805655813">
      <w:bodyDiv w:val="1"/>
      <w:marLeft w:val="0"/>
      <w:marRight w:val="0"/>
      <w:marTop w:val="0"/>
      <w:marBottom w:val="0"/>
      <w:divBdr>
        <w:top w:val="none" w:sz="0" w:space="0" w:color="auto"/>
        <w:left w:val="none" w:sz="0" w:space="0" w:color="auto"/>
        <w:bottom w:val="none" w:sz="0" w:space="0" w:color="auto"/>
        <w:right w:val="none" w:sz="0" w:space="0" w:color="auto"/>
      </w:divBdr>
    </w:div>
    <w:div w:id="1805851874">
      <w:bodyDiv w:val="1"/>
      <w:marLeft w:val="0"/>
      <w:marRight w:val="0"/>
      <w:marTop w:val="0"/>
      <w:marBottom w:val="0"/>
      <w:divBdr>
        <w:top w:val="none" w:sz="0" w:space="0" w:color="auto"/>
        <w:left w:val="none" w:sz="0" w:space="0" w:color="auto"/>
        <w:bottom w:val="none" w:sz="0" w:space="0" w:color="auto"/>
        <w:right w:val="none" w:sz="0" w:space="0" w:color="auto"/>
      </w:divBdr>
    </w:div>
    <w:div w:id="1811752164">
      <w:bodyDiv w:val="1"/>
      <w:marLeft w:val="0"/>
      <w:marRight w:val="0"/>
      <w:marTop w:val="0"/>
      <w:marBottom w:val="0"/>
      <w:divBdr>
        <w:top w:val="none" w:sz="0" w:space="0" w:color="auto"/>
        <w:left w:val="none" w:sz="0" w:space="0" w:color="auto"/>
        <w:bottom w:val="none" w:sz="0" w:space="0" w:color="auto"/>
        <w:right w:val="none" w:sz="0" w:space="0" w:color="auto"/>
      </w:divBdr>
    </w:div>
    <w:div w:id="1813131857">
      <w:bodyDiv w:val="1"/>
      <w:marLeft w:val="0"/>
      <w:marRight w:val="0"/>
      <w:marTop w:val="0"/>
      <w:marBottom w:val="0"/>
      <w:divBdr>
        <w:top w:val="none" w:sz="0" w:space="0" w:color="auto"/>
        <w:left w:val="none" w:sz="0" w:space="0" w:color="auto"/>
        <w:bottom w:val="none" w:sz="0" w:space="0" w:color="auto"/>
        <w:right w:val="none" w:sz="0" w:space="0" w:color="auto"/>
      </w:divBdr>
    </w:div>
    <w:div w:id="1813987674">
      <w:bodyDiv w:val="1"/>
      <w:marLeft w:val="0"/>
      <w:marRight w:val="0"/>
      <w:marTop w:val="0"/>
      <w:marBottom w:val="0"/>
      <w:divBdr>
        <w:top w:val="none" w:sz="0" w:space="0" w:color="auto"/>
        <w:left w:val="none" w:sz="0" w:space="0" w:color="auto"/>
        <w:bottom w:val="none" w:sz="0" w:space="0" w:color="auto"/>
        <w:right w:val="none" w:sz="0" w:space="0" w:color="auto"/>
      </w:divBdr>
    </w:div>
    <w:div w:id="1827234703">
      <w:bodyDiv w:val="1"/>
      <w:marLeft w:val="0"/>
      <w:marRight w:val="0"/>
      <w:marTop w:val="0"/>
      <w:marBottom w:val="0"/>
      <w:divBdr>
        <w:top w:val="none" w:sz="0" w:space="0" w:color="auto"/>
        <w:left w:val="none" w:sz="0" w:space="0" w:color="auto"/>
        <w:bottom w:val="none" w:sz="0" w:space="0" w:color="auto"/>
        <w:right w:val="none" w:sz="0" w:space="0" w:color="auto"/>
      </w:divBdr>
    </w:div>
    <w:div w:id="1836217517">
      <w:bodyDiv w:val="1"/>
      <w:marLeft w:val="0"/>
      <w:marRight w:val="0"/>
      <w:marTop w:val="0"/>
      <w:marBottom w:val="0"/>
      <w:divBdr>
        <w:top w:val="none" w:sz="0" w:space="0" w:color="auto"/>
        <w:left w:val="none" w:sz="0" w:space="0" w:color="auto"/>
        <w:bottom w:val="none" w:sz="0" w:space="0" w:color="auto"/>
        <w:right w:val="none" w:sz="0" w:space="0" w:color="auto"/>
      </w:divBdr>
    </w:div>
    <w:div w:id="1854878403">
      <w:bodyDiv w:val="1"/>
      <w:marLeft w:val="0"/>
      <w:marRight w:val="0"/>
      <w:marTop w:val="0"/>
      <w:marBottom w:val="0"/>
      <w:divBdr>
        <w:top w:val="none" w:sz="0" w:space="0" w:color="auto"/>
        <w:left w:val="none" w:sz="0" w:space="0" w:color="auto"/>
        <w:bottom w:val="none" w:sz="0" w:space="0" w:color="auto"/>
        <w:right w:val="none" w:sz="0" w:space="0" w:color="auto"/>
      </w:divBdr>
    </w:div>
    <w:div w:id="1887717878">
      <w:bodyDiv w:val="1"/>
      <w:marLeft w:val="0"/>
      <w:marRight w:val="0"/>
      <w:marTop w:val="0"/>
      <w:marBottom w:val="0"/>
      <w:divBdr>
        <w:top w:val="none" w:sz="0" w:space="0" w:color="auto"/>
        <w:left w:val="none" w:sz="0" w:space="0" w:color="auto"/>
        <w:bottom w:val="none" w:sz="0" w:space="0" w:color="auto"/>
        <w:right w:val="none" w:sz="0" w:space="0" w:color="auto"/>
      </w:divBdr>
    </w:div>
    <w:div w:id="1895505260">
      <w:bodyDiv w:val="1"/>
      <w:marLeft w:val="0"/>
      <w:marRight w:val="0"/>
      <w:marTop w:val="0"/>
      <w:marBottom w:val="0"/>
      <w:divBdr>
        <w:top w:val="none" w:sz="0" w:space="0" w:color="auto"/>
        <w:left w:val="none" w:sz="0" w:space="0" w:color="auto"/>
        <w:bottom w:val="none" w:sz="0" w:space="0" w:color="auto"/>
        <w:right w:val="none" w:sz="0" w:space="0" w:color="auto"/>
      </w:divBdr>
    </w:div>
    <w:div w:id="1907759165">
      <w:bodyDiv w:val="1"/>
      <w:marLeft w:val="0"/>
      <w:marRight w:val="0"/>
      <w:marTop w:val="0"/>
      <w:marBottom w:val="0"/>
      <w:divBdr>
        <w:top w:val="none" w:sz="0" w:space="0" w:color="auto"/>
        <w:left w:val="none" w:sz="0" w:space="0" w:color="auto"/>
        <w:bottom w:val="none" w:sz="0" w:space="0" w:color="auto"/>
        <w:right w:val="none" w:sz="0" w:space="0" w:color="auto"/>
      </w:divBdr>
    </w:div>
    <w:div w:id="1909996822">
      <w:bodyDiv w:val="1"/>
      <w:marLeft w:val="0"/>
      <w:marRight w:val="0"/>
      <w:marTop w:val="0"/>
      <w:marBottom w:val="0"/>
      <w:divBdr>
        <w:top w:val="none" w:sz="0" w:space="0" w:color="auto"/>
        <w:left w:val="none" w:sz="0" w:space="0" w:color="auto"/>
        <w:bottom w:val="none" w:sz="0" w:space="0" w:color="auto"/>
        <w:right w:val="none" w:sz="0" w:space="0" w:color="auto"/>
      </w:divBdr>
    </w:div>
    <w:div w:id="1912038407">
      <w:bodyDiv w:val="1"/>
      <w:marLeft w:val="0"/>
      <w:marRight w:val="0"/>
      <w:marTop w:val="0"/>
      <w:marBottom w:val="0"/>
      <w:divBdr>
        <w:top w:val="none" w:sz="0" w:space="0" w:color="auto"/>
        <w:left w:val="none" w:sz="0" w:space="0" w:color="auto"/>
        <w:bottom w:val="none" w:sz="0" w:space="0" w:color="auto"/>
        <w:right w:val="none" w:sz="0" w:space="0" w:color="auto"/>
      </w:divBdr>
    </w:div>
    <w:div w:id="1914123698">
      <w:bodyDiv w:val="1"/>
      <w:marLeft w:val="0"/>
      <w:marRight w:val="0"/>
      <w:marTop w:val="0"/>
      <w:marBottom w:val="0"/>
      <w:divBdr>
        <w:top w:val="none" w:sz="0" w:space="0" w:color="auto"/>
        <w:left w:val="none" w:sz="0" w:space="0" w:color="auto"/>
        <w:bottom w:val="none" w:sz="0" w:space="0" w:color="auto"/>
        <w:right w:val="none" w:sz="0" w:space="0" w:color="auto"/>
      </w:divBdr>
    </w:div>
    <w:div w:id="1932427024">
      <w:bodyDiv w:val="1"/>
      <w:marLeft w:val="0"/>
      <w:marRight w:val="0"/>
      <w:marTop w:val="0"/>
      <w:marBottom w:val="0"/>
      <w:divBdr>
        <w:top w:val="none" w:sz="0" w:space="0" w:color="auto"/>
        <w:left w:val="none" w:sz="0" w:space="0" w:color="auto"/>
        <w:bottom w:val="none" w:sz="0" w:space="0" w:color="auto"/>
        <w:right w:val="none" w:sz="0" w:space="0" w:color="auto"/>
      </w:divBdr>
    </w:div>
    <w:div w:id="1934895627">
      <w:bodyDiv w:val="1"/>
      <w:marLeft w:val="0"/>
      <w:marRight w:val="0"/>
      <w:marTop w:val="0"/>
      <w:marBottom w:val="0"/>
      <w:divBdr>
        <w:top w:val="none" w:sz="0" w:space="0" w:color="auto"/>
        <w:left w:val="none" w:sz="0" w:space="0" w:color="auto"/>
        <w:bottom w:val="none" w:sz="0" w:space="0" w:color="auto"/>
        <w:right w:val="none" w:sz="0" w:space="0" w:color="auto"/>
      </w:divBdr>
    </w:div>
    <w:div w:id="1935354383">
      <w:bodyDiv w:val="1"/>
      <w:marLeft w:val="0"/>
      <w:marRight w:val="0"/>
      <w:marTop w:val="0"/>
      <w:marBottom w:val="0"/>
      <w:divBdr>
        <w:top w:val="none" w:sz="0" w:space="0" w:color="auto"/>
        <w:left w:val="none" w:sz="0" w:space="0" w:color="auto"/>
        <w:bottom w:val="none" w:sz="0" w:space="0" w:color="auto"/>
        <w:right w:val="none" w:sz="0" w:space="0" w:color="auto"/>
      </w:divBdr>
    </w:div>
    <w:div w:id="1935938442">
      <w:bodyDiv w:val="1"/>
      <w:marLeft w:val="0"/>
      <w:marRight w:val="0"/>
      <w:marTop w:val="0"/>
      <w:marBottom w:val="0"/>
      <w:divBdr>
        <w:top w:val="none" w:sz="0" w:space="0" w:color="auto"/>
        <w:left w:val="none" w:sz="0" w:space="0" w:color="auto"/>
        <w:bottom w:val="none" w:sz="0" w:space="0" w:color="auto"/>
        <w:right w:val="none" w:sz="0" w:space="0" w:color="auto"/>
      </w:divBdr>
    </w:div>
    <w:div w:id="1943294274">
      <w:bodyDiv w:val="1"/>
      <w:marLeft w:val="0"/>
      <w:marRight w:val="0"/>
      <w:marTop w:val="0"/>
      <w:marBottom w:val="0"/>
      <w:divBdr>
        <w:top w:val="none" w:sz="0" w:space="0" w:color="auto"/>
        <w:left w:val="none" w:sz="0" w:space="0" w:color="auto"/>
        <w:bottom w:val="none" w:sz="0" w:space="0" w:color="auto"/>
        <w:right w:val="none" w:sz="0" w:space="0" w:color="auto"/>
      </w:divBdr>
    </w:div>
    <w:div w:id="1943488916">
      <w:bodyDiv w:val="1"/>
      <w:marLeft w:val="0"/>
      <w:marRight w:val="0"/>
      <w:marTop w:val="0"/>
      <w:marBottom w:val="0"/>
      <w:divBdr>
        <w:top w:val="none" w:sz="0" w:space="0" w:color="auto"/>
        <w:left w:val="none" w:sz="0" w:space="0" w:color="auto"/>
        <w:bottom w:val="none" w:sz="0" w:space="0" w:color="auto"/>
        <w:right w:val="none" w:sz="0" w:space="0" w:color="auto"/>
      </w:divBdr>
    </w:div>
    <w:div w:id="1950771038">
      <w:bodyDiv w:val="1"/>
      <w:marLeft w:val="0"/>
      <w:marRight w:val="0"/>
      <w:marTop w:val="0"/>
      <w:marBottom w:val="0"/>
      <w:divBdr>
        <w:top w:val="none" w:sz="0" w:space="0" w:color="auto"/>
        <w:left w:val="none" w:sz="0" w:space="0" w:color="auto"/>
        <w:bottom w:val="none" w:sz="0" w:space="0" w:color="auto"/>
        <w:right w:val="none" w:sz="0" w:space="0" w:color="auto"/>
      </w:divBdr>
    </w:div>
    <w:div w:id="1960913261">
      <w:bodyDiv w:val="1"/>
      <w:marLeft w:val="0"/>
      <w:marRight w:val="0"/>
      <w:marTop w:val="0"/>
      <w:marBottom w:val="0"/>
      <w:divBdr>
        <w:top w:val="none" w:sz="0" w:space="0" w:color="auto"/>
        <w:left w:val="none" w:sz="0" w:space="0" w:color="auto"/>
        <w:bottom w:val="none" w:sz="0" w:space="0" w:color="auto"/>
        <w:right w:val="none" w:sz="0" w:space="0" w:color="auto"/>
      </w:divBdr>
    </w:div>
    <w:div w:id="1963800318">
      <w:bodyDiv w:val="1"/>
      <w:marLeft w:val="0"/>
      <w:marRight w:val="0"/>
      <w:marTop w:val="0"/>
      <w:marBottom w:val="0"/>
      <w:divBdr>
        <w:top w:val="none" w:sz="0" w:space="0" w:color="auto"/>
        <w:left w:val="none" w:sz="0" w:space="0" w:color="auto"/>
        <w:bottom w:val="none" w:sz="0" w:space="0" w:color="auto"/>
        <w:right w:val="none" w:sz="0" w:space="0" w:color="auto"/>
      </w:divBdr>
    </w:div>
    <w:div w:id="1972324223">
      <w:bodyDiv w:val="1"/>
      <w:marLeft w:val="0"/>
      <w:marRight w:val="0"/>
      <w:marTop w:val="0"/>
      <w:marBottom w:val="0"/>
      <w:divBdr>
        <w:top w:val="none" w:sz="0" w:space="0" w:color="auto"/>
        <w:left w:val="none" w:sz="0" w:space="0" w:color="auto"/>
        <w:bottom w:val="none" w:sz="0" w:space="0" w:color="auto"/>
        <w:right w:val="none" w:sz="0" w:space="0" w:color="auto"/>
      </w:divBdr>
    </w:div>
    <w:div w:id="1972398563">
      <w:bodyDiv w:val="1"/>
      <w:marLeft w:val="0"/>
      <w:marRight w:val="0"/>
      <w:marTop w:val="0"/>
      <w:marBottom w:val="0"/>
      <w:divBdr>
        <w:top w:val="none" w:sz="0" w:space="0" w:color="auto"/>
        <w:left w:val="none" w:sz="0" w:space="0" w:color="auto"/>
        <w:bottom w:val="none" w:sz="0" w:space="0" w:color="auto"/>
        <w:right w:val="none" w:sz="0" w:space="0" w:color="auto"/>
      </w:divBdr>
    </w:div>
    <w:div w:id="1990400347">
      <w:bodyDiv w:val="1"/>
      <w:marLeft w:val="0"/>
      <w:marRight w:val="0"/>
      <w:marTop w:val="0"/>
      <w:marBottom w:val="0"/>
      <w:divBdr>
        <w:top w:val="none" w:sz="0" w:space="0" w:color="auto"/>
        <w:left w:val="none" w:sz="0" w:space="0" w:color="auto"/>
        <w:bottom w:val="none" w:sz="0" w:space="0" w:color="auto"/>
        <w:right w:val="none" w:sz="0" w:space="0" w:color="auto"/>
      </w:divBdr>
    </w:div>
    <w:div w:id="2000111666">
      <w:bodyDiv w:val="1"/>
      <w:marLeft w:val="0"/>
      <w:marRight w:val="0"/>
      <w:marTop w:val="0"/>
      <w:marBottom w:val="0"/>
      <w:divBdr>
        <w:top w:val="none" w:sz="0" w:space="0" w:color="auto"/>
        <w:left w:val="none" w:sz="0" w:space="0" w:color="auto"/>
        <w:bottom w:val="none" w:sz="0" w:space="0" w:color="auto"/>
        <w:right w:val="none" w:sz="0" w:space="0" w:color="auto"/>
      </w:divBdr>
    </w:div>
    <w:div w:id="2001301753">
      <w:bodyDiv w:val="1"/>
      <w:marLeft w:val="0"/>
      <w:marRight w:val="0"/>
      <w:marTop w:val="0"/>
      <w:marBottom w:val="0"/>
      <w:divBdr>
        <w:top w:val="none" w:sz="0" w:space="0" w:color="auto"/>
        <w:left w:val="none" w:sz="0" w:space="0" w:color="auto"/>
        <w:bottom w:val="none" w:sz="0" w:space="0" w:color="auto"/>
        <w:right w:val="none" w:sz="0" w:space="0" w:color="auto"/>
      </w:divBdr>
    </w:div>
    <w:div w:id="2002661694">
      <w:bodyDiv w:val="1"/>
      <w:marLeft w:val="0"/>
      <w:marRight w:val="0"/>
      <w:marTop w:val="0"/>
      <w:marBottom w:val="0"/>
      <w:divBdr>
        <w:top w:val="none" w:sz="0" w:space="0" w:color="auto"/>
        <w:left w:val="none" w:sz="0" w:space="0" w:color="auto"/>
        <w:bottom w:val="none" w:sz="0" w:space="0" w:color="auto"/>
        <w:right w:val="none" w:sz="0" w:space="0" w:color="auto"/>
      </w:divBdr>
    </w:div>
    <w:div w:id="2022194291">
      <w:bodyDiv w:val="1"/>
      <w:marLeft w:val="0"/>
      <w:marRight w:val="0"/>
      <w:marTop w:val="0"/>
      <w:marBottom w:val="0"/>
      <w:divBdr>
        <w:top w:val="none" w:sz="0" w:space="0" w:color="auto"/>
        <w:left w:val="none" w:sz="0" w:space="0" w:color="auto"/>
        <w:bottom w:val="none" w:sz="0" w:space="0" w:color="auto"/>
        <w:right w:val="none" w:sz="0" w:space="0" w:color="auto"/>
      </w:divBdr>
    </w:div>
    <w:div w:id="2022731545">
      <w:bodyDiv w:val="1"/>
      <w:marLeft w:val="0"/>
      <w:marRight w:val="0"/>
      <w:marTop w:val="0"/>
      <w:marBottom w:val="0"/>
      <w:divBdr>
        <w:top w:val="none" w:sz="0" w:space="0" w:color="auto"/>
        <w:left w:val="none" w:sz="0" w:space="0" w:color="auto"/>
        <w:bottom w:val="none" w:sz="0" w:space="0" w:color="auto"/>
        <w:right w:val="none" w:sz="0" w:space="0" w:color="auto"/>
      </w:divBdr>
    </w:div>
    <w:div w:id="2026902845">
      <w:bodyDiv w:val="1"/>
      <w:marLeft w:val="0"/>
      <w:marRight w:val="0"/>
      <w:marTop w:val="0"/>
      <w:marBottom w:val="0"/>
      <w:divBdr>
        <w:top w:val="none" w:sz="0" w:space="0" w:color="auto"/>
        <w:left w:val="none" w:sz="0" w:space="0" w:color="auto"/>
        <w:bottom w:val="none" w:sz="0" w:space="0" w:color="auto"/>
        <w:right w:val="none" w:sz="0" w:space="0" w:color="auto"/>
      </w:divBdr>
    </w:div>
    <w:div w:id="2032874878">
      <w:bodyDiv w:val="1"/>
      <w:marLeft w:val="0"/>
      <w:marRight w:val="0"/>
      <w:marTop w:val="0"/>
      <w:marBottom w:val="0"/>
      <w:divBdr>
        <w:top w:val="none" w:sz="0" w:space="0" w:color="auto"/>
        <w:left w:val="none" w:sz="0" w:space="0" w:color="auto"/>
        <w:bottom w:val="none" w:sz="0" w:space="0" w:color="auto"/>
        <w:right w:val="none" w:sz="0" w:space="0" w:color="auto"/>
      </w:divBdr>
    </w:div>
    <w:div w:id="2035232857">
      <w:bodyDiv w:val="1"/>
      <w:marLeft w:val="0"/>
      <w:marRight w:val="0"/>
      <w:marTop w:val="0"/>
      <w:marBottom w:val="0"/>
      <w:divBdr>
        <w:top w:val="none" w:sz="0" w:space="0" w:color="auto"/>
        <w:left w:val="none" w:sz="0" w:space="0" w:color="auto"/>
        <w:bottom w:val="none" w:sz="0" w:space="0" w:color="auto"/>
        <w:right w:val="none" w:sz="0" w:space="0" w:color="auto"/>
      </w:divBdr>
    </w:div>
    <w:div w:id="2044400423">
      <w:bodyDiv w:val="1"/>
      <w:marLeft w:val="0"/>
      <w:marRight w:val="0"/>
      <w:marTop w:val="0"/>
      <w:marBottom w:val="0"/>
      <w:divBdr>
        <w:top w:val="none" w:sz="0" w:space="0" w:color="auto"/>
        <w:left w:val="none" w:sz="0" w:space="0" w:color="auto"/>
        <w:bottom w:val="none" w:sz="0" w:space="0" w:color="auto"/>
        <w:right w:val="none" w:sz="0" w:space="0" w:color="auto"/>
      </w:divBdr>
    </w:div>
    <w:div w:id="2061901279">
      <w:bodyDiv w:val="1"/>
      <w:marLeft w:val="0"/>
      <w:marRight w:val="0"/>
      <w:marTop w:val="0"/>
      <w:marBottom w:val="0"/>
      <w:divBdr>
        <w:top w:val="none" w:sz="0" w:space="0" w:color="auto"/>
        <w:left w:val="none" w:sz="0" w:space="0" w:color="auto"/>
        <w:bottom w:val="none" w:sz="0" w:space="0" w:color="auto"/>
        <w:right w:val="none" w:sz="0" w:space="0" w:color="auto"/>
      </w:divBdr>
    </w:div>
    <w:div w:id="2062826597">
      <w:bodyDiv w:val="1"/>
      <w:marLeft w:val="0"/>
      <w:marRight w:val="0"/>
      <w:marTop w:val="0"/>
      <w:marBottom w:val="0"/>
      <w:divBdr>
        <w:top w:val="none" w:sz="0" w:space="0" w:color="auto"/>
        <w:left w:val="none" w:sz="0" w:space="0" w:color="auto"/>
        <w:bottom w:val="none" w:sz="0" w:space="0" w:color="auto"/>
        <w:right w:val="none" w:sz="0" w:space="0" w:color="auto"/>
      </w:divBdr>
    </w:div>
    <w:div w:id="2063406643">
      <w:bodyDiv w:val="1"/>
      <w:marLeft w:val="0"/>
      <w:marRight w:val="0"/>
      <w:marTop w:val="0"/>
      <w:marBottom w:val="0"/>
      <w:divBdr>
        <w:top w:val="none" w:sz="0" w:space="0" w:color="auto"/>
        <w:left w:val="none" w:sz="0" w:space="0" w:color="auto"/>
        <w:bottom w:val="none" w:sz="0" w:space="0" w:color="auto"/>
        <w:right w:val="none" w:sz="0" w:space="0" w:color="auto"/>
      </w:divBdr>
    </w:div>
    <w:div w:id="2064869624">
      <w:bodyDiv w:val="1"/>
      <w:marLeft w:val="0"/>
      <w:marRight w:val="0"/>
      <w:marTop w:val="0"/>
      <w:marBottom w:val="0"/>
      <w:divBdr>
        <w:top w:val="none" w:sz="0" w:space="0" w:color="auto"/>
        <w:left w:val="none" w:sz="0" w:space="0" w:color="auto"/>
        <w:bottom w:val="none" w:sz="0" w:space="0" w:color="auto"/>
        <w:right w:val="none" w:sz="0" w:space="0" w:color="auto"/>
      </w:divBdr>
    </w:div>
    <w:div w:id="2071807376">
      <w:bodyDiv w:val="1"/>
      <w:marLeft w:val="0"/>
      <w:marRight w:val="0"/>
      <w:marTop w:val="0"/>
      <w:marBottom w:val="0"/>
      <w:divBdr>
        <w:top w:val="none" w:sz="0" w:space="0" w:color="auto"/>
        <w:left w:val="none" w:sz="0" w:space="0" w:color="auto"/>
        <w:bottom w:val="none" w:sz="0" w:space="0" w:color="auto"/>
        <w:right w:val="none" w:sz="0" w:space="0" w:color="auto"/>
      </w:divBdr>
    </w:div>
    <w:div w:id="2077631595">
      <w:bodyDiv w:val="1"/>
      <w:marLeft w:val="0"/>
      <w:marRight w:val="0"/>
      <w:marTop w:val="0"/>
      <w:marBottom w:val="0"/>
      <w:divBdr>
        <w:top w:val="none" w:sz="0" w:space="0" w:color="auto"/>
        <w:left w:val="none" w:sz="0" w:space="0" w:color="auto"/>
        <w:bottom w:val="none" w:sz="0" w:space="0" w:color="auto"/>
        <w:right w:val="none" w:sz="0" w:space="0" w:color="auto"/>
      </w:divBdr>
    </w:div>
    <w:div w:id="2083209179">
      <w:bodyDiv w:val="1"/>
      <w:marLeft w:val="0"/>
      <w:marRight w:val="0"/>
      <w:marTop w:val="0"/>
      <w:marBottom w:val="0"/>
      <w:divBdr>
        <w:top w:val="none" w:sz="0" w:space="0" w:color="auto"/>
        <w:left w:val="none" w:sz="0" w:space="0" w:color="auto"/>
        <w:bottom w:val="none" w:sz="0" w:space="0" w:color="auto"/>
        <w:right w:val="none" w:sz="0" w:space="0" w:color="auto"/>
      </w:divBdr>
    </w:div>
    <w:div w:id="2083523408">
      <w:bodyDiv w:val="1"/>
      <w:marLeft w:val="0"/>
      <w:marRight w:val="0"/>
      <w:marTop w:val="0"/>
      <w:marBottom w:val="0"/>
      <w:divBdr>
        <w:top w:val="none" w:sz="0" w:space="0" w:color="auto"/>
        <w:left w:val="none" w:sz="0" w:space="0" w:color="auto"/>
        <w:bottom w:val="none" w:sz="0" w:space="0" w:color="auto"/>
        <w:right w:val="none" w:sz="0" w:space="0" w:color="auto"/>
      </w:divBdr>
    </w:div>
    <w:div w:id="2095710825">
      <w:bodyDiv w:val="1"/>
      <w:marLeft w:val="0"/>
      <w:marRight w:val="0"/>
      <w:marTop w:val="0"/>
      <w:marBottom w:val="0"/>
      <w:divBdr>
        <w:top w:val="none" w:sz="0" w:space="0" w:color="auto"/>
        <w:left w:val="none" w:sz="0" w:space="0" w:color="auto"/>
        <w:bottom w:val="none" w:sz="0" w:space="0" w:color="auto"/>
        <w:right w:val="none" w:sz="0" w:space="0" w:color="auto"/>
      </w:divBdr>
    </w:div>
    <w:div w:id="2102599206">
      <w:bodyDiv w:val="1"/>
      <w:marLeft w:val="0"/>
      <w:marRight w:val="0"/>
      <w:marTop w:val="0"/>
      <w:marBottom w:val="0"/>
      <w:divBdr>
        <w:top w:val="none" w:sz="0" w:space="0" w:color="auto"/>
        <w:left w:val="none" w:sz="0" w:space="0" w:color="auto"/>
        <w:bottom w:val="none" w:sz="0" w:space="0" w:color="auto"/>
        <w:right w:val="none" w:sz="0" w:space="0" w:color="auto"/>
      </w:divBdr>
    </w:div>
    <w:div w:id="2105882294">
      <w:bodyDiv w:val="1"/>
      <w:marLeft w:val="0"/>
      <w:marRight w:val="0"/>
      <w:marTop w:val="0"/>
      <w:marBottom w:val="0"/>
      <w:divBdr>
        <w:top w:val="none" w:sz="0" w:space="0" w:color="auto"/>
        <w:left w:val="none" w:sz="0" w:space="0" w:color="auto"/>
        <w:bottom w:val="none" w:sz="0" w:space="0" w:color="auto"/>
        <w:right w:val="none" w:sz="0" w:space="0" w:color="auto"/>
      </w:divBdr>
    </w:div>
    <w:div w:id="2107386131">
      <w:bodyDiv w:val="1"/>
      <w:marLeft w:val="0"/>
      <w:marRight w:val="0"/>
      <w:marTop w:val="0"/>
      <w:marBottom w:val="0"/>
      <w:divBdr>
        <w:top w:val="none" w:sz="0" w:space="0" w:color="auto"/>
        <w:left w:val="none" w:sz="0" w:space="0" w:color="auto"/>
        <w:bottom w:val="none" w:sz="0" w:space="0" w:color="auto"/>
        <w:right w:val="none" w:sz="0" w:space="0" w:color="auto"/>
      </w:divBdr>
    </w:div>
    <w:div w:id="2116514826">
      <w:bodyDiv w:val="1"/>
      <w:marLeft w:val="0"/>
      <w:marRight w:val="0"/>
      <w:marTop w:val="0"/>
      <w:marBottom w:val="0"/>
      <w:divBdr>
        <w:top w:val="none" w:sz="0" w:space="0" w:color="auto"/>
        <w:left w:val="none" w:sz="0" w:space="0" w:color="auto"/>
        <w:bottom w:val="none" w:sz="0" w:space="0" w:color="auto"/>
        <w:right w:val="none" w:sz="0" w:space="0" w:color="auto"/>
      </w:divBdr>
    </w:div>
    <w:div w:id="2123187206">
      <w:bodyDiv w:val="1"/>
      <w:marLeft w:val="0"/>
      <w:marRight w:val="0"/>
      <w:marTop w:val="0"/>
      <w:marBottom w:val="0"/>
      <w:divBdr>
        <w:top w:val="none" w:sz="0" w:space="0" w:color="auto"/>
        <w:left w:val="none" w:sz="0" w:space="0" w:color="auto"/>
        <w:bottom w:val="none" w:sz="0" w:space="0" w:color="auto"/>
        <w:right w:val="none" w:sz="0" w:space="0" w:color="auto"/>
      </w:divBdr>
    </w:div>
    <w:div w:id="2142961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hui5.cn/article/d1/82145.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hui5.cn/article/d6/746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ui5.cn/article/0b/576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209</Pages>
  <Words>32250</Words>
  <Characters>183831</Characters>
  <Application>Microsoft Office Word</Application>
  <DocSecurity>0</DocSecurity>
  <Lines>1531</Lines>
  <Paragraphs>431</Paragraphs>
  <ScaleCrop>false</ScaleCrop>
  <Company/>
  <LinksUpToDate>false</LinksUpToDate>
  <CharactersWithSpaces>215650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彭威</cp:lastModifiedBy>
  <cp:revision>41</cp:revision>
  <dcterms:created xsi:type="dcterms:W3CDTF">2025-04-24T02:53:00Z</dcterms:created>
  <dcterms:modified xsi:type="dcterms:W3CDTF">2025-04-25T06:38:00Z</dcterms:modified>
</cp:coreProperties>
</file>