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9527" w14:textId="77777777" w:rsidR="00225E54" w:rsidRDefault="00225E54">
      <w:pPr>
        <w:jc w:val="center"/>
        <w:rPr>
          <w:b/>
          <w:sz w:val="28"/>
          <w:szCs w:val="28"/>
        </w:rPr>
      </w:pPr>
    </w:p>
    <w:p w14:paraId="7CF2D327" w14:textId="77777777" w:rsidR="00225E54" w:rsidRDefault="00000000">
      <w:pPr>
        <w:jc w:val="center"/>
        <w:rPr>
          <w:b/>
          <w:sz w:val="32"/>
          <w:szCs w:val="32"/>
        </w:rPr>
      </w:pPr>
      <w:r>
        <w:rPr>
          <w:rFonts w:hint="eastAsia"/>
          <w:b/>
          <w:sz w:val="32"/>
          <w:szCs w:val="32"/>
        </w:rPr>
        <w:t>山东龙大美食股份有限公司</w:t>
      </w:r>
    </w:p>
    <w:p w14:paraId="0A9B8525" w14:textId="77777777" w:rsidR="00225E54" w:rsidRDefault="00000000">
      <w:pPr>
        <w:jc w:val="center"/>
        <w:rPr>
          <w:b/>
          <w:sz w:val="32"/>
          <w:szCs w:val="32"/>
        </w:rPr>
      </w:pPr>
      <w:r>
        <w:rPr>
          <w:rFonts w:hint="eastAsia"/>
          <w:b/>
          <w:sz w:val="32"/>
          <w:szCs w:val="32"/>
        </w:rPr>
        <w:t>对外担保管理制度</w:t>
      </w:r>
    </w:p>
    <w:p w14:paraId="0B4F873B"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hint="eastAsia"/>
        </w:rPr>
        <w:t>第一章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总</w:t>
      </w:r>
      <w:r>
        <w:rPr>
          <w:rFonts w:ascii="Times New Roman" w:hAnsi="Times New Roman" w:hint="eastAsia"/>
        </w:rPr>
        <w:t xml:space="preserve"> </w:t>
      </w:r>
      <w:r>
        <w:rPr>
          <w:rFonts w:ascii="Times New Roman" w:hAnsi="Times New Roman" w:hint="eastAsia"/>
        </w:rPr>
        <w:t>则</w:t>
      </w:r>
    </w:p>
    <w:p w14:paraId="05038B0C" w14:textId="34118F2C" w:rsidR="00225E54" w:rsidRDefault="00000000">
      <w:pPr>
        <w:spacing w:line="360" w:lineRule="auto"/>
        <w:ind w:firstLineChars="200" w:firstLine="480"/>
        <w:jc w:val="left"/>
        <w:rPr>
          <w:sz w:val="24"/>
        </w:rPr>
      </w:pPr>
      <w:r>
        <w:rPr>
          <w:sz w:val="24"/>
        </w:rPr>
        <w:t>第一条</w:t>
      </w:r>
      <w:r>
        <w:rPr>
          <w:sz w:val="24"/>
        </w:rPr>
        <w:t xml:space="preserve">  </w:t>
      </w:r>
      <w:r>
        <w:rPr>
          <w:sz w:val="24"/>
        </w:rPr>
        <w:t>为维护投资者的利益，规范</w:t>
      </w:r>
      <w:r>
        <w:rPr>
          <w:rFonts w:hint="eastAsia"/>
          <w:sz w:val="24"/>
        </w:rPr>
        <w:t>山东龙大美食股份有限公司</w:t>
      </w:r>
      <w:r>
        <w:rPr>
          <w:sz w:val="24"/>
        </w:rPr>
        <w:t>（以下简称</w:t>
      </w:r>
      <w:r>
        <w:rPr>
          <w:sz w:val="24"/>
        </w:rPr>
        <w:t>“</w:t>
      </w:r>
      <w:r>
        <w:rPr>
          <w:sz w:val="24"/>
        </w:rPr>
        <w:t>公司</w:t>
      </w:r>
      <w:r>
        <w:rPr>
          <w:sz w:val="24"/>
        </w:rPr>
        <w:t>”</w:t>
      </w:r>
      <w:r>
        <w:rPr>
          <w:sz w:val="24"/>
        </w:rPr>
        <w:t>）的担保行为，控制公司资产运营风险，促进公司健康稳定地发展，根据《中华人民共和国</w:t>
      </w:r>
      <w:r>
        <w:rPr>
          <w:rFonts w:hint="eastAsia"/>
          <w:sz w:val="24"/>
        </w:rPr>
        <w:t>民法典</w:t>
      </w:r>
      <w:r>
        <w:rPr>
          <w:sz w:val="24"/>
        </w:rPr>
        <w:t>》《中华人民共和国公司法》《上市公司监管指引第</w:t>
      </w:r>
      <w:r>
        <w:rPr>
          <w:sz w:val="24"/>
        </w:rPr>
        <w:t>8</w:t>
      </w:r>
      <w:r>
        <w:rPr>
          <w:sz w:val="24"/>
        </w:rPr>
        <w:t>号</w:t>
      </w:r>
      <w:r>
        <w:rPr>
          <w:rFonts w:hint="eastAsia"/>
          <w:sz w:val="24"/>
        </w:rPr>
        <w:t>——</w:t>
      </w:r>
      <w:r>
        <w:rPr>
          <w:sz w:val="24"/>
        </w:rPr>
        <w:t>上市公司资金往来、对外担保的监管要求》《深圳证券交易所股票上市规则》（以下简称</w:t>
      </w:r>
      <w:r>
        <w:rPr>
          <w:sz w:val="24"/>
        </w:rPr>
        <w:t>“</w:t>
      </w:r>
      <w:r>
        <w:rPr>
          <w:sz w:val="24"/>
        </w:rPr>
        <w:t>《上市规则》</w:t>
      </w:r>
      <w:r>
        <w:rPr>
          <w:sz w:val="24"/>
        </w:rPr>
        <w:t>”</w:t>
      </w:r>
      <w:r>
        <w:rPr>
          <w:sz w:val="24"/>
        </w:rPr>
        <w:t>）《</w:t>
      </w:r>
      <w:r>
        <w:rPr>
          <w:rFonts w:hint="eastAsia"/>
          <w:sz w:val="24"/>
        </w:rPr>
        <w:t>深圳证券交易所上市公司自律监管指引第</w:t>
      </w:r>
      <w:r>
        <w:rPr>
          <w:rFonts w:hint="eastAsia"/>
          <w:sz w:val="24"/>
        </w:rPr>
        <w:t>1</w:t>
      </w:r>
      <w:r>
        <w:rPr>
          <w:rFonts w:hint="eastAsia"/>
          <w:sz w:val="24"/>
        </w:rPr>
        <w:t>号——主板上市公司规范运作</w:t>
      </w:r>
      <w:r>
        <w:rPr>
          <w:sz w:val="24"/>
        </w:rPr>
        <w:t>》和《</w:t>
      </w:r>
      <w:r>
        <w:rPr>
          <w:rFonts w:hint="eastAsia"/>
          <w:sz w:val="24"/>
        </w:rPr>
        <w:t>山东龙大美食</w:t>
      </w:r>
      <w:r>
        <w:rPr>
          <w:sz w:val="24"/>
        </w:rPr>
        <w:t>股份有限公司章程》（以下简称</w:t>
      </w:r>
      <w:r>
        <w:rPr>
          <w:sz w:val="24"/>
        </w:rPr>
        <w:t>“</w:t>
      </w:r>
      <w:r>
        <w:rPr>
          <w:sz w:val="24"/>
        </w:rPr>
        <w:t>《公司章程》</w:t>
      </w:r>
      <w:r>
        <w:rPr>
          <w:sz w:val="24"/>
        </w:rPr>
        <w:t>”</w:t>
      </w:r>
      <w:r>
        <w:rPr>
          <w:sz w:val="24"/>
        </w:rPr>
        <w:t>）等有关规定，结合公司实际情况，制定本制度。</w:t>
      </w:r>
      <w:r>
        <w:rPr>
          <w:sz w:val="24"/>
        </w:rPr>
        <w:t xml:space="preserve"> </w:t>
      </w:r>
    </w:p>
    <w:p w14:paraId="73FA1011" w14:textId="7B5B15F3" w:rsidR="00225E54" w:rsidRDefault="00000000">
      <w:pPr>
        <w:spacing w:line="360" w:lineRule="auto"/>
        <w:ind w:firstLineChars="200" w:firstLine="480"/>
        <w:jc w:val="left"/>
        <w:rPr>
          <w:sz w:val="24"/>
        </w:rPr>
      </w:pPr>
      <w:r>
        <w:rPr>
          <w:sz w:val="24"/>
        </w:rPr>
        <w:t>第二条</w:t>
      </w:r>
      <w:r>
        <w:rPr>
          <w:sz w:val="24"/>
        </w:rPr>
        <w:t xml:space="preserve">  </w:t>
      </w:r>
      <w:r>
        <w:rPr>
          <w:sz w:val="24"/>
        </w:rPr>
        <w:t>本制度所称担保是指公司</w:t>
      </w:r>
      <w:r>
        <w:rPr>
          <w:rFonts w:hint="eastAsia"/>
          <w:sz w:val="24"/>
        </w:rPr>
        <w:t>或下属公司</w:t>
      </w:r>
      <w:r>
        <w:rPr>
          <w:sz w:val="24"/>
        </w:rPr>
        <w:t>以第三</w:t>
      </w:r>
      <w:r>
        <w:rPr>
          <w:rFonts w:hint="eastAsia"/>
          <w:sz w:val="24"/>
        </w:rPr>
        <w:t>方</w:t>
      </w:r>
      <w:r>
        <w:rPr>
          <w:sz w:val="24"/>
        </w:rPr>
        <w:t>身份为</w:t>
      </w:r>
      <w:r>
        <w:rPr>
          <w:rFonts w:hint="eastAsia"/>
          <w:sz w:val="24"/>
        </w:rPr>
        <w:t>其他单位</w:t>
      </w:r>
      <w:r>
        <w:rPr>
          <w:sz w:val="24"/>
        </w:rPr>
        <w:t>提供的保证、抵押</w:t>
      </w:r>
      <w:r>
        <w:rPr>
          <w:rFonts w:hint="eastAsia"/>
          <w:sz w:val="24"/>
        </w:rPr>
        <w:t>或</w:t>
      </w:r>
      <w:r>
        <w:rPr>
          <w:sz w:val="24"/>
        </w:rPr>
        <w:t>质押</w:t>
      </w:r>
      <w:r>
        <w:rPr>
          <w:rFonts w:hint="eastAsia"/>
          <w:sz w:val="24"/>
        </w:rPr>
        <w:t>及其他担保事宜，包括</w:t>
      </w:r>
      <w:r>
        <w:rPr>
          <w:sz w:val="24"/>
        </w:rPr>
        <w:t>公司为</w:t>
      </w:r>
      <w:r>
        <w:rPr>
          <w:rFonts w:hint="eastAsia"/>
          <w:sz w:val="24"/>
        </w:rPr>
        <w:t>下属公司以及下属公司之间</w:t>
      </w:r>
      <w:r>
        <w:rPr>
          <w:sz w:val="24"/>
        </w:rPr>
        <w:t>的担保。</w:t>
      </w:r>
    </w:p>
    <w:p w14:paraId="5B474BAB" w14:textId="77777777" w:rsidR="00225E54" w:rsidRDefault="00000000">
      <w:pPr>
        <w:spacing w:line="360" w:lineRule="auto"/>
        <w:ind w:firstLineChars="200" w:firstLine="480"/>
        <w:jc w:val="left"/>
        <w:rPr>
          <w:sz w:val="24"/>
        </w:rPr>
      </w:pPr>
      <w:r>
        <w:rPr>
          <w:rFonts w:hint="eastAsia"/>
          <w:sz w:val="24"/>
        </w:rPr>
        <w:t>第三条</w:t>
      </w:r>
      <w:r>
        <w:rPr>
          <w:rFonts w:hint="eastAsia"/>
          <w:sz w:val="24"/>
        </w:rPr>
        <w:t xml:space="preserve"> </w:t>
      </w:r>
      <w:r>
        <w:rPr>
          <w:sz w:val="24"/>
        </w:rPr>
        <w:t xml:space="preserve"> </w:t>
      </w:r>
      <w:r>
        <w:rPr>
          <w:rFonts w:hint="eastAsia"/>
          <w:sz w:val="24"/>
        </w:rPr>
        <w:t>本制度所称下属公司是指公司的全资子公司、控股子公司、公司拥有实际控制权的参股子公司以及孙公司等。</w:t>
      </w:r>
    </w:p>
    <w:p w14:paraId="592EC3C0" w14:textId="77777777" w:rsidR="00225E54" w:rsidRDefault="00000000">
      <w:pPr>
        <w:spacing w:line="360" w:lineRule="auto"/>
        <w:ind w:firstLineChars="200" w:firstLine="480"/>
        <w:jc w:val="left"/>
        <w:rPr>
          <w:sz w:val="24"/>
        </w:rPr>
      </w:pPr>
      <w:r>
        <w:rPr>
          <w:rFonts w:hint="eastAsia"/>
          <w:sz w:val="24"/>
        </w:rPr>
        <w:t>第四条</w:t>
      </w:r>
      <w:r>
        <w:rPr>
          <w:rFonts w:hint="eastAsia"/>
          <w:sz w:val="24"/>
        </w:rPr>
        <w:t xml:space="preserve"> </w:t>
      </w:r>
      <w:r>
        <w:rPr>
          <w:sz w:val="24"/>
        </w:rPr>
        <w:t xml:space="preserve"> </w:t>
      </w:r>
      <w:r>
        <w:rPr>
          <w:sz w:val="24"/>
        </w:rPr>
        <w:t>公司控股子公司为公司合并报表范围内的法人或其他组织提供担保的，公司应当在控股子公司履行审议程序后及时披露</w:t>
      </w:r>
      <w:r>
        <w:rPr>
          <w:rFonts w:hint="eastAsia"/>
          <w:sz w:val="24"/>
        </w:rPr>
        <w:t>。</w:t>
      </w:r>
    </w:p>
    <w:p w14:paraId="7218746A" w14:textId="77777777" w:rsidR="00225E54" w:rsidRDefault="00000000">
      <w:pPr>
        <w:spacing w:line="360" w:lineRule="auto"/>
        <w:ind w:firstLineChars="200" w:firstLine="480"/>
        <w:jc w:val="left"/>
        <w:rPr>
          <w:sz w:val="24"/>
        </w:rPr>
      </w:pPr>
      <w:r>
        <w:rPr>
          <w:sz w:val="24"/>
        </w:rPr>
        <w:t>公司控股子公司为前款规定主体以外的其他主体提供担保的，视同公司提供担保，应当遵守本制度相关规定。</w:t>
      </w:r>
    </w:p>
    <w:p w14:paraId="2F36F447" w14:textId="2387CBEC" w:rsidR="00225E54" w:rsidRDefault="00000000">
      <w:pPr>
        <w:spacing w:line="360" w:lineRule="auto"/>
        <w:ind w:firstLineChars="200" w:firstLine="480"/>
        <w:jc w:val="left"/>
        <w:rPr>
          <w:sz w:val="24"/>
        </w:rPr>
      </w:pPr>
      <w:r>
        <w:rPr>
          <w:sz w:val="24"/>
        </w:rPr>
        <w:t>第</w:t>
      </w:r>
      <w:r>
        <w:rPr>
          <w:rFonts w:hint="eastAsia"/>
          <w:sz w:val="24"/>
        </w:rPr>
        <w:t>五</w:t>
      </w:r>
      <w:r>
        <w:rPr>
          <w:sz w:val="24"/>
        </w:rPr>
        <w:t>条</w:t>
      </w:r>
      <w:r>
        <w:rPr>
          <w:sz w:val="24"/>
        </w:rPr>
        <w:t xml:space="preserve">  </w:t>
      </w:r>
      <w:r>
        <w:rPr>
          <w:sz w:val="24"/>
        </w:rPr>
        <w:t>公司对外担保应当遵循合法、审慎、互利、安全的原则，严格控制担保风险。公司有权拒绝任何强令其为他人提供担保的行为。</w:t>
      </w:r>
    </w:p>
    <w:p w14:paraId="6A4625AD" w14:textId="3EF3A182" w:rsidR="00225E54" w:rsidRDefault="00000000">
      <w:pPr>
        <w:spacing w:line="360" w:lineRule="auto"/>
        <w:ind w:firstLineChars="200" w:firstLine="480"/>
        <w:jc w:val="left"/>
        <w:rPr>
          <w:sz w:val="24"/>
        </w:rPr>
      </w:pPr>
      <w:r>
        <w:rPr>
          <w:sz w:val="24"/>
        </w:rPr>
        <w:t>第</w:t>
      </w:r>
      <w:r>
        <w:rPr>
          <w:rFonts w:hint="eastAsia"/>
          <w:sz w:val="24"/>
        </w:rPr>
        <w:t>六</w:t>
      </w:r>
      <w:r>
        <w:rPr>
          <w:sz w:val="24"/>
        </w:rPr>
        <w:t>条</w:t>
      </w:r>
      <w:r>
        <w:rPr>
          <w:sz w:val="24"/>
        </w:rPr>
        <w:t xml:space="preserve">  </w:t>
      </w:r>
      <w:r>
        <w:rPr>
          <w:sz w:val="24"/>
        </w:rPr>
        <w:t>公司对外担保必须根据《公司章程》和本制度的规定经董事会或股东会审议批准后方可实施。</w:t>
      </w:r>
    </w:p>
    <w:p w14:paraId="20204E8B" w14:textId="77777777" w:rsidR="00225E54" w:rsidRDefault="00000000">
      <w:pPr>
        <w:spacing w:line="360" w:lineRule="auto"/>
        <w:ind w:firstLineChars="200" w:firstLine="480"/>
        <w:jc w:val="left"/>
        <w:rPr>
          <w:sz w:val="24"/>
        </w:rPr>
      </w:pPr>
      <w:r>
        <w:rPr>
          <w:sz w:val="24"/>
        </w:rPr>
        <w:t>第</w:t>
      </w:r>
      <w:r>
        <w:rPr>
          <w:rFonts w:hint="eastAsia"/>
          <w:sz w:val="24"/>
        </w:rPr>
        <w:t>七</w:t>
      </w:r>
      <w:r>
        <w:rPr>
          <w:sz w:val="24"/>
        </w:rPr>
        <w:t>条</w:t>
      </w:r>
      <w:r>
        <w:rPr>
          <w:sz w:val="24"/>
        </w:rPr>
        <w:t xml:space="preserve">  </w:t>
      </w:r>
      <w:r>
        <w:rPr>
          <w:sz w:val="24"/>
        </w:rPr>
        <w:t>公司对外担保实行统一管理，未经公司董事会或股东会批准，公司及</w:t>
      </w:r>
      <w:r>
        <w:rPr>
          <w:rFonts w:hint="eastAsia"/>
          <w:sz w:val="24"/>
        </w:rPr>
        <w:t>下属公司</w:t>
      </w:r>
      <w:r>
        <w:rPr>
          <w:sz w:val="24"/>
        </w:rPr>
        <w:t>不得对外提供担保，不得相互担保。</w:t>
      </w:r>
    </w:p>
    <w:p w14:paraId="1271E52B" w14:textId="77777777" w:rsidR="00225E54" w:rsidRDefault="00000000">
      <w:pPr>
        <w:spacing w:line="360" w:lineRule="auto"/>
        <w:ind w:firstLineChars="200" w:firstLine="480"/>
        <w:jc w:val="left"/>
        <w:rPr>
          <w:sz w:val="24"/>
        </w:rPr>
      </w:pPr>
      <w:r>
        <w:rPr>
          <w:rFonts w:hint="eastAsia"/>
          <w:sz w:val="24"/>
        </w:rPr>
        <w:t>第八条</w:t>
      </w:r>
      <w:r>
        <w:rPr>
          <w:rFonts w:hint="eastAsia"/>
          <w:sz w:val="24"/>
        </w:rPr>
        <w:t xml:space="preserve"> </w:t>
      </w:r>
      <w:r>
        <w:rPr>
          <w:sz w:val="24"/>
        </w:rPr>
        <w:t xml:space="preserve"> </w:t>
      </w:r>
      <w:r>
        <w:rPr>
          <w:rFonts w:hint="eastAsia"/>
          <w:sz w:val="24"/>
        </w:rPr>
        <w:t>公司必须严格按照中国证券监督管理委员会（以下简称“证监会”）</w:t>
      </w:r>
      <w:r>
        <w:rPr>
          <w:rFonts w:hint="eastAsia"/>
          <w:sz w:val="24"/>
        </w:rPr>
        <w:lastRenderedPageBreak/>
        <w:t>及深圳证券交易所（以下简称“深交所”）有关规定，认真履行对外担保事项的信息披露义务。</w:t>
      </w:r>
    </w:p>
    <w:p w14:paraId="36715EB7"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rPr>
        <w:t>第二章</w:t>
      </w:r>
      <w:r>
        <w:rPr>
          <w:rFonts w:ascii="Times New Roman" w:hAnsi="Times New Roman"/>
        </w:rPr>
        <w:t xml:space="preserve">  </w:t>
      </w:r>
      <w:r>
        <w:rPr>
          <w:rFonts w:ascii="Times New Roman" w:hAnsi="Times New Roman"/>
        </w:rPr>
        <w:t>担保对象</w:t>
      </w:r>
    </w:p>
    <w:p w14:paraId="364B5FE2" w14:textId="2BA6F274" w:rsidR="00225E54" w:rsidRDefault="00000000">
      <w:pPr>
        <w:spacing w:line="360" w:lineRule="auto"/>
        <w:ind w:firstLineChars="200" w:firstLine="480"/>
        <w:jc w:val="left"/>
        <w:rPr>
          <w:sz w:val="24"/>
        </w:rPr>
      </w:pPr>
      <w:r>
        <w:rPr>
          <w:sz w:val="24"/>
        </w:rPr>
        <w:t>第</w:t>
      </w:r>
      <w:r>
        <w:rPr>
          <w:rFonts w:hint="eastAsia"/>
          <w:sz w:val="24"/>
        </w:rPr>
        <w:t>九</w:t>
      </w:r>
      <w:r>
        <w:rPr>
          <w:sz w:val="24"/>
        </w:rPr>
        <w:t>条</w:t>
      </w:r>
      <w:r>
        <w:rPr>
          <w:sz w:val="24"/>
        </w:rPr>
        <w:t xml:space="preserve">  </w:t>
      </w:r>
      <w:r>
        <w:rPr>
          <w:sz w:val="24"/>
        </w:rPr>
        <w:t>公司可以为具有独立法人资格且具有下列条件之一的单位担保</w:t>
      </w:r>
      <w:r>
        <w:rPr>
          <w:rFonts w:hint="eastAsia"/>
          <w:sz w:val="24"/>
        </w:rPr>
        <w:t>：</w:t>
      </w:r>
    </w:p>
    <w:p w14:paraId="04AA2CEF" w14:textId="77777777" w:rsidR="00225E54" w:rsidRDefault="00000000">
      <w:pPr>
        <w:spacing w:line="360" w:lineRule="auto"/>
        <w:ind w:firstLineChars="200" w:firstLine="480"/>
        <w:jc w:val="left"/>
        <w:rPr>
          <w:sz w:val="24"/>
        </w:rPr>
      </w:pPr>
      <w:r>
        <w:rPr>
          <w:sz w:val="24"/>
        </w:rPr>
        <w:t>（一）公司</w:t>
      </w:r>
      <w:r>
        <w:rPr>
          <w:rFonts w:hint="eastAsia"/>
          <w:sz w:val="24"/>
        </w:rPr>
        <w:t>下属公司；</w:t>
      </w:r>
    </w:p>
    <w:p w14:paraId="0F8A7969" w14:textId="77777777" w:rsidR="00225E54" w:rsidRDefault="00000000">
      <w:pPr>
        <w:spacing w:line="360" w:lineRule="auto"/>
        <w:ind w:firstLineChars="200" w:firstLine="480"/>
        <w:jc w:val="left"/>
        <w:rPr>
          <w:sz w:val="24"/>
        </w:rPr>
      </w:pPr>
      <w:r>
        <w:rPr>
          <w:sz w:val="24"/>
        </w:rPr>
        <w:t>（二）</w:t>
      </w:r>
      <w:r>
        <w:rPr>
          <w:rFonts w:hint="eastAsia"/>
          <w:sz w:val="24"/>
        </w:rPr>
        <w:t>因业务需要的互保单位；</w:t>
      </w:r>
    </w:p>
    <w:p w14:paraId="4E60678B" w14:textId="77777777" w:rsidR="00225E54" w:rsidRDefault="00000000">
      <w:pPr>
        <w:spacing w:line="360" w:lineRule="auto"/>
        <w:ind w:firstLineChars="200" w:firstLine="480"/>
        <w:jc w:val="left"/>
        <w:rPr>
          <w:sz w:val="24"/>
        </w:rPr>
      </w:pPr>
      <w:r>
        <w:rPr>
          <w:rFonts w:hint="eastAsia"/>
          <w:sz w:val="24"/>
        </w:rPr>
        <w:t>（三）与公司有现实或潜在重要业务关系的单位；</w:t>
      </w:r>
    </w:p>
    <w:p w14:paraId="63711463" w14:textId="77777777" w:rsidR="00225E54" w:rsidRDefault="00000000">
      <w:pPr>
        <w:spacing w:line="360" w:lineRule="auto"/>
        <w:ind w:firstLineChars="200" w:firstLine="480"/>
        <w:jc w:val="left"/>
        <w:rPr>
          <w:sz w:val="24"/>
        </w:rPr>
      </w:pPr>
      <w:r>
        <w:rPr>
          <w:sz w:val="24"/>
        </w:rPr>
        <w:t>以上单位必须同时具有较强偿债能力</w:t>
      </w:r>
      <w:r>
        <w:rPr>
          <w:rFonts w:hint="eastAsia"/>
          <w:sz w:val="24"/>
        </w:rPr>
        <w:t>，并符合本制度的相关规定。</w:t>
      </w:r>
    </w:p>
    <w:p w14:paraId="04281274" w14:textId="77777777" w:rsidR="00225E54" w:rsidRDefault="00000000">
      <w:pPr>
        <w:spacing w:line="360" w:lineRule="auto"/>
        <w:ind w:firstLineChars="200" w:firstLine="480"/>
        <w:jc w:val="left"/>
        <w:rPr>
          <w:sz w:val="24"/>
        </w:rPr>
      </w:pPr>
      <w:r>
        <w:rPr>
          <w:sz w:val="24"/>
        </w:rPr>
        <w:t>第</w:t>
      </w:r>
      <w:r>
        <w:rPr>
          <w:rFonts w:hint="eastAsia"/>
          <w:sz w:val="24"/>
        </w:rPr>
        <w:t>十</w:t>
      </w:r>
      <w:r>
        <w:rPr>
          <w:sz w:val="24"/>
        </w:rPr>
        <w:t>条</w:t>
      </w:r>
      <w:r>
        <w:rPr>
          <w:sz w:val="24"/>
        </w:rPr>
        <w:t xml:space="preserve">  </w:t>
      </w:r>
      <w:r>
        <w:rPr>
          <w:rFonts w:hint="eastAsia"/>
          <w:sz w:val="24"/>
        </w:rPr>
        <w:t>虽不符合本制度第九条所列条件，但公司认为需要与其发展业务往来和合作关系的申请担保人且担保风险较小的，经公司董事会或股东会审议通过后，可以为其提供担保。</w:t>
      </w:r>
    </w:p>
    <w:p w14:paraId="1058A29E"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rPr>
        <w:t>第三章</w:t>
      </w:r>
      <w:r>
        <w:rPr>
          <w:rFonts w:ascii="Times New Roman" w:hAnsi="Times New Roman"/>
        </w:rPr>
        <w:t xml:space="preserve">  </w:t>
      </w:r>
      <w:r>
        <w:rPr>
          <w:rFonts w:ascii="Times New Roman" w:hAnsi="Times New Roman"/>
        </w:rPr>
        <w:t>担保的审批</w:t>
      </w:r>
    </w:p>
    <w:p w14:paraId="33633CE6" w14:textId="77777777" w:rsidR="00225E54" w:rsidRDefault="00000000">
      <w:pPr>
        <w:spacing w:line="360" w:lineRule="auto"/>
        <w:ind w:firstLineChars="200" w:firstLine="480"/>
        <w:jc w:val="left"/>
        <w:rPr>
          <w:sz w:val="24"/>
        </w:rPr>
      </w:pPr>
      <w:r>
        <w:rPr>
          <w:sz w:val="24"/>
        </w:rPr>
        <w:t>第</w:t>
      </w:r>
      <w:r>
        <w:rPr>
          <w:rFonts w:hint="eastAsia"/>
          <w:sz w:val="24"/>
        </w:rPr>
        <w:t>十一</w:t>
      </w:r>
      <w:r>
        <w:rPr>
          <w:sz w:val="24"/>
        </w:rPr>
        <w:t>条</w:t>
      </w:r>
      <w:r>
        <w:rPr>
          <w:rFonts w:hint="eastAsia"/>
          <w:sz w:val="24"/>
        </w:rPr>
        <w:t xml:space="preserve">  </w:t>
      </w:r>
      <w:r>
        <w:rPr>
          <w:rFonts w:hint="eastAsia"/>
          <w:sz w:val="24"/>
        </w:rPr>
        <w:t>未经董事会或者股东会审议通过，公司不得对外提供担保，下列</w:t>
      </w:r>
      <w:r>
        <w:rPr>
          <w:sz w:val="24"/>
        </w:rPr>
        <w:t>担保</w:t>
      </w:r>
      <w:r>
        <w:rPr>
          <w:rFonts w:hint="eastAsia"/>
          <w:sz w:val="24"/>
        </w:rPr>
        <w:t>事项</w:t>
      </w:r>
      <w:r>
        <w:rPr>
          <w:sz w:val="24"/>
        </w:rPr>
        <w:t>，须经</w:t>
      </w:r>
      <w:r>
        <w:rPr>
          <w:rFonts w:hint="eastAsia"/>
          <w:sz w:val="24"/>
        </w:rPr>
        <w:t>董事会审议通过后提交</w:t>
      </w:r>
      <w:r>
        <w:rPr>
          <w:sz w:val="24"/>
        </w:rPr>
        <w:t>股东会</w:t>
      </w:r>
      <w:r>
        <w:rPr>
          <w:rFonts w:hint="eastAsia"/>
          <w:sz w:val="24"/>
        </w:rPr>
        <w:t>审议：</w:t>
      </w:r>
    </w:p>
    <w:p w14:paraId="0124118F" w14:textId="77777777" w:rsidR="00225E54" w:rsidRDefault="00000000">
      <w:pPr>
        <w:spacing w:line="460" w:lineRule="exact"/>
        <w:ind w:firstLineChars="200" w:firstLine="480"/>
        <w:rPr>
          <w:sz w:val="24"/>
          <w:szCs w:val="20"/>
        </w:rPr>
      </w:pPr>
      <w:r>
        <w:rPr>
          <w:rFonts w:hint="eastAsia"/>
          <w:sz w:val="24"/>
        </w:rPr>
        <w:t>（一）单笔担保额超过公司最近一期经审计净资产</w:t>
      </w:r>
      <w:r>
        <w:rPr>
          <w:sz w:val="24"/>
        </w:rPr>
        <w:t>10</w:t>
      </w:r>
      <w:r>
        <w:rPr>
          <w:rFonts w:hint="eastAsia"/>
          <w:sz w:val="24"/>
        </w:rPr>
        <w:t>％的担保；</w:t>
      </w:r>
    </w:p>
    <w:p w14:paraId="5FC251CC" w14:textId="77777777" w:rsidR="00225E54" w:rsidRDefault="00000000">
      <w:pPr>
        <w:spacing w:line="460" w:lineRule="exact"/>
        <w:ind w:firstLineChars="200" w:firstLine="480"/>
        <w:rPr>
          <w:sz w:val="24"/>
        </w:rPr>
      </w:pPr>
      <w:r>
        <w:rPr>
          <w:rFonts w:hint="eastAsia"/>
          <w:sz w:val="24"/>
        </w:rPr>
        <w:t>（二）公司及其控股子公司对外提供的对外担保总额，达到或超过公司最近一期经审计净资产</w:t>
      </w:r>
      <w:r>
        <w:rPr>
          <w:sz w:val="24"/>
        </w:rPr>
        <w:t>50</w:t>
      </w:r>
      <w:r>
        <w:rPr>
          <w:rFonts w:hint="eastAsia"/>
          <w:sz w:val="24"/>
        </w:rPr>
        <w:t>％以后提供的任何担保；</w:t>
      </w:r>
    </w:p>
    <w:p w14:paraId="3CC8D774" w14:textId="77777777" w:rsidR="00225E54" w:rsidRDefault="00000000">
      <w:pPr>
        <w:spacing w:line="460" w:lineRule="exact"/>
        <w:ind w:firstLineChars="200" w:firstLine="480"/>
        <w:rPr>
          <w:sz w:val="24"/>
        </w:rPr>
      </w:pPr>
      <w:r>
        <w:rPr>
          <w:rFonts w:hint="eastAsia"/>
          <w:sz w:val="24"/>
        </w:rPr>
        <w:t>（三）公司及其控股子公司对外提供的担保总额，达到或超过公司最近一期经审计总资产的</w:t>
      </w:r>
      <w:r>
        <w:rPr>
          <w:rFonts w:hint="eastAsia"/>
          <w:sz w:val="24"/>
        </w:rPr>
        <w:t>30%</w:t>
      </w:r>
      <w:r>
        <w:rPr>
          <w:rFonts w:hint="eastAsia"/>
          <w:sz w:val="24"/>
        </w:rPr>
        <w:t>以后提供的任何担保；</w:t>
      </w:r>
    </w:p>
    <w:p w14:paraId="7FFE41FF" w14:textId="77777777" w:rsidR="00225E54" w:rsidRDefault="00000000">
      <w:pPr>
        <w:tabs>
          <w:tab w:val="left" w:pos="900"/>
          <w:tab w:val="left" w:pos="3960"/>
        </w:tabs>
        <w:spacing w:line="460" w:lineRule="exact"/>
        <w:ind w:firstLineChars="200" w:firstLine="480"/>
        <w:rPr>
          <w:sz w:val="24"/>
        </w:rPr>
      </w:pPr>
      <w:r>
        <w:rPr>
          <w:rFonts w:hint="eastAsia"/>
          <w:sz w:val="24"/>
        </w:rPr>
        <w:t>（四）被担保对象最近一期财务报表数据显示资产负债率超过</w:t>
      </w:r>
      <w:r>
        <w:rPr>
          <w:rFonts w:hint="eastAsia"/>
          <w:sz w:val="24"/>
        </w:rPr>
        <w:t>70%</w:t>
      </w:r>
      <w:r>
        <w:rPr>
          <w:rFonts w:hint="eastAsia"/>
          <w:sz w:val="24"/>
        </w:rPr>
        <w:t>；</w:t>
      </w:r>
    </w:p>
    <w:p w14:paraId="5836D111" w14:textId="77777777" w:rsidR="00225E54" w:rsidRDefault="00000000">
      <w:pPr>
        <w:tabs>
          <w:tab w:val="left" w:pos="900"/>
          <w:tab w:val="left" w:pos="3960"/>
        </w:tabs>
        <w:spacing w:line="460" w:lineRule="exact"/>
        <w:ind w:firstLineChars="200" w:firstLine="480"/>
        <w:rPr>
          <w:sz w:val="24"/>
        </w:rPr>
      </w:pPr>
      <w:r>
        <w:rPr>
          <w:rFonts w:hint="eastAsia"/>
          <w:sz w:val="24"/>
        </w:rPr>
        <w:t>（五）最近十二个月内担保金额累计计算超过公司最近一期经审计总资产的</w:t>
      </w:r>
      <w:r>
        <w:rPr>
          <w:rFonts w:hint="eastAsia"/>
          <w:sz w:val="24"/>
        </w:rPr>
        <w:t>30%</w:t>
      </w:r>
      <w:r>
        <w:rPr>
          <w:rFonts w:hint="eastAsia"/>
          <w:sz w:val="24"/>
        </w:rPr>
        <w:t>；</w:t>
      </w:r>
    </w:p>
    <w:p w14:paraId="49FF55B6" w14:textId="77777777" w:rsidR="00225E54" w:rsidRDefault="00000000">
      <w:pPr>
        <w:tabs>
          <w:tab w:val="left" w:pos="900"/>
          <w:tab w:val="left" w:pos="3960"/>
        </w:tabs>
        <w:spacing w:line="460" w:lineRule="exact"/>
        <w:ind w:firstLineChars="200" w:firstLine="480"/>
        <w:rPr>
          <w:sz w:val="24"/>
        </w:rPr>
      </w:pPr>
      <w:r>
        <w:rPr>
          <w:rFonts w:hint="eastAsia"/>
          <w:sz w:val="24"/>
        </w:rPr>
        <w:t>（六）对股东、实际控制人及其关联方提供的担保；</w:t>
      </w:r>
    </w:p>
    <w:p w14:paraId="63880D78" w14:textId="77777777" w:rsidR="00225E54" w:rsidRDefault="00000000">
      <w:pPr>
        <w:tabs>
          <w:tab w:val="left" w:pos="900"/>
          <w:tab w:val="left" w:pos="3960"/>
        </w:tabs>
        <w:spacing w:line="460" w:lineRule="exact"/>
        <w:ind w:firstLineChars="200" w:firstLine="480"/>
        <w:rPr>
          <w:sz w:val="24"/>
        </w:rPr>
      </w:pPr>
      <w:r>
        <w:rPr>
          <w:rFonts w:hint="eastAsia"/>
          <w:sz w:val="24"/>
        </w:rPr>
        <w:t>（七）中国证监会、深交所或者公司章程规定的其他须经股东会审议的担保情形。</w:t>
      </w:r>
    </w:p>
    <w:p w14:paraId="75799313" w14:textId="77777777" w:rsidR="00225E54" w:rsidRDefault="00000000">
      <w:pPr>
        <w:tabs>
          <w:tab w:val="left" w:pos="900"/>
        </w:tabs>
        <w:spacing w:line="460" w:lineRule="exact"/>
        <w:ind w:firstLineChars="200" w:firstLine="480"/>
        <w:rPr>
          <w:sz w:val="24"/>
        </w:rPr>
      </w:pPr>
      <w:r>
        <w:rPr>
          <w:rFonts w:hint="eastAsia"/>
          <w:sz w:val="24"/>
        </w:rPr>
        <w:t>董事会审议担保事项时，除应当经全体董事的过半数审议通过外，还应当经出席董事会会议的三分之二以上董事审议同意，并及时对外披露。股东会审议前</w:t>
      </w:r>
      <w:r>
        <w:rPr>
          <w:rFonts w:hint="eastAsia"/>
          <w:sz w:val="24"/>
        </w:rPr>
        <w:lastRenderedPageBreak/>
        <w:t>款第（五）项</w:t>
      </w:r>
      <w:r>
        <w:rPr>
          <w:rFonts w:cs="宋体"/>
          <w:sz w:val="24"/>
        </w:rPr>
        <w:t>担保</w:t>
      </w:r>
      <w:r>
        <w:rPr>
          <w:rFonts w:cs="宋体" w:hint="eastAsia"/>
          <w:sz w:val="24"/>
        </w:rPr>
        <w:t>事项时</w:t>
      </w:r>
      <w:r>
        <w:rPr>
          <w:rFonts w:hint="eastAsia"/>
          <w:sz w:val="24"/>
        </w:rPr>
        <w:t>，应当经出席会议的股东所持表决权的三分之二以上通过。</w:t>
      </w:r>
    </w:p>
    <w:p w14:paraId="540C41FA" w14:textId="77777777" w:rsidR="00225E54" w:rsidRDefault="00000000">
      <w:pPr>
        <w:tabs>
          <w:tab w:val="left" w:pos="900"/>
        </w:tabs>
        <w:spacing w:line="460" w:lineRule="exact"/>
        <w:ind w:firstLineChars="200" w:firstLine="480"/>
        <w:rPr>
          <w:sz w:val="24"/>
        </w:rPr>
      </w:pPr>
      <w:r>
        <w:rPr>
          <w:rFonts w:hint="eastAsia"/>
          <w:sz w:val="24"/>
        </w:rPr>
        <w:t>股东会在审议为股东、实际控制人及其关联人提供的担保议案时，该股东或者受该实际控制人支配的股东，不得参与该项表决，该项表决须经出席股东会的其他股东所持表决权的半数以上通过。</w:t>
      </w:r>
    </w:p>
    <w:p w14:paraId="754BFA3F" w14:textId="77777777" w:rsidR="00225E54" w:rsidRDefault="00000000">
      <w:pPr>
        <w:tabs>
          <w:tab w:val="left" w:pos="900"/>
        </w:tabs>
        <w:spacing w:line="460" w:lineRule="exact"/>
        <w:ind w:firstLineChars="200" w:firstLine="480"/>
        <w:rPr>
          <w:sz w:val="24"/>
        </w:rPr>
      </w:pPr>
      <w:r>
        <w:rPr>
          <w:rFonts w:hint="eastAsia"/>
          <w:sz w:val="24"/>
        </w:rPr>
        <w:t>第十二条</w:t>
      </w:r>
      <w:r>
        <w:rPr>
          <w:rFonts w:hint="eastAsia"/>
          <w:sz w:val="24"/>
        </w:rPr>
        <w:t xml:space="preserve">  </w:t>
      </w:r>
      <w:r>
        <w:rPr>
          <w:rFonts w:hint="eastAsia"/>
          <w:sz w:val="24"/>
        </w:rPr>
        <w:t>公司对外担保应当采取必要措施核查被担保人的资信情况，并要求对方提供反担保，并应谨慎判断反担保提供方的实际担保能力和反担保的可执行性。</w:t>
      </w:r>
    </w:p>
    <w:p w14:paraId="7ECC2856" w14:textId="77777777" w:rsidR="00225E54" w:rsidRDefault="00000000">
      <w:pPr>
        <w:tabs>
          <w:tab w:val="left" w:pos="900"/>
        </w:tabs>
        <w:spacing w:line="460" w:lineRule="exact"/>
        <w:ind w:firstLineChars="200" w:firstLine="480"/>
        <w:rPr>
          <w:sz w:val="24"/>
        </w:rPr>
      </w:pPr>
      <w:r>
        <w:rPr>
          <w:rFonts w:hint="eastAsia"/>
          <w:sz w:val="24"/>
        </w:rPr>
        <w:t>第十三条</w:t>
      </w:r>
      <w:r>
        <w:rPr>
          <w:rFonts w:hint="eastAsia"/>
          <w:sz w:val="24"/>
        </w:rPr>
        <w:t xml:space="preserve"> </w:t>
      </w:r>
      <w:r>
        <w:rPr>
          <w:sz w:val="24"/>
        </w:rPr>
        <w:t xml:space="preserve"> </w:t>
      </w:r>
      <w:r>
        <w:rPr>
          <w:rFonts w:hint="eastAsia"/>
          <w:sz w:val="24"/>
        </w:rPr>
        <w:t>公司为其控股子公司、参股公司提供担保，该控股子公司、参股公司的其他股东应当按出资比例提供同等担保或者反担保等风险控制措施。如该股东未能按出资比例向公司控股子公司或者参股公司提供同等担保或反担保等风险控制措施，公司董事会应当披露主要原因，并在分析担保对象经营情况、偿债能力的基础上，充分说明该笔担保风险是否可控，是否损害公司利益等。</w:t>
      </w:r>
    </w:p>
    <w:p w14:paraId="79346958" w14:textId="77777777" w:rsidR="00225E54" w:rsidRDefault="00000000">
      <w:pPr>
        <w:spacing w:line="460" w:lineRule="exact"/>
        <w:ind w:firstLineChars="200" w:firstLine="480"/>
        <w:rPr>
          <w:sz w:val="24"/>
        </w:rPr>
      </w:pPr>
      <w:r>
        <w:rPr>
          <w:rFonts w:hint="eastAsia"/>
          <w:sz w:val="24"/>
        </w:rPr>
        <w:t>第十四条</w:t>
      </w:r>
      <w:r>
        <w:rPr>
          <w:rFonts w:hint="eastAsia"/>
          <w:sz w:val="24"/>
        </w:rPr>
        <w:t xml:space="preserve"> </w:t>
      </w:r>
      <w:r>
        <w:rPr>
          <w:sz w:val="24"/>
        </w:rPr>
        <w:t xml:space="preserve"> </w:t>
      </w:r>
      <w:r>
        <w:rPr>
          <w:rFonts w:hint="eastAsia"/>
          <w:sz w:val="24"/>
        </w:rPr>
        <w:t>公司向下属公司提供担保，如每年发生数量众多、需要经常订立担保协议而难以就每份协议提交董事会或者股东会审议的，公司可以对资产负债率为</w:t>
      </w:r>
      <w:r>
        <w:rPr>
          <w:sz w:val="24"/>
        </w:rPr>
        <w:t>70%</w:t>
      </w:r>
      <w:r>
        <w:rPr>
          <w:rFonts w:hint="eastAsia"/>
          <w:sz w:val="24"/>
        </w:rPr>
        <w:t>以上以及资产负债率低于</w:t>
      </w:r>
      <w:r>
        <w:rPr>
          <w:sz w:val="24"/>
        </w:rPr>
        <w:t>70%</w:t>
      </w:r>
      <w:r>
        <w:rPr>
          <w:rFonts w:hint="eastAsia"/>
          <w:sz w:val="24"/>
        </w:rPr>
        <w:t>的两类子公司分别预计未来十二个月的新增</w:t>
      </w:r>
      <w:proofErr w:type="gramStart"/>
      <w:r>
        <w:rPr>
          <w:rFonts w:hint="eastAsia"/>
          <w:sz w:val="24"/>
        </w:rPr>
        <w:t>担保总</w:t>
      </w:r>
      <w:proofErr w:type="gramEnd"/>
      <w:r>
        <w:rPr>
          <w:rFonts w:hint="eastAsia"/>
          <w:sz w:val="24"/>
        </w:rPr>
        <w:t>额度，并提交股东会审议。</w:t>
      </w:r>
    </w:p>
    <w:p w14:paraId="6ABA49C8" w14:textId="77777777" w:rsidR="00225E54" w:rsidRDefault="00000000">
      <w:pPr>
        <w:spacing w:line="460" w:lineRule="exact"/>
        <w:ind w:firstLineChars="200" w:firstLine="480"/>
        <w:rPr>
          <w:sz w:val="24"/>
        </w:rPr>
      </w:pPr>
      <w:r>
        <w:rPr>
          <w:rFonts w:hint="eastAsia"/>
          <w:sz w:val="24"/>
        </w:rPr>
        <w:t>前述担保事项实际发生时，公司应当及时披露，任一时点的担保余额不得超过股东会审议通过的担保额度。</w:t>
      </w:r>
    </w:p>
    <w:p w14:paraId="07AD5E64" w14:textId="77777777" w:rsidR="00225E54" w:rsidRDefault="00000000">
      <w:pPr>
        <w:spacing w:line="360" w:lineRule="auto"/>
        <w:ind w:firstLineChars="200" w:firstLine="480"/>
        <w:jc w:val="left"/>
        <w:rPr>
          <w:sz w:val="24"/>
        </w:rPr>
      </w:pPr>
      <w:r>
        <w:rPr>
          <w:rFonts w:hint="eastAsia"/>
          <w:sz w:val="24"/>
        </w:rPr>
        <w:t>第十五条</w:t>
      </w:r>
      <w:r>
        <w:rPr>
          <w:rFonts w:hint="eastAsia"/>
          <w:sz w:val="24"/>
        </w:rPr>
        <w:t xml:space="preserve"> </w:t>
      </w:r>
      <w:r>
        <w:rPr>
          <w:sz w:val="24"/>
        </w:rPr>
        <w:t xml:space="preserve"> </w:t>
      </w:r>
      <w:r>
        <w:rPr>
          <w:rFonts w:hint="eastAsia"/>
          <w:sz w:val="24"/>
        </w:rPr>
        <w:t>对于应当提交股东会审议的担保事项，判断被担保人资产负债率是否超过</w:t>
      </w:r>
      <w:r>
        <w:rPr>
          <w:rFonts w:hint="eastAsia"/>
          <w:sz w:val="24"/>
        </w:rPr>
        <w:t>7</w:t>
      </w:r>
      <w:r>
        <w:rPr>
          <w:sz w:val="24"/>
        </w:rPr>
        <w:t>0</w:t>
      </w:r>
      <w:r>
        <w:rPr>
          <w:rFonts w:hint="eastAsia"/>
          <w:sz w:val="24"/>
        </w:rPr>
        <w:t>%</w:t>
      </w:r>
      <w:r>
        <w:rPr>
          <w:rFonts w:hint="eastAsia"/>
          <w:sz w:val="24"/>
        </w:rPr>
        <w:t>时，应当以被担保人最近一年经审计财务报表或者最近一期财务报表数据孰高为准。</w:t>
      </w:r>
    </w:p>
    <w:p w14:paraId="210AE8EA" w14:textId="77777777" w:rsidR="00225E54" w:rsidRDefault="00000000">
      <w:pPr>
        <w:spacing w:line="360" w:lineRule="auto"/>
        <w:ind w:firstLineChars="200" w:firstLine="480"/>
        <w:jc w:val="left"/>
        <w:rPr>
          <w:sz w:val="24"/>
        </w:rPr>
      </w:pPr>
      <w:r>
        <w:rPr>
          <w:rFonts w:hint="eastAsia"/>
          <w:sz w:val="24"/>
        </w:rPr>
        <w:t>第十六条</w:t>
      </w:r>
      <w:r>
        <w:rPr>
          <w:rFonts w:hint="eastAsia"/>
          <w:sz w:val="24"/>
        </w:rPr>
        <w:t xml:space="preserve">  </w:t>
      </w:r>
      <w:r>
        <w:rPr>
          <w:rFonts w:hint="eastAsia"/>
          <w:sz w:val="24"/>
        </w:rPr>
        <w:t>公司因交易或者关联交易导致其合并报表范围发生变更等情况的，若交易完成后公司存在对关联方提供担保，应当就相关关联担保履行相应审议程序和披露义务。董事会或者股东会</w:t>
      </w:r>
      <w:proofErr w:type="gramStart"/>
      <w:r>
        <w:rPr>
          <w:rFonts w:hint="eastAsia"/>
          <w:sz w:val="24"/>
        </w:rPr>
        <w:t>未审议</w:t>
      </w:r>
      <w:proofErr w:type="gramEnd"/>
      <w:r>
        <w:rPr>
          <w:rFonts w:hint="eastAsia"/>
          <w:sz w:val="24"/>
        </w:rPr>
        <w:t>通过上述关联担保事项的，交易各方应当采取提前终止担保或者取消相关交易或者关联交易等有效措施。</w:t>
      </w:r>
    </w:p>
    <w:p w14:paraId="3A961088" w14:textId="77777777" w:rsidR="00225E54" w:rsidRDefault="00000000">
      <w:pPr>
        <w:spacing w:line="360" w:lineRule="auto"/>
        <w:ind w:firstLineChars="200" w:firstLine="480"/>
        <w:jc w:val="left"/>
        <w:rPr>
          <w:sz w:val="24"/>
        </w:rPr>
      </w:pPr>
      <w:r>
        <w:rPr>
          <w:rFonts w:hint="eastAsia"/>
          <w:sz w:val="24"/>
        </w:rPr>
        <w:t>第十七条</w:t>
      </w:r>
      <w:r>
        <w:rPr>
          <w:rFonts w:hint="eastAsia"/>
          <w:sz w:val="24"/>
        </w:rPr>
        <w:t xml:space="preserve"> </w:t>
      </w:r>
      <w:r>
        <w:rPr>
          <w:sz w:val="24"/>
        </w:rPr>
        <w:t xml:space="preserve"> </w:t>
      </w:r>
      <w:r>
        <w:rPr>
          <w:rFonts w:hint="eastAsia"/>
          <w:sz w:val="24"/>
        </w:rPr>
        <w:t>公司担保的债务到期后需展期并继续为其提供担保的，应当作为新的对外担保，重新履行审议程序。</w:t>
      </w:r>
    </w:p>
    <w:p w14:paraId="2A04FBBD" w14:textId="77777777" w:rsidR="00225E54" w:rsidRDefault="00000000">
      <w:pPr>
        <w:spacing w:line="360" w:lineRule="auto"/>
        <w:ind w:firstLineChars="200" w:firstLine="480"/>
        <w:jc w:val="left"/>
        <w:rPr>
          <w:sz w:val="24"/>
        </w:rPr>
      </w:pPr>
      <w:r>
        <w:rPr>
          <w:rFonts w:hint="eastAsia"/>
          <w:sz w:val="24"/>
        </w:rPr>
        <w:t>第十八条</w:t>
      </w:r>
      <w:r>
        <w:rPr>
          <w:rFonts w:hint="eastAsia"/>
          <w:sz w:val="24"/>
        </w:rPr>
        <w:t xml:space="preserve">  </w:t>
      </w:r>
      <w:r>
        <w:rPr>
          <w:rFonts w:hint="eastAsia"/>
          <w:sz w:val="24"/>
        </w:rPr>
        <w:t>公司及其控股子公司提供反担保应当比照担保的相关规定执行，</w:t>
      </w:r>
      <w:r>
        <w:rPr>
          <w:rFonts w:hint="eastAsia"/>
          <w:sz w:val="24"/>
        </w:rPr>
        <w:lastRenderedPageBreak/>
        <w:t>以其提供的反担保金额为标准履行相应审议程序和信息披露义务，但公司及其控股子公司为以自身债务为基础的担保提供反担保的除外。</w:t>
      </w:r>
    </w:p>
    <w:p w14:paraId="1C3A3C55"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rPr>
        <w:t>第</w:t>
      </w:r>
      <w:r>
        <w:rPr>
          <w:rFonts w:ascii="Times New Roman" w:hAnsi="Times New Roman" w:hint="eastAsia"/>
        </w:rPr>
        <w:t>四</w:t>
      </w:r>
      <w:r>
        <w:rPr>
          <w:rFonts w:ascii="Times New Roman" w:hAnsi="Times New Roman"/>
        </w:rPr>
        <w:t>章</w:t>
      </w:r>
      <w:r>
        <w:rPr>
          <w:rFonts w:ascii="Times New Roman" w:hAnsi="Times New Roman" w:hint="eastAsia"/>
        </w:rPr>
        <w:t xml:space="preserve"> </w:t>
      </w:r>
      <w:r>
        <w:rPr>
          <w:rFonts w:ascii="Times New Roman" w:hAnsi="Times New Roman"/>
        </w:rPr>
        <w:t xml:space="preserve"> </w:t>
      </w:r>
      <w:r>
        <w:rPr>
          <w:rFonts w:ascii="Times New Roman" w:hAnsi="Times New Roman"/>
        </w:rPr>
        <w:t>担保</w:t>
      </w:r>
      <w:r>
        <w:rPr>
          <w:rFonts w:ascii="Times New Roman" w:hAnsi="Times New Roman" w:hint="eastAsia"/>
        </w:rPr>
        <w:t>的</w:t>
      </w:r>
      <w:r>
        <w:rPr>
          <w:rFonts w:ascii="Times New Roman" w:hAnsi="Times New Roman"/>
        </w:rPr>
        <w:t>管理</w:t>
      </w:r>
    </w:p>
    <w:p w14:paraId="012944FA" w14:textId="4498C96B" w:rsidR="00225E54" w:rsidRDefault="00000000">
      <w:pPr>
        <w:spacing w:line="360" w:lineRule="auto"/>
        <w:ind w:firstLineChars="200" w:firstLine="480"/>
        <w:jc w:val="left"/>
        <w:rPr>
          <w:sz w:val="24"/>
        </w:rPr>
      </w:pPr>
      <w:r>
        <w:rPr>
          <w:sz w:val="24"/>
        </w:rPr>
        <w:t>第</w:t>
      </w:r>
      <w:r>
        <w:rPr>
          <w:rFonts w:hint="eastAsia"/>
          <w:sz w:val="24"/>
        </w:rPr>
        <w:t>十九</w:t>
      </w:r>
      <w:r>
        <w:rPr>
          <w:sz w:val="24"/>
        </w:rPr>
        <w:t>条</w:t>
      </w:r>
      <w:r>
        <w:rPr>
          <w:sz w:val="24"/>
        </w:rPr>
        <w:t xml:space="preserve">  </w:t>
      </w:r>
      <w:r>
        <w:rPr>
          <w:sz w:val="24"/>
        </w:rPr>
        <w:t>公司财务部是公司担保行为的职能管理部门。担保合同订立后，公司财务部应指定人员妥善管理担保合同及相关原始资料，及时进行清理检查，并定期与银行等相关机构进行核对，保证存档资料的完整、准确、有效，关注担保的时效、期限。公司在合同管理过程中发现未经董事会或股东会审议批准</w:t>
      </w:r>
      <w:r>
        <w:rPr>
          <w:rFonts w:hint="eastAsia"/>
          <w:sz w:val="24"/>
        </w:rPr>
        <w:t>等存在相关</w:t>
      </w:r>
      <w:r>
        <w:rPr>
          <w:sz w:val="24"/>
        </w:rPr>
        <w:t>异常</w:t>
      </w:r>
      <w:r>
        <w:rPr>
          <w:rFonts w:hint="eastAsia"/>
          <w:sz w:val="24"/>
        </w:rPr>
        <w:t>事项的</w:t>
      </w:r>
      <w:r>
        <w:rPr>
          <w:sz w:val="24"/>
        </w:rPr>
        <w:t>担保合同的，应当及时向董事会、</w:t>
      </w:r>
      <w:r>
        <w:rPr>
          <w:rFonts w:hint="eastAsia"/>
          <w:sz w:val="24"/>
        </w:rPr>
        <w:t>审计委员会</w:t>
      </w:r>
      <w:r>
        <w:rPr>
          <w:sz w:val="24"/>
        </w:rPr>
        <w:t>报告。公司所担保债务到期前，经办责任人要积极督促被担保人按约定时间履行还款义务。</w:t>
      </w:r>
      <w:r>
        <w:rPr>
          <w:rFonts w:hint="eastAsia"/>
          <w:sz w:val="24"/>
        </w:rPr>
        <w:t>提供担保的债务到期后，经办责任人应当督促被担保人在限定时间内履行还款义务，并采取必要的补救措施。</w:t>
      </w:r>
    </w:p>
    <w:p w14:paraId="2747D1DC" w14:textId="77777777" w:rsidR="00225E54" w:rsidRDefault="00000000">
      <w:pPr>
        <w:spacing w:line="360" w:lineRule="auto"/>
        <w:ind w:firstLineChars="200" w:firstLine="480"/>
        <w:jc w:val="left"/>
        <w:rPr>
          <w:sz w:val="24"/>
        </w:rPr>
      </w:pPr>
      <w:r>
        <w:rPr>
          <w:sz w:val="24"/>
        </w:rPr>
        <w:t>第</w:t>
      </w:r>
      <w:r>
        <w:rPr>
          <w:rFonts w:hint="eastAsia"/>
          <w:sz w:val="24"/>
        </w:rPr>
        <w:t>二十</w:t>
      </w:r>
      <w:r>
        <w:rPr>
          <w:sz w:val="24"/>
        </w:rPr>
        <w:t>条</w:t>
      </w:r>
      <w:r>
        <w:rPr>
          <w:rFonts w:hint="eastAsia"/>
          <w:sz w:val="24"/>
        </w:rPr>
        <w:t xml:space="preserve"> </w:t>
      </w:r>
      <w:r>
        <w:rPr>
          <w:sz w:val="24"/>
        </w:rPr>
        <w:t xml:space="preserve"> </w:t>
      </w:r>
      <w:r>
        <w:rPr>
          <w:sz w:val="24"/>
        </w:rPr>
        <w:t>财务部经办责任人应当持续关注被担保人的情况，收集被担保人最近一期的财务资料和审计报告，定期分析其财务状况及偿债能力，关注其生产经营、资产负债、对外担保以及分立合并、法定代表人变化等情况，建立相关财务档案，定期向董事会报告。如发现被担保人经营状况严重恶化或发生公司解散、分立等重大事项的，有关责任人应当及时报告董事会。董事会应当采取有效</w:t>
      </w:r>
      <w:r>
        <w:rPr>
          <w:rFonts w:hint="eastAsia"/>
          <w:sz w:val="24"/>
        </w:rPr>
        <w:t>补救</w:t>
      </w:r>
      <w:r>
        <w:rPr>
          <w:sz w:val="24"/>
        </w:rPr>
        <w:t>措施，将损失降低到最小程度。</w:t>
      </w:r>
    </w:p>
    <w:p w14:paraId="094AB0C1" w14:textId="0582ED4F" w:rsidR="00225E54" w:rsidRDefault="00000000">
      <w:pPr>
        <w:spacing w:line="360" w:lineRule="auto"/>
        <w:ind w:firstLineChars="200" w:firstLine="480"/>
        <w:jc w:val="left"/>
        <w:rPr>
          <w:sz w:val="24"/>
        </w:rPr>
      </w:pPr>
      <w:r>
        <w:rPr>
          <w:sz w:val="24"/>
        </w:rPr>
        <w:t>第</w:t>
      </w:r>
      <w:r>
        <w:rPr>
          <w:rFonts w:hint="eastAsia"/>
          <w:sz w:val="24"/>
        </w:rPr>
        <w:t>二十一</w:t>
      </w:r>
      <w:r>
        <w:rPr>
          <w:sz w:val="24"/>
        </w:rPr>
        <w:t>条</w:t>
      </w:r>
      <w:r>
        <w:rPr>
          <w:sz w:val="24"/>
        </w:rPr>
        <w:t xml:space="preserve">  </w:t>
      </w:r>
      <w:r>
        <w:rPr>
          <w:sz w:val="24"/>
        </w:rPr>
        <w:t>财务部应根据上述情况，采取有效措施，对有可能出现的风险，提出相应处理办法，并上报公司领导。</w:t>
      </w:r>
    </w:p>
    <w:p w14:paraId="116B9433" w14:textId="0AD6A953" w:rsidR="00225E54" w:rsidRDefault="00000000">
      <w:pPr>
        <w:spacing w:line="360" w:lineRule="auto"/>
        <w:ind w:firstLineChars="200" w:firstLine="480"/>
        <w:jc w:val="left"/>
        <w:rPr>
          <w:sz w:val="24"/>
        </w:rPr>
      </w:pPr>
      <w:r>
        <w:rPr>
          <w:sz w:val="24"/>
        </w:rPr>
        <w:t>第</w:t>
      </w:r>
      <w:r>
        <w:rPr>
          <w:rFonts w:hint="eastAsia"/>
          <w:sz w:val="24"/>
        </w:rPr>
        <w:t>二十二</w:t>
      </w:r>
      <w:r>
        <w:rPr>
          <w:sz w:val="24"/>
        </w:rPr>
        <w:t>条</w:t>
      </w:r>
      <w:r>
        <w:rPr>
          <w:rFonts w:hint="eastAsia"/>
          <w:sz w:val="24"/>
        </w:rPr>
        <w:t xml:space="preserve"> </w:t>
      </w:r>
      <w:r>
        <w:rPr>
          <w:sz w:val="24"/>
        </w:rPr>
        <w:t xml:space="preserve"> </w:t>
      </w:r>
      <w:r>
        <w:rPr>
          <w:sz w:val="24"/>
        </w:rPr>
        <w:t>当发现被担保人债务到期后十五个工作日未履行还款义务，或被担保人破产、清算、债权人主张担保人履行担保义务等情况时，公司应及时了解被担保人债务偿还情况，并在知悉后及时报告董事会。</w:t>
      </w:r>
    </w:p>
    <w:p w14:paraId="67212D92" w14:textId="682A7C6A" w:rsidR="00225E54" w:rsidRDefault="00000000">
      <w:pPr>
        <w:spacing w:line="360" w:lineRule="auto"/>
        <w:ind w:firstLineChars="200" w:firstLine="480"/>
        <w:jc w:val="left"/>
        <w:rPr>
          <w:sz w:val="24"/>
        </w:rPr>
      </w:pPr>
      <w:r>
        <w:rPr>
          <w:sz w:val="24"/>
        </w:rPr>
        <w:t>第</w:t>
      </w:r>
      <w:r>
        <w:rPr>
          <w:rFonts w:hint="eastAsia"/>
          <w:sz w:val="24"/>
        </w:rPr>
        <w:t>二十三</w:t>
      </w:r>
      <w:r>
        <w:rPr>
          <w:sz w:val="24"/>
        </w:rPr>
        <w:t>条</w:t>
      </w:r>
      <w:r>
        <w:rPr>
          <w:rFonts w:hint="eastAsia"/>
          <w:sz w:val="24"/>
        </w:rPr>
        <w:t xml:space="preserve"> </w:t>
      </w:r>
      <w:r>
        <w:rPr>
          <w:sz w:val="24"/>
        </w:rPr>
        <w:t xml:space="preserve"> </w:t>
      </w:r>
      <w:r>
        <w:rPr>
          <w:sz w:val="24"/>
        </w:rPr>
        <w:t>被担保人不能履约，担保债权人对公司主张债权时，公司应立即</w:t>
      </w:r>
      <w:r>
        <w:rPr>
          <w:rFonts w:hint="eastAsia"/>
          <w:sz w:val="24"/>
        </w:rPr>
        <w:t>启动</w:t>
      </w:r>
      <w:r>
        <w:rPr>
          <w:sz w:val="24"/>
        </w:rPr>
        <w:t>反担保追偿程序，同时通报董事会秘书，由董事会秘书立即报告董事会。</w:t>
      </w:r>
    </w:p>
    <w:p w14:paraId="7EDE35B4" w14:textId="40F3CF3E" w:rsidR="00225E54" w:rsidRDefault="00000000">
      <w:pPr>
        <w:spacing w:line="360" w:lineRule="auto"/>
        <w:ind w:firstLineChars="200" w:firstLine="480"/>
        <w:jc w:val="left"/>
        <w:rPr>
          <w:sz w:val="24"/>
        </w:rPr>
      </w:pPr>
      <w:r>
        <w:rPr>
          <w:sz w:val="24"/>
        </w:rPr>
        <w:t>第</w:t>
      </w:r>
      <w:r>
        <w:rPr>
          <w:rFonts w:hint="eastAsia"/>
          <w:sz w:val="24"/>
        </w:rPr>
        <w:t>二十四</w:t>
      </w:r>
      <w:r>
        <w:rPr>
          <w:sz w:val="24"/>
        </w:rPr>
        <w:t>条</w:t>
      </w:r>
      <w:r>
        <w:rPr>
          <w:sz w:val="24"/>
        </w:rPr>
        <w:t xml:space="preserve">  </w:t>
      </w:r>
      <w:r>
        <w:rPr>
          <w:sz w:val="24"/>
        </w:rPr>
        <w:t>公司作为一般保证人时，在担保合同纠纷未经审判或仲裁，并就债务人财产依法强制执行仍不能履行债务前，未经公司董事会决定不得对债务人先行承担保证责任。</w:t>
      </w:r>
    </w:p>
    <w:p w14:paraId="2DBF460F" w14:textId="6462441B" w:rsidR="00225E54" w:rsidRDefault="00000000">
      <w:pPr>
        <w:spacing w:line="360" w:lineRule="auto"/>
        <w:ind w:firstLineChars="200" w:firstLine="480"/>
        <w:jc w:val="left"/>
        <w:rPr>
          <w:sz w:val="24"/>
        </w:rPr>
      </w:pPr>
      <w:r>
        <w:rPr>
          <w:sz w:val="24"/>
        </w:rPr>
        <w:t>第</w:t>
      </w:r>
      <w:r>
        <w:rPr>
          <w:rFonts w:hint="eastAsia"/>
          <w:sz w:val="24"/>
        </w:rPr>
        <w:t>二十五</w:t>
      </w:r>
      <w:r>
        <w:rPr>
          <w:sz w:val="24"/>
        </w:rPr>
        <w:t>条</w:t>
      </w:r>
      <w:r>
        <w:rPr>
          <w:sz w:val="24"/>
        </w:rPr>
        <w:t xml:space="preserve">  </w:t>
      </w:r>
      <w:r>
        <w:rPr>
          <w:sz w:val="24"/>
        </w:rPr>
        <w:t>人民法院受理</w:t>
      </w:r>
      <w:r>
        <w:rPr>
          <w:rFonts w:hint="eastAsia"/>
          <w:sz w:val="24"/>
        </w:rPr>
        <w:t>被担保人的</w:t>
      </w:r>
      <w:r>
        <w:rPr>
          <w:sz w:val="24"/>
        </w:rPr>
        <w:t>破产案件后，</w:t>
      </w:r>
      <w:r>
        <w:rPr>
          <w:rFonts w:hint="eastAsia"/>
          <w:sz w:val="24"/>
        </w:rPr>
        <w:t>债权人</w:t>
      </w:r>
      <w:r>
        <w:rPr>
          <w:sz w:val="24"/>
        </w:rPr>
        <w:t>未申报债权的，</w:t>
      </w:r>
      <w:r>
        <w:rPr>
          <w:sz w:val="24"/>
        </w:rPr>
        <w:lastRenderedPageBreak/>
        <w:t>相关责任人应当提请公司参加破产财产分配，预先行使追偿权。</w:t>
      </w:r>
    </w:p>
    <w:p w14:paraId="1DEF771B" w14:textId="28DB9DB2" w:rsidR="00225E54" w:rsidRDefault="00000000">
      <w:pPr>
        <w:spacing w:line="360" w:lineRule="auto"/>
        <w:ind w:firstLineChars="200" w:firstLine="480"/>
        <w:jc w:val="left"/>
        <w:rPr>
          <w:sz w:val="24"/>
        </w:rPr>
      </w:pPr>
      <w:r>
        <w:rPr>
          <w:sz w:val="24"/>
        </w:rPr>
        <w:t>第</w:t>
      </w:r>
      <w:r>
        <w:rPr>
          <w:rFonts w:hint="eastAsia"/>
          <w:sz w:val="24"/>
        </w:rPr>
        <w:t>二十六</w:t>
      </w:r>
      <w:r>
        <w:rPr>
          <w:sz w:val="24"/>
        </w:rPr>
        <w:t>条</w:t>
      </w:r>
      <w:r>
        <w:rPr>
          <w:sz w:val="24"/>
        </w:rPr>
        <w:t xml:space="preserve">  </w:t>
      </w:r>
      <w:r>
        <w:rPr>
          <w:sz w:val="24"/>
        </w:rPr>
        <w:t>保证合同中保证人为二人以上的且与债权人约定按份额承担保证责任的，应当拒绝承担超出公司份额外的保证责任。</w:t>
      </w:r>
    </w:p>
    <w:p w14:paraId="06B90F7E" w14:textId="0C3D7FFF" w:rsidR="00225E54" w:rsidRDefault="00000000">
      <w:pPr>
        <w:spacing w:line="360" w:lineRule="auto"/>
        <w:ind w:firstLineChars="200" w:firstLine="480"/>
        <w:jc w:val="left"/>
        <w:rPr>
          <w:sz w:val="24"/>
        </w:rPr>
      </w:pPr>
      <w:r>
        <w:rPr>
          <w:sz w:val="24"/>
        </w:rPr>
        <w:t>第</w:t>
      </w:r>
      <w:r>
        <w:rPr>
          <w:rFonts w:hint="eastAsia"/>
          <w:sz w:val="24"/>
        </w:rPr>
        <w:t>二十七</w:t>
      </w:r>
      <w:r>
        <w:rPr>
          <w:sz w:val="24"/>
        </w:rPr>
        <w:t>条</w:t>
      </w:r>
      <w:r>
        <w:rPr>
          <w:sz w:val="24"/>
        </w:rPr>
        <w:t xml:space="preserve">  </w:t>
      </w:r>
      <w:r>
        <w:rPr>
          <w:sz w:val="24"/>
        </w:rPr>
        <w:t>对于未约定保证期间的连续债权保证，如发现继续担保存在较大风险时，公司应在发现风险后及时书面通知债权人终止保证合同。</w:t>
      </w:r>
    </w:p>
    <w:p w14:paraId="04940F99" w14:textId="2E64144F" w:rsidR="00225E54" w:rsidRDefault="00000000">
      <w:pPr>
        <w:spacing w:line="360" w:lineRule="auto"/>
        <w:ind w:firstLineChars="200" w:firstLine="480"/>
        <w:jc w:val="left"/>
        <w:rPr>
          <w:sz w:val="24"/>
        </w:rPr>
      </w:pPr>
      <w:r>
        <w:rPr>
          <w:sz w:val="24"/>
        </w:rPr>
        <w:t>第</w:t>
      </w:r>
      <w:r>
        <w:rPr>
          <w:rFonts w:hint="eastAsia"/>
          <w:sz w:val="24"/>
        </w:rPr>
        <w:t>二十八</w:t>
      </w:r>
      <w:r>
        <w:rPr>
          <w:sz w:val="24"/>
        </w:rPr>
        <w:t>条</w:t>
      </w:r>
      <w:r>
        <w:rPr>
          <w:sz w:val="24"/>
        </w:rPr>
        <w:t xml:space="preserve">  </w:t>
      </w:r>
      <w:r>
        <w:rPr>
          <w:sz w:val="24"/>
        </w:rPr>
        <w:t>对于未经公司书面同意债权人与债务人的主合同变更，公司不再承担担保责任。担保合同另有约定的，按照约定执行。</w:t>
      </w:r>
    </w:p>
    <w:p w14:paraId="3F270440" w14:textId="506BD6CB" w:rsidR="00225E54" w:rsidRDefault="00000000">
      <w:pPr>
        <w:spacing w:line="360" w:lineRule="auto"/>
        <w:ind w:firstLineChars="200" w:firstLine="480"/>
        <w:jc w:val="left"/>
        <w:rPr>
          <w:sz w:val="24"/>
        </w:rPr>
      </w:pPr>
      <w:r>
        <w:rPr>
          <w:sz w:val="24"/>
        </w:rPr>
        <w:t>第</w:t>
      </w:r>
      <w:r>
        <w:rPr>
          <w:rFonts w:hint="eastAsia"/>
          <w:sz w:val="24"/>
        </w:rPr>
        <w:t>二十九</w:t>
      </w:r>
      <w:r>
        <w:rPr>
          <w:sz w:val="24"/>
        </w:rPr>
        <w:t>条</w:t>
      </w:r>
      <w:r>
        <w:rPr>
          <w:rFonts w:hint="eastAsia"/>
          <w:sz w:val="24"/>
        </w:rPr>
        <w:t xml:space="preserve"> </w:t>
      </w:r>
      <w:r>
        <w:rPr>
          <w:sz w:val="24"/>
        </w:rPr>
        <w:t xml:space="preserve"> </w:t>
      </w:r>
      <w:r>
        <w:rPr>
          <w:sz w:val="24"/>
        </w:rPr>
        <w:t>公司向债权人履行担保责任后，应当采取有效措施向债务人追偿。</w:t>
      </w:r>
    </w:p>
    <w:p w14:paraId="56DAD068" w14:textId="77777777" w:rsidR="00225E54" w:rsidRDefault="00000000">
      <w:pPr>
        <w:spacing w:line="360" w:lineRule="auto"/>
        <w:ind w:firstLineChars="200" w:firstLine="480"/>
        <w:jc w:val="left"/>
        <w:rPr>
          <w:rFonts w:cs="宋体"/>
          <w:sz w:val="24"/>
        </w:rPr>
      </w:pPr>
      <w:r>
        <w:rPr>
          <w:rFonts w:hint="eastAsia"/>
          <w:sz w:val="24"/>
        </w:rPr>
        <w:t>第三十条</w:t>
      </w:r>
      <w:r>
        <w:rPr>
          <w:rFonts w:hint="eastAsia"/>
          <w:sz w:val="24"/>
        </w:rPr>
        <w:t xml:space="preserve"> </w:t>
      </w:r>
      <w:r>
        <w:rPr>
          <w:sz w:val="24"/>
        </w:rPr>
        <w:t xml:space="preserve"> </w:t>
      </w:r>
      <w:r>
        <w:rPr>
          <w:rFonts w:cs="宋体"/>
          <w:sz w:val="24"/>
        </w:rPr>
        <w:t>公司应对其与控股股东、实际控制人及其他关联方已经发生的对外担保情况进行自查。对于存在违规担保问题的公司，应及时完成整改，维护公司和中小股东的利益。</w:t>
      </w:r>
    </w:p>
    <w:p w14:paraId="237A18B9" w14:textId="77777777" w:rsidR="00225E54" w:rsidRDefault="00000000">
      <w:pPr>
        <w:spacing w:line="360" w:lineRule="auto"/>
        <w:ind w:firstLineChars="200" w:firstLine="480"/>
        <w:jc w:val="left"/>
        <w:rPr>
          <w:rFonts w:cs="宋体"/>
          <w:sz w:val="24"/>
        </w:rPr>
      </w:pPr>
      <w:r>
        <w:rPr>
          <w:rFonts w:cs="宋体" w:hint="eastAsia"/>
          <w:sz w:val="24"/>
        </w:rPr>
        <w:t>第三十一条</w:t>
      </w:r>
      <w:r>
        <w:rPr>
          <w:rFonts w:cs="宋体" w:hint="eastAsia"/>
          <w:sz w:val="24"/>
        </w:rPr>
        <w:t xml:space="preserve">  </w:t>
      </w:r>
      <w:r>
        <w:rPr>
          <w:rFonts w:cs="宋体" w:hint="eastAsia"/>
          <w:sz w:val="24"/>
        </w:rPr>
        <w:t>公司独立董事应在董事会审议对外担保事项时发表独立意见，必要时可聘请会计师事务所对公司累计和当期对外担保情况进行核查。如发现异常，应及时向董事会和监管部门报告并公告。</w:t>
      </w:r>
    </w:p>
    <w:p w14:paraId="1E133D1D" w14:textId="77777777" w:rsidR="00225E54" w:rsidRDefault="00000000">
      <w:pPr>
        <w:spacing w:line="360" w:lineRule="auto"/>
        <w:ind w:firstLineChars="200" w:firstLine="480"/>
        <w:jc w:val="left"/>
        <w:rPr>
          <w:sz w:val="24"/>
        </w:rPr>
      </w:pPr>
      <w:r>
        <w:rPr>
          <w:rFonts w:hint="eastAsia"/>
          <w:sz w:val="24"/>
        </w:rPr>
        <w:t>审计委员会应当持续关注公司提供担保事项的情况，监督及评估公司与担保相关的内部控制事宜，并就相关事项做好与会计师事务所的沟通。发现异常情况的，应当及时提请公司董事会采取相应措施。</w:t>
      </w:r>
    </w:p>
    <w:p w14:paraId="631C3516"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rPr>
        <w:t>第</w:t>
      </w:r>
      <w:r>
        <w:rPr>
          <w:rFonts w:ascii="Times New Roman" w:hAnsi="Times New Roman" w:hint="eastAsia"/>
        </w:rPr>
        <w:t>五</w:t>
      </w:r>
      <w:r>
        <w:rPr>
          <w:rFonts w:ascii="Times New Roman" w:hAnsi="Times New Roman"/>
        </w:rPr>
        <w:t>章</w:t>
      </w:r>
      <w:r>
        <w:rPr>
          <w:rFonts w:ascii="Times New Roman" w:hAnsi="Times New Roman"/>
        </w:rPr>
        <w:t xml:space="preserve">  </w:t>
      </w:r>
      <w:r>
        <w:rPr>
          <w:rFonts w:ascii="Times New Roman" w:hAnsi="Times New Roman"/>
        </w:rPr>
        <w:t>担保信息披露</w:t>
      </w:r>
    </w:p>
    <w:p w14:paraId="4C2D65A2" w14:textId="541BF725" w:rsidR="00225E54" w:rsidRDefault="00000000">
      <w:pPr>
        <w:spacing w:line="360" w:lineRule="auto"/>
        <w:ind w:firstLineChars="200" w:firstLine="480"/>
        <w:jc w:val="left"/>
        <w:rPr>
          <w:sz w:val="24"/>
        </w:rPr>
      </w:pPr>
      <w:r>
        <w:rPr>
          <w:sz w:val="24"/>
        </w:rPr>
        <w:t>第</w:t>
      </w:r>
      <w:r>
        <w:rPr>
          <w:rFonts w:hint="eastAsia"/>
          <w:sz w:val="24"/>
        </w:rPr>
        <w:t>三十二</w:t>
      </w:r>
      <w:r>
        <w:rPr>
          <w:sz w:val="24"/>
        </w:rPr>
        <w:t>条</w:t>
      </w:r>
      <w:r>
        <w:rPr>
          <w:sz w:val="24"/>
        </w:rPr>
        <w:t xml:space="preserve">  </w:t>
      </w:r>
      <w:r>
        <w:rPr>
          <w:sz w:val="24"/>
        </w:rPr>
        <w:t>证券部是公司担保信息披露的职能管理部门。</w:t>
      </w:r>
    </w:p>
    <w:p w14:paraId="04A0CD20" w14:textId="4FE538A2" w:rsidR="00225E54" w:rsidRDefault="00000000">
      <w:pPr>
        <w:spacing w:line="360" w:lineRule="auto"/>
        <w:ind w:firstLineChars="200" w:firstLine="480"/>
        <w:jc w:val="left"/>
        <w:rPr>
          <w:sz w:val="24"/>
        </w:rPr>
      </w:pPr>
      <w:r>
        <w:rPr>
          <w:sz w:val="24"/>
        </w:rPr>
        <w:t>第</w:t>
      </w:r>
      <w:r>
        <w:rPr>
          <w:rFonts w:hint="eastAsia"/>
          <w:sz w:val="24"/>
        </w:rPr>
        <w:t>三十三</w:t>
      </w:r>
      <w:r>
        <w:rPr>
          <w:sz w:val="24"/>
        </w:rPr>
        <w:t>条</w:t>
      </w:r>
      <w:r>
        <w:rPr>
          <w:sz w:val="24"/>
        </w:rPr>
        <w:t xml:space="preserve">  </w:t>
      </w:r>
      <w:r>
        <w:rPr>
          <w:rFonts w:hint="eastAsia"/>
          <w:sz w:val="24"/>
        </w:rPr>
        <w:t>公司应当按照《上市规则》《公司章程》等有关规定，认真履行对外担保的信息披露义务。</w:t>
      </w:r>
    </w:p>
    <w:p w14:paraId="27E9ECDD" w14:textId="3473DB93" w:rsidR="00225E54" w:rsidRDefault="00000000">
      <w:pPr>
        <w:spacing w:line="360" w:lineRule="auto"/>
        <w:ind w:firstLineChars="200" w:firstLine="480"/>
        <w:jc w:val="left"/>
        <w:rPr>
          <w:sz w:val="24"/>
        </w:rPr>
      </w:pPr>
      <w:r>
        <w:rPr>
          <w:rFonts w:hint="eastAsia"/>
          <w:sz w:val="24"/>
        </w:rPr>
        <w:t>第三十四条</w:t>
      </w:r>
      <w:r>
        <w:rPr>
          <w:sz w:val="24"/>
        </w:rPr>
        <w:t xml:space="preserve">  </w:t>
      </w:r>
      <w:r>
        <w:rPr>
          <w:rFonts w:hint="eastAsia"/>
          <w:sz w:val="24"/>
        </w:rPr>
        <w:t>参与对外担保事宜的任何部门和责任人，均有责任及时将对外担保的情况向公司董事会秘书报告，并提供信息披露所需要的文件资料。</w:t>
      </w:r>
    </w:p>
    <w:p w14:paraId="5430A284" w14:textId="36AC7BDF" w:rsidR="00225E54" w:rsidRDefault="00000000">
      <w:pPr>
        <w:spacing w:line="360" w:lineRule="auto"/>
        <w:ind w:firstLineChars="200" w:firstLine="480"/>
        <w:jc w:val="left"/>
        <w:rPr>
          <w:sz w:val="24"/>
        </w:rPr>
      </w:pPr>
      <w:r>
        <w:rPr>
          <w:rFonts w:hint="eastAsia"/>
          <w:sz w:val="24"/>
        </w:rPr>
        <w:t>第三十五条</w:t>
      </w:r>
      <w:r>
        <w:rPr>
          <w:sz w:val="24"/>
        </w:rPr>
        <w:t xml:space="preserve">  </w:t>
      </w:r>
      <w:r>
        <w:rPr>
          <w:rFonts w:hint="eastAsia"/>
          <w:sz w:val="24"/>
        </w:rPr>
        <w:t>公司董事会或股东会审议批准的对外担保，必须在证券交易所网站和符合证监会指定的信息披露媒体上及时披露，披露的内容包括但不限于董事会或股东会决议，截止信息披露日公司及下属子公司对外担保总额、公司对控股子公司提供担保的总额、担保总额占公司最近一期经审计净资产的比例。</w:t>
      </w:r>
    </w:p>
    <w:p w14:paraId="68D77FB0" w14:textId="77777777" w:rsidR="00225E54" w:rsidRDefault="00000000">
      <w:pPr>
        <w:spacing w:line="360" w:lineRule="auto"/>
        <w:ind w:firstLineChars="200" w:firstLine="480"/>
        <w:jc w:val="left"/>
        <w:rPr>
          <w:sz w:val="24"/>
        </w:rPr>
      </w:pPr>
      <w:r>
        <w:rPr>
          <w:rFonts w:hint="eastAsia"/>
          <w:sz w:val="24"/>
        </w:rPr>
        <w:lastRenderedPageBreak/>
        <w:t>被担保人于债务到期后十五个工作日内未履行还款义务，或者被担保人出现破产、清算或其他严重影响其还款能力的情形，公司应当及时予以披露。</w:t>
      </w:r>
    </w:p>
    <w:p w14:paraId="2E4A65B2" w14:textId="77777777" w:rsidR="00225E54" w:rsidRDefault="00000000">
      <w:pPr>
        <w:spacing w:line="360" w:lineRule="auto"/>
        <w:ind w:firstLineChars="200" w:firstLine="480"/>
        <w:jc w:val="left"/>
        <w:rPr>
          <w:sz w:val="24"/>
        </w:rPr>
      </w:pPr>
      <w:r>
        <w:rPr>
          <w:rFonts w:hint="eastAsia"/>
          <w:sz w:val="24"/>
        </w:rPr>
        <w:t>第三十六条</w:t>
      </w:r>
      <w:r>
        <w:rPr>
          <w:sz w:val="24"/>
        </w:rPr>
        <w:t xml:space="preserve">  </w:t>
      </w:r>
      <w:r>
        <w:rPr>
          <w:rFonts w:hint="eastAsia"/>
          <w:sz w:val="24"/>
        </w:rPr>
        <w:t>下属公司为公司合并报告范围的法人或其他组织提供担保的，应当在其董事会或股东会做出决议后及时通知公司履行信息披露的相关义务。</w:t>
      </w:r>
    </w:p>
    <w:p w14:paraId="772C2092" w14:textId="77777777" w:rsidR="00225E54" w:rsidRDefault="00000000">
      <w:pPr>
        <w:spacing w:line="360" w:lineRule="auto"/>
        <w:ind w:firstLineChars="200" w:firstLine="480"/>
        <w:jc w:val="left"/>
        <w:rPr>
          <w:sz w:val="24"/>
        </w:rPr>
      </w:pPr>
      <w:r>
        <w:rPr>
          <w:rFonts w:hint="eastAsia"/>
          <w:sz w:val="24"/>
        </w:rPr>
        <w:t>第三十七条</w:t>
      </w:r>
      <w:r>
        <w:rPr>
          <w:sz w:val="24"/>
        </w:rPr>
        <w:t xml:space="preserve">  </w:t>
      </w:r>
      <w:r>
        <w:rPr>
          <w:rFonts w:hint="eastAsia"/>
          <w:sz w:val="24"/>
        </w:rPr>
        <w:t>公司有关部门应采取必要措施，在担保信息未依法公开披露前，将该信息知情者控制在最小范围内。任何知悉公司担保信息的人员，均负有当然的保密义务，直至该等信息依法公开披露之日，否则将承担由此引致的法律责任。</w:t>
      </w:r>
    </w:p>
    <w:p w14:paraId="72EA891B"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hint="eastAsia"/>
        </w:rPr>
        <w:t>第六章</w:t>
      </w:r>
      <w:r>
        <w:rPr>
          <w:rFonts w:ascii="Times New Roman" w:hAnsi="Times New Roman" w:hint="eastAsia"/>
        </w:rPr>
        <w:t xml:space="preserve"> </w:t>
      </w:r>
      <w:r>
        <w:rPr>
          <w:rFonts w:ascii="Times New Roman" w:hAnsi="Times New Roman"/>
        </w:rPr>
        <w:t xml:space="preserve"> </w:t>
      </w:r>
      <w:r>
        <w:rPr>
          <w:rFonts w:ascii="Times New Roman" w:hAnsi="Times New Roman"/>
        </w:rPr>
        <w:t>责任人责任</w:t>
      </w:r>
    </w:p>
    <w:p w14:paraId="2A9ACB9E" w14:textId="77777777" w:rsidR="00225E54" w:rsidRDefault="00000000">
      <w:pPr>
        <w:spacing w:line="360" w:lineRule="auto"/>
        <w:ind w:firstLineChars="200" w:firstLine="480"/>
        <w:jc w:val="left"/>
        <w:rPr>
          <w:sz w:val="24"/>
        </w:rPr>
      </w:pPr>
      <w:r>
        <w:rPr>
          <w:sz w:val="24"/>
        </w:rPr>
        <w:t>第三十</w:t>
      </w:r>
      <w:r>
        <w:rPr>
          <w:rFonts w:hint="eastAsia"/>
          <w:sz w:val="24"/>
        </w:rPr>
        <w:t>八</w:t>
      </w:r>
      <w:r>
        <w:rPr>
          <w:sz w:val="24"/>
        </w:rPr>
        <w:t>条</w:t>
      </w:r>
      <w:r>
        <w:rPr>
          <w:rFonts w:hint="eastAsia"/>
          <w:sz w:val="24"/>
        </w:rPr>
        <w:t xml:space="preserve"> </w:t>
      </w:r>
      <w:r>
        <w:rPr>
          <w:sz w:val="24"/>
        </w:rPr>
        <w:t xml:space="preserve"> </w:t>
      </w:r>
      <w:r>
        <w:rPr>
          <w:sz w:val="24"/>
        </w:rPr>
        <w:t>公司董事会视公司的损失、风险的大小、情节的轻重决定给予</w:t>
      </w:r>
      <w:r>
        <w:rPr>
          <w:rFonts w:hint="eastAsia"/>
          <w:sz w:val="24"/>
        </w:rPr>
        <w:t>相关</w:t>
      </w:r>
      <w:r>
        <w:rPr>
          <w:sz w:val="24"/>
        </w:rPr>
        <w:t>责任人相应的处分。</w:t>
      </w:r>
    </w:p>
    <w:p w14:paraId="0F823B27" w14:textId="77777777" w:rsidR="00225E54" w:rsidRDefault="00000000">
      <w:pPr>
        <w:spacing w:line="360" w:lineRule="auto"/>
        <w:ind w:firstLineChars="200" w:firstLine="480"/>
        <w:jc w:val="left"/>
        <w:rPr>
          <w:sz w:val="24"/>
        </w:rPr>
      </w:pPr>
      <w:r>
        <w:rPr>
          <w:sz w:val="24"/>
        </w:rPr>
        <w:t>第三十</w:t>
      </w:r>
      <w:r>
        <w:rPr>
          <w:rFonts w:hint="eastAsia"/>
          <w:sz w:val="24"/>
        </w:rPr>
        <w:t>九</w:t>
      </w:r>
      <w:r>
        <w:rPr>
          <w:sz w:val="24"/>
        </w:rPr>
        <w:t>条</w:t>
      </w:r>
      <w:r>
        <w:rPr>
          <w:rFonts w:hint="eastAsia"/>
          <w:sz w:val="24"/>
        </w:rPr>
        <w:t xml:space="preserve">  </w:t>
      </w:r>
      <w:r>
        <w:rPr>
          <w:sz w:val="24"/>
        </w:rPr>
        <w:t>公司董事、总经理及其他管理人员未按本制度规定程序擅自越权签订担保合同，应当追究当事人责任。</w:t>
      </w:r>
    </w:p>
    <w:p w14:paraId="1223F6FA" w14:textId="77777777" w:rsidR="00225E54" w:rsidRDefault="00000000">
      <w:pPr>
        <w:spacing w:line="360" w:lineRule="auto"/>
        <w:ind w:firstLineChars="200" w:firstLine="480"/>
        <w:jc w:val="left"/>
        <w:rPr>
          <w:sz w:val="24"/>
        </w:rPr>
      </w:pPr>
      <w:r>
        <w:rPr>
          <w:sz w:val="24"/>
        </w:rPr>
        <w:t>第</w:t>
      </w:r>
      <w:r>
        <w:rPr>
          <w:rFonts w:hint="eastAsia"/>
          <w:sz w:val="24"/>
        </w:rPr>
        <w:t>四十</w:t>
      </w:r>
      <w:r>
        <w:rPr>
          <w:sz w:val="24"/>
        </w:rPr>
        <w:t>条</w:t>
      </w:r>
      <w:r>
        <w:rPr>
          <w:rFonts w:hint="eastAsia"/>
          <w:sz w:val="24"/>
        </w:rPr>
        <w:t xml:space="preserve"> </w:t>
      </w:r>
      <w:r>
        <w:rPr>
          <w:rFonts w:hint="eastAsia"/>
          <w:sz w:val="24"/>
        </w:rPr>
        <w:t>公司经办部门人员或其他责任人，</w:t>
      </w:r>
      <w:r>
        <w:rPr>
          <w:sz w:val="24"/>
        </w:rPr>
        <w:t>违反</w:t>
      </w:r>
      <w:r>
        <w:rPr>
          <w:rFonts w:hint="eastAsia"/>
          <w:sz w:val="24"/>
        </w:rPr>
        <w:t>相关法律、行政法规</w:t>
      </w:r>
      <w:r>
        <w:rPr>
          <w:sz w:val="24"/>
        </w:rPr>
        <w:t>或本制度规定，无视风险擅自对外担保造成</w:t>
      </w:r>
      <w:r>
        <w:rPr>
          <w:rFonts w:hint="eastAsia"/>
          <w:sz w:val="24"/>
        </w:rPr>
        <w:t>损</w:t>
      </w:r>
      <w:r>
        <w:rPr>
          <w:sz w:val="24"/>
        </w:rPr>
        <w:t>失的，应承担</w:t>
      </w:r>
      <w:r>
        <w:rPr>
          <w:rFonts w:hint="eastAsia"/>
          <w:sz w:val="24"/>
        </w:rPr>
        <w:t>相应的</w:t>
      </w:r>
      <w:r>
        <w:rPr>
          <w:sz w:val="24"/>
        </w:rPr>
        <w:t>法律责任</w:t>
      </w:r>
      <w:r>
        <w:rPr>
          <w:rFonts w:hint="eastAsia"/>
          <w:sz w:val="24"/>
        </w:rPr>
        <w:t>，并</w:t>
      </w:r>
      <w:r>
        <w:rPr>
          <w:sz w:val="24"/>
        </w:rPr>
        <w:t>赔偿</w:t>
      </w:r>
      <w:r>
        <w:rPr>
          <w:rFonts w:hint="eastAsia"/>
          <w:sz w:val="24"/>
        </w:rPr>
        <w:t>因违规对外担保给公司造成的损失。</w:t>
      </w:r>
    </w:p>
    <w:p w14:paraId="08C683F4" w14:textId="1218EEE9" w:rsidR="00225E54" w:rsidRDefault="00000000">
      <w:pPr>
        <w:spacing w:line="360" w:lineRule="auto"/>
        <w:ind w:firstLineChars="200" w:firstLine="480"/>
        <w:jc w:val="left"/>
        <w:rPr>
          <w:sz w:val="24"/>
        </w:rPr>
      </w:pPr>
      <w:r>
        <w:rPr>
          <w:sz w:val="24"/>
        </w:rPr>
        <w:t>第</w:t>
      </w:r>
      <w:r>
        <w:rPr>
          <w:rFonts w:hint="eastAsia"/>
          <w:sz w:val="24"/>
        </w:rPr>
        <w:t>四十一</w:t>
      </w:r>
      <w:r>
        <w:rPr>
          <w:sz w:val="24"/>
        </w:rPr>
        <w:t>条</w:t>
      </w:r>
      <w:r>
        <w:rPr>
          <w:rFonts w:hint="eastAsia"/>
          <w:sz w:val="24"/>
        </w:rPr>
        <w:t xml:space="preserve"> </w:t>
      </w:r>
      <w:r>
        <w:rPr>
          <w:sz w:val="24"/>
        </w:rPr>
        <w:t xml:space="preserve"> </w:t>
      </w:r>
      <w:r>
        <w:rPr>
          <w:rFonts w:hint="eastAsia"/>
          <w:sz w:val="24"/>
        </w:rPr>
        <w:t>公司经办部门人员或其他责任人</w:t>
      </w:r>
      <w:proofErr w:type="gramStart"/>
      <w:r>
        <w:rPr>
          <w:sz w:val="24"/>
        </w:rPr>
        <w:t>怠</w:t>
      </w:r>
      <w:proofErr w:type="gramEnd"/>
      <w:r>
        <w:rPr>
          <w:sz w:val="24"/>
        </w:rPr>
        <w:t>于行使其职责，给公司造成损失的，视情节轻重承担赔偿责任及其他法律责任。</w:t>
      </w:r>
    </w:p>
    <w:p w14:paraId="42C0E4C8" w14:textId="77777777" w:rsidR="00225E54" w:rsidRDefault="00000000">
      <w:pPr>
        <w:spacing w:line="360" w:lineRule="auto"/>
        <w:ind w:firstLineChars="200" w:firstLine="480"/>
        <w:jc w:val="left"/>
        <w:rPr>
          <w:sz w:val="24"/>
        </w:rPr>
      </w:pPr>
      <w:r>
        <w:rPr>
          <w:sz w:val="24"/>
        </w:rPr>
        <w:t>第四十</w:t>
      </w:r>
      <w:r>
        <w:rPr>
          <w:rFonts w:hint="eastAsia"/>
          <w:sz w:val="24"/>
        </w:rPr>
        <w:t>二</w:t>
      </w:r>
      <w:r>
        <w:rPr>
          <w:sz w:val="24"/>
        </w:rPr>
        <w:t>条</w:t>
      </w:r>
      <w:r>
        <w:rPr>
          <w:rFonts w:hint="eastAsia"/>
          <w:sz w:val="24"/>
        </w:rPr>
        <w:t xml:space="preserve"> </w:t>
      </w:r>
      <w:r>
        <w:rPr>
          <w:sz w:val="24"/>
        </w:rPr>
        <w:t xml:space="preserve"> </w:t>
      </w:r>
      <w:r>
        <w:rPr>
          <w:sz w:val="24"/>
        </w:rPr>
        <w:t>法律规定保证人无须承担的责任，</w:t>
      </w:r>
      <w:r>
        <w:rPr>
          <w:rFonts w:hint="eastAsia"/>
          <w:sz w:val="24"/>
        </w:rPr>
        <w:t>公司经办部门人员或其他责任人</w:t>
      </w:r>
      <w:r>
        <w:rPr>
          <w:sz w:val="24"/>
        </w:rPr>
        <w:t>未经公司董事会同意擅自承担的，给予其行政处分并</w:t>
      </w:r>
      <w:r>
        <w:rPr>
          <w:rFonts w:hint="eastAsia"/>
          <w:sz w:val="24"/>
        </w:rPr>
        <w:t>要求其</w:t>
      </w:r>
      <w:r>
        <w:rPr>
          <w:sz w:val="24"/>
        </w:rPr>
        <w:t>承担赔偿责任。</w:t>
      </w:r>
      <w:r>
        <w:rPr>
          <w:sz w:val="24"/>
        </w:rPr>
        <w:t xml:space="preserve"> </w:t>
      </w:r>
    </w:p>
    <w:p w14:paraId="7D15AEE2" w14:textId="77777777" w:rsidR="00225E54" w:rsidRDefault="00000000">
      <w:pPr>
        <w:spacing w:line="360" w:lineRule="auto"/>
        <w:ind w:firstLineChars="200" w:firstLine="480"/>
        <w:jc w:val="left"/>
        <w:rPr>
          <w:sz w:val="24"/>
        </w:rPr>
      </w:pPr>
      <w:r>
        <w:rPr>
          <w:sz w:val="24"/>
        </w:rPr>
        <w:t>第四十</w:t>
      </w:r>
      <w:r>
        <w:rPr>
          <w:rFonts w:hint="eastAsia"/>
          <w:sz w:val="24"/>
        </w:rPr>
        <w:t>三</w:t>
      </w:r>
      <w:r>
        <w:rPr>
          <w:sz w:val="24"/>
        </w:rPr>
        <w:t>条</w:t>
      </w:r>
      <w:r>
        <w:rPr>
          <w:rFonts w:hint="eastAsia"/>
          <w:sz w:val="24"/>
        </w:rPr>
        <w:t xml:space="preserve"> </w:t>
      </w:r>
      <w:r>
        <w:rPr>
          <w:sz w:val="24"/>
        </w:rPr>
        <w:t xml:space="preserve"> </w:t>
      </w:r>
      <w:r>
        <w:rPr>
          <w:sz w:val="24"/>
        </w:rPr>
        <w:t>担保过程中，责任人违反</w:t>
      </w:r>
      <w:r>
        <w:rPr>
          <w:rFonts w:hint="eastAsia"/>
          <w:sz w:val="24"/>
        </w:rPr>
        <w:t>刑事法律</w:t>
      </w:r>
      <w:r>
        <w:rPr>
          <w:sz w:val="24"/>
        </w:rPr>
        <w:t>规定的，</w:t>
      </w:r>
      <w:r>
        <w:rPr>
          <w:rFonts w:hint="eastAsia"/>
          <w:sz w:val="24"/>
        </w:rPr>
        <w:t>公司移交司法机关</w:t>
      </w:r>
      <w:r>
        <w:rPr>
          <w:sz w:val="24"/>
        </w:rPr>
        <w:t>依法追究刑事责任</w:t>
      </w:r>
      <w:r>
        <w:rPr>
          <w:rFonts w:hint="eastAsia"/>
          <w:sz w:val="24"/>
        </w:rPr>
        <w:t>。</w:t>
      </w:r>
    </w:p>
    <w:p w14:paraId="43E31953" w14:textId="77777777" w:rsidR="00225E54" w:rsidRDefault="00000000">
      <w:pPr>
        <w:spacing w:line="360" w:lineRule="auto"/>
        <w:ind w:firstLineChars="200" w:firstLine="480"/>
        <w:jc w:val="left"/>
        <w:rPr>
          <w:rFonts w:cs="宋体"/>
          <w:sz w:val="24"/>
        </w:rPr>
      </w:pPr>
      <w:r>
        <w:rPr>
          <w:rFonts w:hint="eastAsia"/>
          <w:sz w:val="24"/>
        </w:rPr>
        <w:t>第四十四条</w:t>
      </w:r>
      <w:r>
        <w:rPr>
          <w:rFonts w:hint="eastAsia"/>
          <w:sz w:val="24"/>
        </w:rPr>
        <w:t xml:space="preserve"> </w:t>
      </w:r>
      <w:r>
        <w:rPr>
          <w:sz w:val="24"/>
        </w:rPr>
        <w:t xml:space="preserve"> </w:t>
      </w:r>
      <w:r>
        <w:rPr>
          <w:rFonts w:cs="宋体"/>
          <w:sz w:val="24"/>
        </w:rPr>
        <w:t>公司董事会应当建立定期核查制度，对公司担保行为进行核查。公司发生违规担保行为的，应当及时披露，并采取合理、有效措施解除或者改正违规担保行为，降低公司损失，维护公司及中小股东的利益，并追究有关人员的责任。</w:t>
      </w:r>
    </w:p>
    <w:p w14:paraId="7A4F5D7D" w14:textId="77777777" w:rsidR="00225E54" w:rsidRDefault="00000000">
      <w:pPr>
        <w:spacing w:line="360" w:lineRule="auto"/>
        <w:ind w:firstLineChars="200" w:firstLine="480"/>
        <w:jc w:val="left"/>
        <w:rPr>
          <w:rFonts w:cs="宋体"/>
          <w:sz w:val="24"/>
        </w:rPr>
      </w:pPr>
      <w:r>
        <w:rPr>
          <w:rFonts w:cs="宋体" w:hint="eastAsia"/>
          <w:sz w:val="24"/>
        </w:rPr>
        <w:t>第四十五条</w:t>
      </w:r>
      <w:r>
        <w:rPr>
          <w:rFonts w:cs="宋体" w:hint="eastAsia"/>
          <w:sz w:val="24"/>
        </w:rPr>
        <w:t xml:space="preserve"> </w:t>
      </w:r>
      <w:r>
        <w:rPr>
          <w:rFonts w:cs="宋体"/>
          <w:sz w:val="24"/>
        </w:rPr>
        <w:t xml:space="preserve"> </w:t>
      </w:r>
      <w:r>
        <w:rPr>
          <w:rFonts w:cs="宋体"/>
          <w:sz w:val="24"/>
        </w:rPr>
        <w:t>因控股股东、实际控制人及其关联人不及时偿债，导致公司承担担保责任的，公司董事会应当及时采取追讨、诉讼、财产保全、责令提供担保等保护性措施避免或者减少损失，并追究有关人员的责任</w:t>
      </w:r>
      <w:r>
        <w:rPr>
          <w:rFonts w:cs="宋体" w:hint="eastAsia"/>
          <w:sz w:val="24"/>
        </w:rPr>
        <w:t>。</w:t>
      </w:r>
    </w:p>
    <w:p w14:paraId="51C28A88" w14:textId="77777777" w:rsidR="00225E54" w:rsidRDefault="00000000" w:rsidP="00304D5F">
      <w:pPr>
        <w:pStyle w:val="2"/>
        <w:spacing w:beforeLines="100" w:before="312" w:afterLines="100" w:after="312"/>
        <w:ind w:firstLine="0"/>
        <w:rPr>
          <w:rFonts w:ascii="Times New Roman" w:hAnsi="Times New Roman"/>
        </w:rPr>
      </w:pPr>
      <w:r>
        <w:rPr>
          <w:rFonts w:ascii="Times New Roman" w:hAnsi="Times New Roman"/>
        </w:rPr>
        <w:lastRenderedPageBreak/>
        <w:t>第</w:t>
      </w:r>
      <w:r>
        <w:rPr>
          <w:rFonts w:ascii="Times New Roman" w:hAnsi="Times New Roman" w:hint="eastAsia"/>
        </w:rPr>
        <w:t>七</w:t>
      </w:r>
      <w:r>
        <w:rPr>
          <w:rFonts w:ascii="Times New Roman" w:hAnsi="Times New Roman"/>
        </w:rPr>
        <w:t>章</w:t>
      </w:r>
      <w:r>
        <w:rPr>
          <w:rFonts w:ascii="Times New Roman" w:hAnsi="Times New Roman"/>
        </w:rPr>
        <w:t xml:space="preserve">  </w:t>
      </w:r>
      <w:r>
        <w:rPr>
          <w:rFonts w:ascii="Times New Roman" w:hAnsi="Times New Roman"/>
        </w:rPr>
        <w:t>附</w:t>
      </w:r>
      <w:r>
        <w:rPr>
          <w:rFonts w:ascii="Times New Roman" w:hAnsi="Times New Roman"/>
        </w:rPr>
        <w:t xml:space="preserve"> </w:t>
      </w:r>
      <w:r>
        <w:rPr>
          <w:rFonts w:ascii="Times New Roman" w:hAnsi="Times New Roman"/>
        </w:rPr>
        <w:t>则</w:t>
      </w:r>
    </w:p>
    <w:p w14:paraId="2F4962A4" w14:textId="77777777" w:rsidR="00225E54" w:rsidRDefault="00000000">
      <w:pPr>
        <w:spacing w:line="360" w:lineRule="auto"/>
        <w:ind w:firstLineChars="200" w:firstLine="480"/>
        <w:jc w:val="left"/>
        <w:rPr>
          <w:sz w:val="24"/>
        </w:rPr>
      </w:pPr>
      <w:r>
        <w:rPr>
          <w:rFonts w:hint="eastAsia"/>
          <w:sz w:val="24"/>
        </w:rPr>
        <w:t>第</w:t>
      </w:r>
      <w:r>
        <w:rPr>
          <w:sz w:val="24"/>
        </w:rPr>
        <w:t>四十</w:t>
      </w:r>
      <w:r>
        <w:rPr>
          <w:rFonts w:hint="eastAsia"/>
          <w:sz w:val="24"/>
        </w:rPr>
        <w:t>六条</w:t>
      </w:r>
      <w:r>
        <w:rPr>
          <w:sz w:val="24"/>
        </w:rPr>
        <w:t xml:space="preserve">  </w:t>
      </w:r>
      <w:r>
        <w:rPr>
          <w:rFonts w:hint="eastAsia"/>
          <w:sz w:val="24"/>
        </w:rPr>
        <w:t>本制度未尽事宜，应当依照有关法律、行政法规、规范性文件及《公司章程》的有关规定执行。</w:t>
      </w:r>
    </w:p>
    <w:p w14:paraId="2D5A0240" w14:textId="77777777" w:rsidR="00225E54" w:rsidRDefault="00000000">
      <w:pPr>
        <w:spacing w:line="360" w:lineRule="auto"/>
        <w:ind w:firstLineChars="200" w:firstLine="480"/>
        <w:jc w:val="left"/>
        <w:rPr>
          <w:sz w:val="24"/>
        </w:rPr>
      </w:pPr>
      <w:r>
        <w:rPr>
          <w:rFonts w:hint="eastAsia"/>
          <w:sz w:val="24"/>
        </w:rPr>
        <w:t>本制度如与国家颁布的法律、行政法规、规范性文件和公司相关制度抵触时，依照有关法律、行政法规、规范性文件、公司相关制度执行。</w:t>
      </w:r>
    </w:p>
    <w:p w14:paraId="71150E77" w14:textId="77777777" w:rsidR="00225E54" w:rsidRDefault="00000000">
      <w:pPr>
        <w:spacing w:line="360" w:lineRule="auto"/>
        <w:ind w:firstLineChars="200" w:firstLine="480"/>
        <w:jc w:val="left"/>
        <w:rPr>
          <w:sz w:val="24"/>
        </w:rPr>
      </w:pPr>
      <w:r>
        <w:rPr>
          <w:rFonts w:hint="eastAsia"/>
          <w:sz w:val="24"/>
        </w:rPr>
        <w:t>第四十七条</w:t>
      </w:r>
      <w:r>
        <w:rPr>
          <w:sz w:val="24"/>
        </w:rPr>
        <w:t xml:space="preserve">  </w:t>
      </w:r>
      <w:r>
        <w:rPr>
          <w:rFonts w:hint="eastAsia"/>
          <w:sz w:val="24"/>
        </w:rPr>
        <w:t>本制度由公司董事会负责解释、修订。</w:t>
      </w:r>
    </w:p>
    <w:p w14:paraId="4FD8D46E" w14:textId="77777777" w:rsidR="00225E54" w:rsidRDefault="00000000">
      <w:pPr>
        <w:spacing w:line="360" w:lineRule="auto"/>
        <w:ind w:firstLineChars="200" w:firstLine="480"/>
        <w:jc w:val="left"/>
        <w:rPr>
          <w:sz w:val="24"/>
        </w:rPr>
      </w:pPr>
      <w:r>
        <w:rPr>
          <w:rFonts w:hint="eastAsia"/>
          <w:sz w:val="24"/>
        </w:rPr>
        <w:t>第四十八条</w:t>
      </w:r>
      <w:r>
        <w:rPr>
          <w:rFonts w:hint="eastAsia"/>
          <w:sz w:val="24"/>
        </w:rPr>
        <w:t xml:space="preserve"> </w:t>
      </w:r>
      <w:r>
        <w:rPr>
          <w:sz w:val="24"/>
        </w:rPr>
        <w:t xml:space="preserve"> </w:t>
      </w:r>
      <w:r>
        <w:rPr>
          <w:rFonts w:hint="eastAsia"/>
          <w:sz w:val="24"/>
        </w:rPr>
        <w:t>本制度经公司董事会提请股东会审议通过后生效。</w:t>
      </w:r>
    </w:p>
    <w:p w14:paraId="5F588E00" w14:textId="77777777" w:rsidR="00227A0E" w:rsidRDefault="00227A0E">
      <w:pPr>
        <w:spacing w:line="360" w:lineRule="auto"/>
        <w:ind w:firstLineChars="200" w:firstLine="480"/>
        <w:jc w:val="right"/>
        <w:rPr>
          <w:sz w:val="24"/>
        </w:rPr>
      </w:pPr>
    </w:p>
    <w:p w14:paraId="41565D98" w14:textId="13989353" w:rsidR="00225E54" w:rsidRDefault="00000000">
      <w:pPr>
        <w:spacing w:line="360" w:lineRule="auto"/>
        <w:ind w:firstLineChars="200" w:firstLine="482"/>
        <w:jc w:val="right"/>
        <w:rPr>
          <w:b/>
          <w:bCs/>
          <w:sz w:val="24"/>
        </w:rPr>
      </w:pPr>
      <w:r>
        <w:rPr>
          <w:rFonts w:hint="eastAsia"/>
          <w:b/>
          <w:bCs/>
          <w:sz w:val="24"/>
        </w:rPr>
        <w:t>山东龙大美食股份有限公司</w:t>
      </w:r>
    </w:p>
    <w:p w14:paraId="29515E85" w14:textId="7C8A4AD8" w:rsidR="00225E54" w:rsidRDefault="00000000" w:rsidP="00227A0E">
      <w:pPr>
        <w:spacing w:line="360" w:lineRule="auto"/>
        <w:ind w:firstLineChars="200" w:firstLine="482"/>
        <w:jc w:val="right"/>
        <w:rPr>
          <w:b/>
          <w:bCs/>
          <w:sz w:val="24"/>
        </w:rPr>
      </w:pPr>
      <w:r>
        <w:rPr>
          <w:rFonts w:hint="eastAsia"/>
          <w:b/>
          <w:bCs/>
          <w:sz w:val="24"/>
        </w:rPr>
        <w:t>20</w:t>
      </w:r>
      <w:r>
        <w:rPr>
          <w:b/>
          <w:bCs/>
          <w:sz w:val="24"/>
        </w:rPr>
        <w:t>2</w:t>
      </w:r>
      <w:r>
        <w:rPr>
          <w:rFonts w:hint="eastAsia"/>
          <w:b/>
          <w:bCs/>
          <w:sz w:val="24"/>
        </w:rPr>
        <w:t>5</w:t>
      </w:r>
      <w:r>
        <w:rPr>
          <w:rFonts w:hint="eastAsia"/>
          <w:b/>
          <w:bCs/>
          <w:sz w:val="24"/>
        </w:rPr>
        <w:t>年</w:t>
      </w:r>
      <w:r>
        <w:rPr>
          <w:rFonts w:hint="eastAsia"/>
          <w:b/>
          <w:bCs/>
          <w:sz w:val="24"/>
        </w:rPr>
        <w:t>7</w:t>
      </w:r>
      <w:r>
        <w:rPr>
          <w:rFonts w:hint="eastAsia"/>
          <w:b/>
          <w:bCs/>
          <w:sz w:val="24"/>
        </w:rPr>
        <w:t>月</w:t>
      </w:r>
    </w:p>
    <w:sectPr w:rsidR="00225E54">
      <w:headerReference w:type="default" r:id="rId6"/>
      <w:footerReference w:type="even" r:id="rId7"/>
      <w:footerReference w:type="default" r:id="rId8"/>
      <w:pgSz w:w="11906" w:h="16838"/>
      <w:pgMar w:top="1440" w:right="1800" w:bottom="1440" w:left="180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19D1" w14:textId="77777777" w:rsidR="00B6299E" w:rsidRDefault="00B6299E">
      <w:r>
        <w:separator/>
      </w:r>
    </w:p>
  </w:endnote>
  <w:endnote w:type="continuationSeparator" w:id="0">
    <w:p w14:paraId="4D853081" w14:textId="77777777" w:rsidR="00B6299E" w:rsidRDefault="00B6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0A6" w14:textId="77777777" w:rsidR="00225E54"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4E1C06" w14:textId="77777777" w:rsidR="00225E54" w:rsidRDefault="00225E5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3CE2" w14:textId="77777777" w:rsidR="00225E54"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2</w:t>
    </w:r>
    <w:r>
      <w:rPr>
        <w:rStyle w:val="ae"/>
      </w:rPr>
      <w:fldChar w:fldCharType="end"/>
    </w:r>
  </w:p>
  <w:p w14:paraId="00CA54D1" w14:textId="77777777" w:rsidR="00225E54" w:rsidRDefault="00225E54">
    <w:pPr>
      <w:pStyle w:val="a9"/>
      <w:spacing w:line="300"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E18F" w14:textId="77777777" w:rsidR="00B6299E" w:rsidRDefault="00B6299E">
      <w:r>
        <w:separator/>
      </w:r>
    </w:p>
  </w:footnote>
  <w:footnote w:type="continuationSeparator" w:id="0">
    <w:p w14:paraId="38EB9143" w14:textId="77777777" w:rsidR="00B6299E" w:rsidRDefault="00B6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381" w14:textId="77777777" w:rsidR="00225E54" w:rsidRDefault="00000000" w:rsidP="00D53BED">
    <w:pPr>
      <w:pStyle w:val="aa"/>
      <w:pBdr>
        <w:bottom w:val="single" w:sz="4" w:space="1" w:color="auto"/>
      </w:pBdr>
      <w:ind w:firstLineChars="500" w:firstLine="900"/>
      <w:jc w:val="both"/>
    </w:pPr>
    <w:bookmarkStart w:id="0" w:name="_Hlk110445576"/>
    <w:bookmarkStart w:id="1" w:name="_Hlk110445482"/>
    <w:bookmarkStart w:id="2" w:name="_Hlk110445577"/>
    <w:bookmarkStart w:id="3" w:name="_Hlk110445483"/>
    <w:r>
      <w:rPr>
        <w:noProof/>
      </w:rPr>
      <w:drawing>
        <wp:anchor distT="0" distB="0" distL="114300" distR="114300" simplePos="0" relativeHeight="251658240" behindDoc="0" locked="0" layoutInCell="1" allowOverlap="1" wp14:anchorId="0258134F" wp14:editId="07E97E71">
          <wp:simplePos x="0" y="0"/>
          <wp:positionH relativeFrom="column">
            <wp:posOffset>15240</wp:posOffset>
          </wp:positionH>
          <wp:positionV relativeFrom="paragraph">
            <wp:posOffset>-93345</wp:posOffset>
          </wp:positionV>
          <wp:extent cx="561975" cy="248920"/>
          <wp:effectExtent l="0" t="0" r="9525"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4" w:name="_Hlk110445608"/>
    <w:r>
      <w:rPr>
        <w:rFonts w:hint="eastAsia"/>
      </w:rPr>
      <w:t>山东龙大美食股份有限公司</w:t>
    </w:r>
    <w:r>
      <w:t xml:space="preserve">        </w:t>
    </w:r>
    <w:bookmarkEnd w:id="4"/>
    <w:r>
      <w:t xml:space="preserve">                                 </w:t>
    </w:r>
    <w:bookmarkEnd w:id="0"/>
    <w:bookmarkEnd w:id="1"/>
    <w:bookmarkEnd w:id="2"/>
    <w:bookmarkEnd w:id="3"/>
    <w:r>
      <w:rPr>
        <w:rFonts w:hint="eastAsia"/>
      </w:rPr>
      <w:t>对外担保管理制度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7C03BA"/>
    <w:rsid w:val="000018E4"/>
    <w:rsid w:val="00002D6E"/>
    <w:rsid w:val="00003F74"/>
    <w:rsid w:val="000137C7"/>
    <w:rsid w:val="000139CC"/>
    <w:rsid w:val="000320CE"/>
    <w:rsid w:val="00036C33"/>
    <w:rsid w:val="000419C1"/>
    <w:rsid w:val="000440C8"/>
    <w:rsid w:val="00061FC2"/>
    <w:rsid w:val="00064E0B"/>
    <w:rsid w:val="00070DFC"/>
    <w:rsid w:val="00072770"/>
    <w:rsid w:val="0007506F"/>
    <w:rsid w:val="000763EF"/>
    <w:rsid w:val="00085B97"/>
    <w:rsid w:val="000918C3"/>
    <w:rsid w:val="00096B13"/>
    <w:rsid w:val="000B1EBA"/>
    <w:rsid w:val="000B5058"/>
    <w:rsid w:val="000B5643"/>
    <w:rsid w:val="000C3FC5"/>
    <w:rsid w:val="000D0B96"/>
    <w:rsid w:val="000D74AD"/>
    <w:rsid w:val="000D7B7D"/>
    <w:rsid w:val="000E077D"/>
    <w:rsid w:val="000E0A05"/>
    <w:rsid w:val="000E2DBC"/>
    <w:rsid w:val="000F09AF"/>
    <w:rsid w:val="00100D77"/>
    <w:rsid w:val="00101213"/>
    <w:rsid w:val="00101B3D"/>
    <w:rsid w:val="0010600E"/>
    <w:rsid w:val="001136C3"/>
    <w:rsid w:val="00115F34"/>
    <w:rsid w:val="001174BC"/>
    <w:rsid w:val="00121A8F"/>
    <w:rsid w:val="001266AA"/>
    <w:rsid w:val="001324F6"/>
    <w:rsid w:val="00134113"/>
    <w:rsid w:val="00137731"/>
    <w:rsid w:val="00152614"/>
    <w:rsid w:val="0015491B"/>
    <w:rsid w:val="00160AC0"/>
    <w:rsid w:val="00177F51"/>
    <w:rsid w:val="00187CC3"/>
    <w:rsid w:val="001923FD"/>
    <w:rsid w:val="001945C7"/>
    <w:rsid w:val="00195C03"/>
    <w:rsid w:val="001A250B"/>
    <w:rsid w:val="001A3149"/>
    <w:rsid w:val="001A71EE"/>
    <w:rsid w:val="001B6BFA"/>
    <w:rsid w:val="001C0A04"/>
    <w:rsid w:val="001C13AF"/>
    <w:rsid w:val="001C4862"/>
    <w:rsid w:val="001C689D"/>
    <w:rsid w:val="001D07D7"/>
    <w:rsid w:val="001D16F5"/>
    <w:rsid w:val="001D1C6B"/>
    <w:rsid w:val="001F051B"/>
    <w:rsid w:val="001F13B6"/>
    <w:rsid w:val="001F6F34"/>
    <w:rsid w:val="002027CA"/>
    <w:rsid w:val="00203BBF"/>
    <w:rsid w:val="002047B0"/>
    <w:rsid w:val="00212B7A"/>
    <w:rsid w:val="00220716"/>
    <w:rsid w:val="00224616"/>
    <w:rsid w:val="00225E54"/>
    <w:rsid w:val="002277A7"/>
    <w:rsid w:val="00227A0E"/>
    <w:rsid w:val="00233FCC"/>
    <w:rsid w:val="00234EAA"/>
    <w:rsid w:val="00240F47"/>
    <w:rsid w:val="00241660"/>
    <w:rsid w:val="00243D59"/>
    <w:rsid w:val="00247F8A"/>
    <w:rsid w:val="00254FBA"/>
    <w:rsid w:val="002639B1"/>
    <w:rsid w:val="00263C76"/>
    <w:rsid w:val="002663CC"/>
    <w:rsid w:val="00271220"/>
    <w:rsid w:val="002716F2"/>
    <w:rsid w:val="0027254B"/>
    <w:rsid w:val="0028352D"/>
    <w:rsid w:val="00291646"/>
    <w:rsid w:val="002979EB"/>
    <w:rsid w:val="002A282E"/>
    <w:rsid w:val="002A3A1B"/>
    <w:rsid w:val="002A4B97"/>
    <w:rsid w:val="002B328A"/>
    <w:rsid w:val="002B427A"/>
    <w:rsid w:val="002B53C3"/>
    <w:rsid w:val="002D7E7D"/>
    <w:rsid w:val="002E2D23"/>
    <w:rsid w:val="002F4663"/>
    <w:rsid w:val="00304D5F"/>
    <w:rsid w:val="00306947"/>
    <w:rsid w:val="00313C5D"/>
    <w:rsid w:val="003159C7"/>
    <w:rsid w:val="00324125"/>
    <w:rsid w:val="00342CAD"/>
    <w:rsid w:val="003519FB"/>
    <w:rsid w:val="003545C6"/>
    <w:rsid w:val="003575AA"/>
    <w:rsid w:val="003614D0"/>
    <w:rsid w:val="00366556"/>
    <w:rsid w:val="0037566D"/>
    <w:rsid w:val="0038511A"/>
    <w:rsid w:val="00390AE0"/>
    <w:rsid w:val="00391166"/>
    <w:rsid w:val="003953B9"/>
    <w:rsid w:val="003A2E1A"/>
    <w:rsid w:val="003A6446"/>
    <w:rsid w:val="003B6DF1"/>
    <w:rsid w:val="003B7656"/>
    <w:rsid w:val="003C2521"/>
    <w:rsid w:val="003C4209"/>
    <w:rsid w:val="003C777C"/>
    <w:rsid w:val="003C7B3F"/>
    <w:rsid w:val="003C7CFB"/>
    <w:rsid w:val="003E72E8"/>
    <w:rsid w:val="003F16CF"/>
    <w:rsid w:val="003F334A"/>
    <w:rsid w:val="004129A0"/>
    <w:rsid w:val="004158E4"/>
    <w:rsid w:val="0042670F"/>
    <w:rsid w:val="0043186F"/>
    <w:rsid w:val="00433490"/>
    <w:rsid w:val="004350E8"/>
    <w:rsid w:val="00436530"/>
    <w:rsid w:val="00446740"/>
    <w:rsid w:val="00451511"/>
    <w:rsid w:val="00451A5F"/>
    <w:rsid w:val="00453E2C"/>
    <w:rsid w:val="00460A68"/>
    <w:rsid w:val="004655F4"/>
    <w:rsid w:val="004674C8"/>
    <w:rsid w:val="0046781D"/>
    <w:rsid w:val="00470D7E"/>
    <w:rsid w:val="00475E75"/>
    <w:rsid w:val="00476CA3"/>
    <w:rsid w:val="00483125"/>
    <w:rsid w:val="00485722"/>
    <w:rsid w:val="00493B9B"/>
    <w:rsid w:val="004A6D68"/>
    <w:rsid w:val="004B7F15"/>
    <w:rsid w:val="004C34E4"/>
    <w:rsid w:val="004E2E22"/>
    <w:rsid w:val="004E4EE8"/>
    <w:rsid w:val="004F0F4A"/>
    <w:rsid w:val="004F3A45"/>
    <w:rsid w:val="004F3CF5"/>
    <w:rsid w:val="00501BFC"/>
    <w:rsid w:val="00507F84"/>
    <w:rsid w:val="00524694"/>
    <w:rsid w:val="005251D8"/>
    <w:rsid w:val="00530C16"/>
    <w:rsid w:val="00532133"/>
    <w:rsid w:val="0053466D"/>
    <w:rsid w:val="005365DD"/>
    <w:rsid w:val="0054012C"/>
    <w:rsid w:val="00540756"/>
    <w:rsid w:val="00543D01"/>
    <w:rsid w:val="00545E55"/>
    <w:rsid w:val="005467FE"/>
    <w:rsid w:val="00546D2D"/>
    <w:rsid w:val="00554616"/>
    <w:rsid w:val="00561F66"/>
    <w:rsid w:val="00564AFC"/>
    <w:rsid w:val="0057254D"/>
    <w:rsid w:val="00572DEB"/>
    <w:rsid w:val="00573897"/>
    <w:rsid w:val="00574D2A"/>
    <w:rsid w:val="00583CC4"/>
    <w:rsid w:val="00586B70"/>
    <w:rsid w:val="00587FD3"/>
    <w:rsid w:val="00593EEF"/>
    <w:rsid w:val="005959C4"/>
    <w:rsid w:val="005A015E"/>
    <w:rsid w:val="005D0726"/>
    <w:rsid w:val="005D142B"/>
    <w:rsid w:val="005D62CF"/>
    <w:rsid w:val="005E44AE"/>
    <w:rsid w:val="005E4598"/>
    <w:rsid w:val="005F3A08"/>
    <w:rsid w:val="005F77B7"/>
    <w:rsid w:val="00600333"/>
    <w:rsid w:val="00600647"/>
    <w:rsid w:val="0061597E"/>
    <w:rsid w:val="006166D7"/>
    <w:rsid w:val="0061776D"/>
    <w:rsid w:val="0062451B"/>
    <w:rsid w:val="006322C4"/>
    <w:rsid w:val="006358E8"/>
    <w:rsid w:val="00635EBE"/>
    <w:rsid w:val="00642F20"/>
    <w:rsid w:val="006431A4"/>
    <w:rsid w:val="0065309A"/>
    <w:rsid w:val="00663FCB"/>
    <w:rsid w:val="00667F47"/>
    <w:rsid w:val="00683BE3"/>
    <w:rsid w:val="006875E2"/>
    <w:rsid w:val="00687E7E"/>
    <w:rsid w:val="0069164F"/>
    <w:rsid w:val="00693B6A"/>
    <w:rsid w:val="006A2027"/>
    <w:rsid w:val="006B2F13"/>
    <w:rsid w:val="006B3C31"/>
    <w:rsid w:val="006B6666"/>
    <w:rsid w:val="006B743E"/>
    <w:rsid w:val="006C176B"/>
    <w:rsid w:val="006E4CF5"/>
    <w:rsid w:val="006E753E"/>
    <w:rsid w:val="006F7D76"/>
    <w:rsid w:val="00710C1A"/>
    <w:rsid w:val="00720567"/>
    <w:rsid w:val="00722E0D"/>
    <w:rsid w:val="00730A74"/>
    <w:rsid w:val="00751C34"/>
    <w:rsid w:val="00757925"/>
    <w:rsid w:val="0076664A"/>
    <w:rsid w:val="0077797C"/>
    <w:rsid w:val="00782AAA"/>
    <w:rsid w:val="00787A9B"/>
    <w:rsid w:val="007B3631"/>
    <w:rsid w:val="007C03BA"/>
    <w:rsid w:val="007C17D4"/>
    <w:rsid w:val="007C1E89"/>
    <w:rsid w:val="007C1EDA"/>
    <w:rsid w:val="007C4801"/>
    <w:rsid w:val="007C5EDC"/>
    <w:rsid w:val="007D6740"/>
    <w:rsid w:val="007E4CF8"/>
    <w:rsid w:val="007E6DD6"/>
    <w:rsid w:val="007F1C79"/>
    <w:rsid w:val="007F4EBE"/>
    <w:rsid w:val="007F6F4D"/>
    <w:rsid w:val="00805DA4"/>
    <w:rsid w:val="00807868"/>
    <w:rsid w:val="0081113B"/>
    <w:rsid w:val="00814F89"/>
    <w:rsid w:val="008234CC"/>
    <w:rsid w:val="00830168"/>
    <w:rsid w:val="00841288"/>
    <w:rsid w:val="0084559F"/>
    <w:rsid w:val="00847B66"/>
    <w:rsid w:val="00847E80"/>
    <w:rsid w:val="00854BD7"/>
    <w:rsid w:val="0086606E"/>
    <w:rsid w:val="00872897"/>
    <w:rsid w:val="00881C3A"/>
    <w:rsid w:val="00883A28"/>
    <w:rsid w:val="00884099"/>
    <w:rsid w:val="00893BDC"/>
    <w:rsid w:val="008945D3"/>
    <w:rsid w:val="008A1700"/>
    <w:rsid w:val="008A71B0"/>
    <w:rsid w:val="008B2531"/>
    <w:rsid w:val="008C209A"/>
    <w:rsid w:val="008C6BB9"/>
    <w:rsid w:val="008D001D"/>
    <w:rsid w:val="008D4C2A"/>
    <w:rsid w:val="008D7203"/>
    <w:rsid w:val="008D7F4A"/>
    <w:rsid w:val="008E36EA"/>
    <w:rsid w:val="008E6550"/>
    <w:rsid w:val="008E6CA7"/>
    <w:rsid w:val="008F016B"/>
    <w:rsid w:val="008F0C8B"/>
    <w:rsid w:val="008F46FE"/>
    <w:rsid w:val="008F5AF5"/>
    <w:rsid w:val="009141C6"/>
    <w:rsid w:val="00922168"/>
    <w:rsid w:val="00922B5F"/>
    <w:rsid w:val="00922B80"/>
    <w:rsid w:val="00923C8D"/>
    <w:rsid w:val="00924154"/>
    <w:rsid w:val="00924A51"/>
    <w:rsid w:val="00932017"/>
    <w:rsid w:val="00935D36"/>
    <w:rsid w:val="00936923"/>
    <w:rsid w:val="00941443"/>
    <w:rsid w:val="00943A71"/>
    <w:rsid w:val="0094706A"/>
    <w:rsid w:val="009472D0"/>
    <w:rsid w:val="009512C7"/>
    <w:rsid w:val="009610BC"/>
    <w:rsid w:val="00971717"/>
    <w:rsid w:val="00972326"/>
    <w:rsid w:val="00972376"/>
    <w:rsid w:val="00974DB3"/>
    <w:rsid w:val="00990D8F"/>
    <w:rsid w:val="0099659F"/>
    <w:rsid w:val="009A2011"/>
    <w:rsid w:val="009A798C"/>
    <w:rsid w:val="009B323F"/>
    <w:rsid w:val="009B4A78"/>
    <w:rsid w:val="009B776F"/>
    <w:rsid w:val="009C533C"/>
    <w:rsid w:val="009C77C1"/>
    <w:rsid w:val="009D5E66"/>
    <w:rsid w:val="009E213D"/>
    <w:rsid w:val="009E7067"/>
    <w:rsid w:val="00A2406B"/>
    <w:rsid w:val="00A324C1"/>
    <w:rsid w:val="00A34CD9"/>
    <w:rsid w:val="00A405DF"/>
    <w:rsid w:val="00A4492D"/>
    <w:rsid w:val="00A47E55"/>
    <w:rsid w:val="00A578B0"/>
    <w:rsid w:val="00A84922"/>
    <w:rsid w:val="00A84F2A"/>
    <w:rsid w:val="00A903EC"/>
    <w:rsid w:val="00A94E15"/>
    <w:rsid w:val="00A9538B"/>
    <w:rsid w:val="00A97A99"/>
    <w:rsid w:val="00AA3B1A"/>
    <w:rsid w:val="00AB0884"/>
    <w:rsid w:val="00AB3A02"/>
    <w:rsid w:val="00AC4380"/>
    <w:rsid w:val="00AC454B"/>
    <w:rsid w:val="00AC5B42"/>
    <w:rsid w:val="00AD39B5"/>
    <w:rsid w:val="00AD39BB"/>
    <w:rsid w:val="00AE18A3"/>
    <w:rsid w:val="00AE774E"/>
    <w:rsid w:val="00AF4ACE"/>
    <w:rsid w:val="00B16C0F"/>
    <w:rsid w:val="00B236B9"/>
    <w:rsid w:val="00B279AB"/>
    <w:rsid w:val="00B43790"/>
    <w:rsid w:val="00B46F55"/>
    <w:rsid w:val="00B6265D"/>
    <w:rsid w:val="00B6299E"/>
    <w:rsid w:val="00B62FE0"/>
    <w:rsid w:val="00B66BF9"/>
    <w:rsid w:val="00B703DB"/>
    <w:rsid w:val="00B715E5"/>
    <w:rsid w:val="00B72080"/>
    <w:rsid w:val="00B72166"/>
    <w:rsid w:val="00B73F37"/>
    <w:rsid w:val="00B75670"/>
    <w:rsid w:val="00B81C81"/>
    <w:rsid w:val="00BA656F"/>
    <w:rsid w:val="00BA7D7D"/>
    <w:rsid w:val="00BC6CB1"/>
    <w:rsid w:val="00BD1877"/>
    <w:rsid w:val="00BE2415"/>
    <w:rsid w:val="00BE4A0F"/>
    <w:rsid w:val="00BF015F"/>
    <w:rsid w:val="00C20364"/>
    <w:rsid w:val="00C21795"/>
    <w:rsid w:val="00C22DE4"/>
    <w:rsid w:val="00C2696F"/>
    <w:rsid w:val="00C31866"/>
    <w:rsid w:val="00C32C65"/>
    <w:rsid w:val="00C33BA5"/>
    <w:rsid w:val="00C4410E"/>
    <w:rsid w:val="00C47C44"/>
    <w:rsid w:val="00C50B9D"/>
    <w:rsid w:val="00C51C02"/>
    <w:rsid w:val="00C52823"/>
    <w:rsid w:val="00C642DA"/>
    <w:rsid w:val="00C65843"/>
    <w:rsid w:val="00C661EC"/>
    <w:rsid w:val="00C72E82"/>
    <w:rsid w:val="00C73D6F"/>
    <w:rsid w:val="00C77BF0"/>
    <w:rsid w:val="00C90E3A"/>
    <w:rsid w:val="00C92BC6"/>
    <w:rsid w:val="00C95EEB"/>
    <w:rsid w:val="00CA42E6"/>
    <w:rsid w:val="00CA49E3"/>
    <w:rsid w:val="00CA59A9"/>
    <w:rsid w:val="00CA763B"/>
    <w:rsid w:val="00CB63E9"/>
    <w:rsid w:val="00CC30AB"/>
    <w:rsid w:val="00CE06AC"/>
    <w:rsid w:val="00CE6F1A"/>
    <w:rsid w:val="00D01125"/>
    <w:rsid w:val="00D13427"/>
    <w:rsid w:val="00D24AB4"/>
    <w:rsid w:val="00D41469"/>
    <w:rsid w:val="00D45055"/>
    <w:rsid w:val="00D53BED"/>
    <w:rsid w:val="00D60DAD"/>
    <w:rsid w:val="00D6646C"/>
    <w:rsid w:val="00D703F6"/>
    <w:rsid w:val="00D71D86"/>
    <w:rsid w:val="00D7417E"/>
    <w:rsid w:val="00D754AF"/>
    <w:rsid w:val="00D7733C"/>
    <w:rsid w:val="00D82B80"/>
    <w:rsid w:val="00D848B4"/>
    <w:rsid w:val="00D851C5"/>
    <w:rsid w:val="00D90245"/>
    <w:rsid w:val="00D95CEE"/>
    <w:rsid w:val="00DA1D87"/>
    <w:rsid w:val="00DA2CB8"/>
    <w:rsid w:val="00DA46A5"/>
    <w:rsid w:val="00DB1512"/>
    <w:rsid w:val="00DB429C"/>
    <w:rsid w:val="00DB66C5"/>
    <w:rsid w:val="00DB7465"/>
    <w:rsid w:val="00DC28C1"/>
    <w:rsid w:val="00DD5937"/>
    <w:rsid w:val="00DE28A2"/>
    <w:rsid w:val="00DF2129"/>
    <w:rsid w:val="00E0163A"/>
    <w:rsid w:val="00E046B7"/>
    <w:rsid w:val="00E06670"/>
    <w:rsid w:val="00E06D84"/>
    <w:rsid w:val="00E10DE0"/>
    <w:rsid w:val="00E15F42"/>
    <w:rsid w:val="00E470F7"/>
    <w:rsid w:val="00E540FD"/>
    <w:rsid w:val="00E54840"/>
    <w:rsid w:val="00E6257B"/>
    <w:rsid w:val="00E636A8"/>
    <w:rsid w:val="00E7261A"/>
    <w:rsid w:val="00E76DD4"/>
    <w:rsid w:val="00E77A1C"/>
    <w:rsid w:val="00E9375E"/>
    <w:rsid w:val="00E93BBE"/>
    <w:rsid w:val="00E94459"/>
    <w:rsid w:val="00EA2B07"/>
    <w:rsid w:val="00EA3F9A"/>
    <w:rsid w:val="00ED17F2"/>
    <w:rsid w:val="00EE0FE4"/>
    <w:rsid w:val="00EE1064"/>
    <w:rsid w:val="00EE28BA"/>
    <w:rsid w:val="00EF370C"/>
    <w:rsid w:val="00F113CE"/>
    <w:rsid w:val="00F1231F"/>
    <w:rsid w:val="00F128EF"/>
    <w:rsid w:val="00F1471C"/>
    <w:rsid w:val="00F217BA"/>
    <w:rsid w:val="00F251FA"/>
    <w:rsid w:val="00F33829"/>
    <w:rsid w:val="00F36D82"/>
    <w:rsid w:val="00F377A1"/>
    <w:rsid w:val="00F544E7"/>
    <w:rsid w:val="00F57A20"/>
    <w:rsid w:val="00F639FF"/>
    <w:rsid w:val="00F64DBA"/>
    <w:rsid w:val="00F650A2"/>
    <w:rsid w:val="00F6545C"/>
    <w:rsid w:val="00F66CA0"/>
    <w:rsid w:val="00F72C64"/>
    <w:rsid w:val="00F74CFA"/>
    <w:rsid w:val="00F76201"/>
    <w:rsid w:val="00FA0C4F"/>
    <w:rsid w:val="00FA6D1A"/>
    <w:rsid w:val="00FA7F91"/>
    <w:rsid w:val="00FB29F6"/>
    <w:rsid w:val="00FB2D27"/>
    <w:rsid w:val="00FC1EB1"/>
    <w:rsid w:val="00FC643B"/>
    <w:rsid w:val="00FD3018"/>
    <w:rsid w:val="00FD67C7"/>
    <w:rsid w:val="00FD6AD7"/>
    <w:rsid w:val="00FE198D"/>
    <w:rsid w:val="00FE43F9"/>
    <w:rsid w:val="00FF10FD"/>
    <w:rsid w:val="00FF3CC9"/>
    <w:rsid w:val="02FC55FF"/>
    <w:rsid w:val="04551DFA"/>
    <w:rsid w:val="07077AFE"/>
    <w:rsid w:val="124774E6"/>
    <w:rsid w:val="1326749D"/>
    <w:rsid w:val="19653C5F"/>
    <w:rsid w:val="1BDA72D5"/>
    <w:rsid w:val="2A730F56"/>
    <w:rsid w:val="2B9C1D79"/>
    <w:rsid w:val="2C2916D0"/>
    <w:rsid w:val="30345930"/>
    <w:rsid w:val="36783C0B"/>
    <w:rsid w:val="38295DB5"/>
    <w:rsid w:val="391245B3"/>
    <w:rsid w:val="3F8213B4"/>
    <w:rsid w:val="4B334E54"/>
    <w:rsid w:val="4B41696D"/>
    <w:rsid w:val="526F1820"/>
    <w:rsid w:val="57F128B9"/>
    <w:rsid w:val="5952374E"/>
    <w:rsid w:val="5D7F393A"/>
    <w:rsid w:val="5DFB392C"/>
    <w:rsid w:val="659326FF"/>
    <w:rsid w:val="6A214DB6"/>
    <w:rsid w:val="70DC7DEA"/>
    <w:rsid w:val="71835BBD"/>
    <w:rsid w:val="78304EBB"/>
    <w:rsid w:val="7C71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430B"/>
  <w15:docId w15:val="{0294ED22-56AA-48A9-B3DA-5D0A03E3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napToGrid w:val="0"/>
      <w:spacing w:before="360" w:after="300"/>
      <w:ind w:firstLine="425"/>
      <w:jc w:val="center"/>
      <w:outlineLvl w:val="1"/>
    </w:pPr>
    <w:rPr>
      <w:rFonts w:ascii="Arial" w:hAnsi="Arial"/>
      <w:b/>
      <w:sz w:val="28"/>
      <w:szCs w:val="20"/>
    </w:rPr>
  </w:style>
  <w:style w:type="paragraph" w:styleId="3">
    <w:name w:val="heading 3"/>
    <w:basedOn w:val="a"/>
    <w:next w:val="a0"/>
    <w:qFormat/>
    <w:pPr>
      <w:keepNext/>
      <w:keepLines/>
      <w:snapToGrid w:val="0"/>
      <w:spacing w:before="360" w:after="120" w:line="120" w:lineRule="auto"/>
      <w:jc w:val="center"/>
      <w:outlineLvl w:val="2"/>
    </w:pPr>
    <w:rPr>
      <w:rFonts w:eastAsia="黑体"/>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text"/>
    <w:basedOn w:val="a"/>
    <w:link w:val="a5"/>
    <w:pPr>
      <w:jc w:val="left"/>
    </w:pPr>
  </w:style>
  <w:style w:type="paragraph" w:styleId="a6">
    <w:name w:val="Body Text"/>
    <w:basedOn w:val="a"/>
    <w:pPr>
      <w:spacing w:line="500" w:lineRule="exact"/>
    </w:pPr>
    <w:rPr>
      <w:rFonts w:ascii="华文中宋" w:eastAsia="华文中宋" w:hAnsi="宋体"/>
      <w:b/>
      <w:bCs/>
      <w:sz w:val="24"/>
    </w:rPr>
  </w:style>
  <w:style w:type="paragraph" w:styleId="a7">
    <w:name w:val="Body Text Indent"/>
    <w:basedOn w:val="a"/>
    <w:pPr>
      <w:spacing w:line="440" w:lineRule="exact"/>
      <w:ind w:firstLineChars="200" w:firstLine="480"/>
    </w:pPr>
    <w:rPr>
      <w:rFonts w:ascii="宋体" w:hAnsi="宋体"/>
      <w:sz w:val="24"/>
    </w:rPr>
  </w:style>
  <w:style w:type="paragraph" w:styleId="TOC3">
    <w:name w:val="toc 3"/>
    <w:basedOn w:val="a"/>
    <w:next w:val="a"/>
    <w:semiHidden/>
    <w:pPr>
      <w:ind w:left="420"/>
      <w:jc w:val="left"/>
    </w:pPr>
    <w:rPr>
      <w:i/>
      <w:sz w:val="20"/>
      <w:szCs w:val="20"/>
    </w:rPr>
  </w:style>
  <w:style w:type="paragraph" w:styleId="20">
    <w:name w:val="Body Text Indent 2"/>
    <w:basedOn w:val="a"/>
    <w:pPr>
      <w:spacing w:line="460" w:lineRule="exact"/>
      <w:ind w:firstLineChars="200" w:firstLine="560"/>
    </w:pPr>
    <w:rPr>
      <w:rFonts w:hAnsi="宋体"/>
      <w:sz w:val="28"/>
    </w:rPr>
  </w:style>
  <w:style w:type="paragraph" w:styleId="a8">
    <w:name w:val="Balloon Text"/>
    <w:basedOn w:val="a"/>
    <w:semiHidden/>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semiHidden/>
    <w:pPr>
      <w:tabs>
        <w:tab w:val="right" w:leader="dot" w:pos="8296"/>
      </w:tabs>
      <w:snapToGrid w:val="0"/>
      <w:spacing w:line="460" w:lineRule="atLeast"/>
      <w:ind w:left="210"/>
      <w:jc w:val="left"/>
    </w:pPr>
    <w:rPr>
      <w:smallCaps/>
      <w:sz w:val="24"/>
      <w:szCs w:val="20"/>
    </w:rPr>
  </w:style>
  <w:style w:type="paragraph" w:styleId="ac">
    <w:name w:val="annotation subject"/>
    <w:basedOn w:val="a4"/>
    <w:next w:val="a4"/>
    <w:link w:val="ad"/>
    <w:rPr>
      <w:b/>
      <w:bCs/>
    </w:rPr>
  </w:style>
  <w:style w:type="character" w:styleId="ae">
    <w:name w:val="page number"/>
  </w:style>
  <w:style w:type="character" w:styleId="af">
    <w:name w:val="Hyperlink"/>
    <w:rPr>
      <w:color w:val="0000FF"/>
      <w:u w:val="single"/>
    </w:rPr>
  </w:style>
  <w:style w:type="character" w:styleId="af0">
    <w:name w:val="annotation reference"/>
    <w:rPr>
      <w:sz w:val="21"/>
      <w:szCs w:val="21"/>
    </w:rPr>
  </w:style>
  <w:style w:type="character" w:customStyle="1" w:styleId="a5">
    <w:name w:val="批注文字 字符"/>
    <w:link w:val="a4"/>
    <w:rPr>
      <w:kern w:val="2"/>
      <w:sz w:val="21"/>
      <w:szCs w:val="24"/>
    </w:rPr>
  </w:style>
  <w:style w:type="character" w:customStyle="1" w:styleId="ab">
    <w:name w:val="页眉 字符"/>
    <w:link w:val="aa"/>
    <w:rPr>
      <w:kern w:val="2"/>
      <w:sz w:val="18"/>
      <w:szCs w:val="18"/>
    </w:rPr>
  </w:style>
  <w:style w:type="character" w:customStyle="1" w:styleId="ad">
    <w:name w:val="批注主题 字符"/>
    <w:link w:val="ac"/>
    <w:rPr>
      <w:b/>
      <w:bCs/>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1">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2434</Words>
  <Characters>2435</Characters>
  <Application>Microsoft Office Word</Application>
  <DocSecurity>0</DocSecurity>
  <Lines>93</Lines>
  <Paragraphs>79</Paragraphs>
  <ScaleCrop>false</ScaleCrop>
  <Company>微软中国</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微软用户</dc:creator>
  <cp:lastModifiedBy>WJ 王静</cp:lastModifiedBy>
  <cp:revision>11</cp:revision>
  <cp:lastPrinted>2025-07-25T06:58:00Z</cp:lastPrinted>
  <dcterms:created xsi:type="dcterms:W3CDTF">2025-07-24T14:04:00Z</dcterms:created>
  <dcterms:modified xsi:type="dcterms:W3CDTF">2025-07-25T06:58:00Z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E97DB8CA0D2D490CA94E303F82F026C5_13</vt:lpwstr>
  </property>
  <property fmtid="{D5CDD505-2E9C-101B-9397-08002B2CF9AE}" pid="4" name="KSOTemplateDocerSaveRecord">
    <vt:lpwstr>eyJoZGlkIjoiZjc1MjhkNmEzZGFkYTQ2MWU3ZGNjZWEzMjhiMGUyZjMiLCJ1c2VySWQiOiI0MzA4NzAyNjQifQ==</vt:lpwstr>
  </property>
</Properties>
</file>