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00" w:line="773" w:lineRule="exact"/>
        <w:jc w:val="center"/>
        <w:rPr>
          <w:rFonts w:ascii="Times New Roman" w:hAnsi="Times New Roman" w:eastAsia="宋体" w:cs="Times New Roman"/>
          <w:b/>
          <w:bCs/>
          <w:sz w:val="36"/>
          <w:szCs w:val="36"/>
        </w:rPr>
      </w:pPr>
      <w:r>
        <w:rPr>
          <w:rFonts w:ascii="Times New Roman" w:hAnsi="Times New Roman" w:eastAsia="宋体" w:cs="Times New Roman"/>
          <w:b/>
          <w:bCs/>
          <w:sz w:val="36"/>
          <w:szCs w:val="36"/>
        </w:rPr>
        <w:t>山东龙大美食股份有限公司</w:t>
      </w:r>
    </w:p>
    <w:p>
      <w:pPr>
        <w:spacing w:before="1000" w:line="320" w:lineRule="exact"/>
        <w:jc w:val="center"/>
        <w:rPr>
          <w:rFonts w:ascii="Times New Roman" w:hAnsi="Times New Roman" w:eastAsia="宋体" w:cs="Times New Roman"/>
          <w:b/>
          <w:bCs/>
          <w:sz w:val="32"/>
          <w:szCs w:val="32"/>
        </w:rPr>
      </w:pPr>
      <w:r>
        <w:rPr>
          <w:rFonts w:ascii="Times New Roman" w:hAnsi="Times New Roman" w:eastAsia="宋体" w:cs="Times New Roman"/>
          <w:b/>
          <w:bCs/>
          <w:sz w:val="32"/>
          <w:szCs w:val="32"/>
        </w:rPr>
        <w:t>2023年半年度报告</w:t>
      </w:r>
    </w:p>
    <w:p>
      <w:pPr>
        <w:spacing w:before="1000" w:line="240" w:lineRule="exact"/>
        <w:jc w:val="center"/>
        <w:rPr>
          <w:rFonts w:ascii="Times New Roman" w:hAnsi="Times New Roman" w:eastAsia="宋体" w:cs="Times New Roman"/>
          <w:b/>
          <w:bCs/>
          <w:szCs w:val="21"/>
        </w:rPr>
      </w:pPr>
    </w:p>
    <w:p>
      <w:pPr>
        <w:spacing w:before="1000" w:after="1000" w:line="0" w:lineRule="atLeast"/>
        <w:jc w:val="center"/>
        <w:rPr>
          <w:rFonts w:ascii="Times New Roman" w:hAnsi="Times New Roman" w:eastAsia="宋体" w:cs="Times New Roman"/>
        </w:rPr>
      </w:pPr>
    </w:p>
    <w:p>
      <w:pPr>
        <w:spacing w:before="400" w:line="320" w:lineRule="exact"/>
        <w:jc w:val="center"/>
        <w:rPr>
          <w:rFonts w:ascii="Times New Roman" w:hAnsi="Times New Roman" w:eastAsia="宋体" w:cs="Times New Roman"/>
          <w:b/>
          <w:bCs/>
          <w:sz w:val="32"/>
          <w:szCs w:val="32"/>
        </w:rPr>
      </w:pPr>
      <w:r>
        <w:rPr>
          <w:rFonts w:ascii="Times New Roman" w:hAnsi="Times New Roman" w:eastAsia="宋体" w:cs="Times New Roman"/>
          <w:b/>
          <w:bCs/>
          <w:sz w:val="32"/>
          <w:szCs w:val="32"/>
        </w:rPr>
        <w:t>2023年8月</w:t>
      </w:r>
      <w:r>
        <w:rPr>
          <w:rFonts w:hint="eastAsia" w:ascii="Times New Roman" w:hAnsi="Times New Roman" w:eastAsia="宋体" w:cs="Times New Roman"/>
          <w:b/>
          <w:bCs/>
          <w:sz w:val="32"/>
          <w:szCs w:val="32"/>
          <w:lang w:val="en-US" w:eastAsia="zh-CN"/>
        </w:rPr>
        <w:t>31</w:t>
      </w:r>
      <w:r>
        <w:rPr>
          <w:rFonts w:ascii="Times New Roman" w:hAnsi="Times New Roman" w:eastAsia="宋体" w:cs="Times New Roman"/>
          <w:b/>
          <w:bCs/>
          <w:sz w:val="32"/>
          <w:szCs w:val="32"/>
        </w:rPr>
        <w:t>日</w:t>
      </w:r>
    </w:p>
    <w:p>
      <w:pPr>
        <w:rPr>
          <w:rFonts w:ascii="Times New Roman" w:hAnsi="Times New Roman" w:cs="Times New Roman"/>
        </w:rPr>
      </w:pPr>
      <w:r>
        <w:rPr>
          <w:rFonts w:ascii="Times New Roman" w:hAnsi="Times New Roman" w:cs="Times New Roman"/>
        </w:rPr>
        <w:br w:type="page"/>
      </w:r>
    </w:p>
    <w:p>
      <w:pPr>
        <w:pStyle w:val="13"/>
        <w:spacing w:before="340" w:after="330" w:line="773" w:lineRule="exact"/>
        <w:jc w:val="center"/>
        <w:rPr>
          <w:rFonts w:ascii="Times New Roman" w:hAnsi="Times New Roman" w:eastAsia="宋体" w:cs="Times New Roman"/>
          <w:b/>
          <w:bCs/>
          <w:sz w:val="32"/>
          <w:szCs w:val="32"/>
        </w:rPr>
      </w:pPr>
      <w:bookmarkStart w:id="0" w:name="_Toc988889"/>
      <w:r>
        <w:rPr>
          <w:rFonts w:ascii="Times New Roman" w:hAnsi="Times New Roman" w:eastAsia="宋体" w:cs="Times New Roman"/>
          <w:b/>
          <w:bCs/>
          <w:sz w:val="32"/>
          <w:szCs w:val="32"/>
        </w:rPr>
        <w:t>第一节 重要提示、目录和释义</w:t>
      </w:r>
      <w:bookmarkEnd w:id="0"/>
    </w:p>
    <w:p>
      <w:pPr>
        <w:spacing w:before="40" w:after="40" w:line="560" w:lineRule="exact"/>
        <w:ind w:firstLine="560" w:firstLineChars="200"/>
        <w:rPr>
          <w:rFonts w:ascii="Times New Roman" w:hAnsi="Times New Roman" w:eastAsia="宋体" w:cs="Times New Roman"/>
          <w:b/>
          <w:bCs/>
          <w:sz w:val="28"/>
          <w:szCs w:val="28"/>
        </w:rPr>
      </w:pPr>
      <w:r>
        <w:rPr>
          <w:rFonts w:ascii="Times New Roman" w:hAnsi="Times New Roman" w:eastAsia="宋体" w:cs="Times New Roman"/>
          <w:b/>
          <w:bCs/>
          <w:sz w:val="28"/>
          <w:szCs w:val="28"/>
        </w:rPr>
        <w:t>公司董事会、监事会及董事、监事、高级管理人员保证半年度报告内容的真实、准确、完整，不存在虚假记载、误导性陈述或者重大遗漏，并承担个别和连带的法律责任。</w:t>
      </w:r>
    </w:p>
    <w:p>
      <w:pPr>
        <w:spacing w:line="560" w:lineRule="exact"/>
        <w:ind w:firstLine="560" w:firstLineChars="200"/>
        <w:rPr>
          <w:rFonts w:ascii="Times New Roman" w:hAnsi="Times New Roman" w:eastAsia="宋体" w:cs="Times New Roman"/>
          <w:b/>
          <w:bCs/>
          <w:sz w:val="28"/>
          <w:szCs w:val="28"/>
        </w:rPr>
      </w:pPr>
      <w:r>
        <w:rPr>
          <w:rFonts w:ascii="Times New Roman" w:hAnsi="Times New Roman" w:eastAsia="宋体" w:cs="Times New Roman"/>
          <w:b/>
          <w:bCs/>
          <w:sz w:val="28"/>
          <w:szCs w:val="28"/>
        </w:rPr>
        <w:t>公司负责人杨晓初、主管会计工作负责人张凌及会计机构负责人(会计主管人员)刘璐希声明：保证本半年度报告中财务报告的真实、准确、完整。</w:t>
      </w:r>
    </w:p>
    <w:p>
      <w:pPr>
        <w:spacing w:line="560" w:lineRule="exact"/>
        <w:ind w:firstLine="560" w:firstLineChars="200"/>
        <w:rPr>
          <w:rFonts w:ascii="Times New Roman" w:hAnsi="Times New Roman" w:eastAsia="宋体" w:cs="Times New Roman"/>
          <w:b/>
          <w:bCs/>
          <w:sz w:val="28"/>
          <w:szCs w:val="28"/>
        </w:rPr>
      </w:pPr>
      <w:r>
        <w:rPr>
          <w:rFonts w:ascii="Times New Roman" w:hAnsi="Times New Roman" w:eastAsia="宋体" w:cs="Times New Roman"/>
          <w:b/>
          <w:bCs/>
          <w:sz w:val="28"/>
          <w:szCs w:val="28"/>
        </w:rPr>
        <w:t>所有董事均已出席了审议本次半年报的董事会会议。</w:t>
      </w:r>
    </w:p>
    <w:p>
      <w:pPr>
        <w:spacing w:line="560" w:lineRule="exact"/>
        <w:ind w:firstLine="560" w:firstLineChars="200"/>
        <w:rPr>
          <w:rFonts w:ascii="Times New Roman" w:hAnsi="Times New Roman" w:eastAsia="宋体" w:cs="Times New Roman"/>
          <w:b/>
          <w:bCs/>
          <w:sz w:val="28"/>
          <w:szCs w:val="28"/>
        </w:rPr>
      </w:pPr>
      <w:r>
        <w:rPr>
          <w:rFonts w:ascii="Times New Roman" w:hAnsi="Times New Roman" w:eastAsia="宋体" w:cs="Times New Roman"/>
          <w:b/>
          <w:bCs/>
          <w:sz w:val="28"/>
          <w:szCs w:val="28"/>
        </w:rPr>
        <w:t>公司计划不派发现金红利，不送红股，不以公积金转增股本。</w:t>
      </w:r>
    </w:p>
    <w:p>
      <w:pPr>
        <w:rPr>
          <w:rFonts w:ascii="Times New Roman" w:hAnsi="Times New Roman" w:cs="Times New Roman"/>
        </w:rPr>
      </w:pPr>
      <w:r>
        <w:rPr>
          <w:rFonts w:ascii="Times New Roman" w:hAnsi="Times New Roman" w:cs="Times New Roman"/>
        </w:rPr>
        <w:br w:type="page"/>
      </w:r>
    </w:p>
    <w:p>
      <w:pPr>
        <w:spacing w:line="720" w:lineRule="exact"/>
        <w:jc w:val="center"/>
        <w:rPr>
          <w:rFonts w:ascii="Times New Roman" w:hAnsi="Times New Roman" w:eastAsia="宋体" w:cs="Times New Roman"/>
          <w:b/>
          <w:bCs/>
          <w:sz w:val="36"/>
          <w:szCs w:val="36"/>
        </w:rPr>
      </w:pPr>
      <w:r>
        <w:rPr>
          <w:rFonts w:ascii="Times New Roman" w:hAnsi="Times New Roman" w:eastAsia="宋体" w:cs="Times New Roman"/>
          <w:b/>
          <w:bCs/>
          <w:sz w:val="36"/>
          <w:szCs w:val="36"/>
        </w:rPr>
        <w:t>目录</w:t>
      </w:r>
    </w:p>
    <w:p>
      <w:pPr>
        <w:pStyle w:val="6"/>
        <w:keepNext w:val="0"/>
        <w:keepLines w:val="0"/>
        <w:pageBreakBefore w:val="0"/>
        <w:widowControl w:val="0"/>
        <w:tabs>
          <w:tab w:val="left" w:leader="dot" w:pos="9469"/>
        </w:tabs>
        <w:kinsoku/>
        <w:wordWrap/>
        <w:overflowPunct/>
        <w:topLinePunct w:val="0"/>
        <w:autoSpaceDE/>
        <w:autoSpaceDN/>
        <w:bidi w:val="0"/>
        <w:adjustRightInd/>
        <w:snapToGrid/>
        <w:spacing w:line="360" w:lineRule="auto"/>
        <w:textAlignment w:val="auto"/>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eastAsia="宋体" w:cs="Times New Roman"/>
        </w:rPr>
        <w:instrText xml:space="preserve">TOC \o "1-2" \h \z \u</w:instrText>
      </w:r>
      <w:r>
        <w:rPr>
          <w:rFonts w:ascii="Times New Roman" w:hAnsi="Times New Roman" w:cs="Times New Roman"/>
        </w:rPr>
        <w:instrText xml:space="preserve"> </w:instrText>
      </w:r>
      <w:r>
        <w:rPr>
          <w:rFonts w:ascii="Times New Roman" w:hAnsi="Times New Roman" w:cs="Times New Roman"/>
        </w:rPr>
        <w:fldChar w:fldCharType="separate"/>
      </w:r>
      <w:r>
        <w:fldChar w:fldCharType="begin"/>
      </w:r>
      <w:r>
        <w:instrText xml:space="preserve"> HYPERLINK \l "_Toc988889" </w:instrText>
      </w:r>
      <w:r>
        <w:fldChar w:fldCharType="separate"/>
      </w:r>
      <w:r>
        <w:rPr>
          <w:rFonts w:ascii="Times New Roman" w:hAnsi="Times New Roman" w:eastAsia="宋体" w:cs="Times New Roman"/>
          <w:b/>
          <w:bCs/>
          <w:sz w:val="24"/>
        </w:rPr>
        <w:t>第一节 重要提示、目录和释义</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_Toc988889 \h </w:instrText>
      </w:r>
      <w:r>
        <w:rPr>
          <w:rFonts w:ascii="Times New Roman" w:hAnsi="Times New Roman" w:cs="Times New Roman"/>
        </w:rPr>
        <w:fldChar w:fldCharType="separate"/>
      </w:r>
      <w:r>
        <w:rPr>
          <w:rFonts w:ascii="Times New Roman" w:hAnsi="Times New Roman" w:eastAsia="宋体" w:cs="Times New Roman"/>
          <w:b/>
          <w:bCs/>
          <w:sz w:val="24"/>
        </w:rPr>
        <w:t>3</w:t>
      </w:r>
      <w:r>
        <w:rPr>
          <w:rFonts w:ascii="Times New Roman" w:hAnsi="Times New Roman" w:cs="Times New Roman"/>
        </w:rPr>
        <w:fldChar w:fldCharType="end"/>
      </w:r>
      <w:r>
        <w:rPr>
          <w:rFonts w:ascii="Times New Roman" w:hAnsi="Times New Roman" w:cs="Times New Roman"/>
        </w:rPr>
        <w:fldChar w:fldCharType="end"/>
      </w:r>
    </w:p>
    <w:p>
      <w:pPr>
        <w:pStyle w:val="6"/>
        <w:keepNext w:val="0"/>
        <w:keepLines w:val="0"/>
        <w:pageBreakBefore w:val="0"/>
        <w:widowControl w:val="0"/>
        <w:tabs>
          <w:tab w:val="left" w:leader="dot" w:pos="9469"/>
        </w:tabs>
        <w:kinsoku/>
        <w:wordWrap/>
        <w:overflowPunct/>
        <w:topLinePunct w:val="0"/>
        <w:autoSpaceDE/>
        <w:autoSpaceDN/>
        <w:bidi w:val="0"/>
        <w:adjustRightInd/>
        <w:snapToGrid/>
        <w:spacing w:line="360" w:lineRule="auto"/>
        <w:textAlignment w:val="auto"/>
        <w:rPr>
          <w:rFonts w:ascii="Times New Roman" w:hAnsi="Times New Roman" w:cs="Times New Roman"/>
        </w:rPr>
      </w:pPr>
      <w:r>
        <w:fldChar w:fldCharType="begin"/>
      </w:r>
      <w:r>
        <w:instrText xml:space="preserve"> HYPERLINK \l "_Toc988890" </w:instrText>
      </w:r>
      <w:r>
        <w:fldChar w:fldCharType="separate"/>
      </w:r>
      <w:r>
        <w:rPr>
          <w:rFonts w:ascii="Times New Roman" w:hAnsi="Times New Roman" w:eastAsia="宋体" w:cs="Times New Roman"/>
          <w:b/>
          <w:bCs/>
          <w:sz w:val="24"/>
        </w:rPr>
        <w:t>第二节 公司简介和主要财务指标</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_Toc988890 \h </w:instrText>
      </w:r>
      <w:r>
        <w:rPr>
          <w:rFonts w:ascii="Times New Roman" w:hAnsi="Times New Roman" w:cs="Times New Roman"/>
        </w:rPr>
        <w:fldChar w:fldCharType="separate"/>
      </w:r>
      <w:r>
        <w:rPr>
          <w:rFonts w:ascii="Times New Roman" w:hAnsi="Times New Roman" w:eastAsia="宋体" w:cs="Times New Roman"/>
          <w:b/>
          <w:bCs/>
          <w:sz w:val="24"/>
        </w:rPr>
        <w:t>4</w:t>
      </w:r>
      <w:r>
        <w:rPr>
          <w:rFonts w:ascii="Times New Roman" w:hAnsi="Times New Roman" w:cs="Times New Roman"/>
        </w:rPr>
        <w:fldChar w:fldCharType="end"/>
      </w:r>
      <w:r>
        <w:rPr>
          <w:rFonts w:ascii="Times New Roman" w:hAnsi="Times New Roman" w:cs="Times New Roman"/>
        </w:rPr>
        <w:fldChar w:fldCharType="end"/>
      </w:r>
    </w:p>
    <w:p>
      <w:pPr>
        <w:pStyle w:val="6"/>
        <w:keepNext w:val="0"/>
        <w:keepLines w:val="0"/>
        <w:pageBreakBefore w:val="0"/>
        <w:widowControl w:val="0"/>
        <w:tabs>
          <w:tab w:val="left" w:leader="dot" w:pos="9469"/>
        </w:tabs>
        <w:kinsoku/>
        <w:wordWrap/>
        <w:overflowPunct/>
        <w:topLinePunct w:val="0"/>
        <w:autoSpaceDE/>
        <w:autoSpaceDN/>
        <w:bidi w:val="0"/>
        <w:adjustRightInd/>
        <w:snapToGrid/>
        <w:spacing w:line="360" w:lineRule="auto"/>
        <w:textAlignment w:val="auto"/>
        <w:rPr>
          <w:rFonts w:ascii="Times New Roman" w:hAnsi="Times New Roman" w:cs="Times New Roman"/>
        </w:rPr>
      </w:pPr>
      <w:r>
        <w:fldChar w:fldCharType="begin"/>
      </w:r>
      <w:r>
        <w:instrText xml:space="preserve"> HYPERLINK \l "_Toc988902" </w:instrText>
      </w:r>
      <w:r>
        <w:fldChar w:fldCharType="separate"/>
      </w:r>
      <w:r>
        <w:rPr>
          <w:rFonts w:ascii="Times New Roman" w:hAnsi="Times New Roman" w:eastAsia="宋体" w:cs="Times New Roman"/>
          <w:b/>
          <w:bCs/>
          <w:sz w:val="24"/>
        </w:rPr>
        <w:t>第三节 管理层讨论与分析</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_Toc988902 \h </w:instrText>
      </w:r>
      <w:r>
        <w:rPr>
          <w:rFonts w:ascii="Times New Roman" w:hAnsi="Times New Roman" w:cs="Times New Roman"/>
        </w:rPr>
        <w:fldChar w:fldCharType="separate"/>
      </w:r>
      <w:r>
        <w:rPr>
          <w:rFonts w:ascii="Times New Roman" w:hAnsi="Times New Roman" w:eastAsia="宋体" w:cs="Times New Roman"/>
          <w:b/>
          <w:bCs/>
          <w:sz w:val="24"/>
        </w:rPr>
        <w:t>6</w:t>
      </w:r>
      <w:r>
        <w:rPr>
          <w:rFonts w:ascii="Times New Roman" w:hAnsi="Times New Roman" w:cs="Times New Roman"/>
        </w:rPr>
        <w:fldChar w:fldCharType="end"/>
      </w:r>
      <w:r>
        <w:rPr>
          <w:rFonts w:ascii="Times New Roman" w:hAnsi="Times New Roman" w:cs="Times New Roman"/>
        </w:rPr>
        <w:fldChar w:fldCharType="end"/>
      </w:r>
    </w:p>
    <w:p>
      <w:pPr>
        <w:pStyle w:val="6"/>
        <w:keepNext w:val="0"/>
        <w:keepLines w:val="0"/>
        <w:pageBreakBefore w:val="0"/>
        <w:widowControl w:val="0"/>
        <w:tabs>
          <w:tab w:val="left" w:leader="dot" w:pos="9469"/>
        </w:tabs>
        <w:kinsoku/>
        <w:wordWrap/>
        <w:overflowPunct/>
        <w:topLinePunct w:val="0"/>
        <w:autoSpaceDE/>
        <w:autoSpaceDN/>
        <w:bidi w:val="0"/>
        <w:adjustRightInd/>
        <w:snapToGrid/>
        <w:spacing w:line="360" w:lineRule="auto"/>
        <w:textAlignment w:val="auto"/>
        <w:rPr>
          <w:rFonts w:ascii="Times New Roman" w:hAnsi="Times New Roman" w:cs="Times New Roman"/>
        </w:rPr>
      </w:pPr>
      <w:r>
        <w:fldChar w:fldCharType="begin"/>
      </w:r>
      <w:r>
        <w:instrText xml:space="preserve"> HYPERLINK \l "_Toc988929" </w:instrText>
      </w:r>
      <w:r>
        <w:fldChar w:fldCharType="separate"/>
      </w:r>
      <w:r>
        <w:rPr>
          <w:rFonts w:ascii="Times New Roman" w:hAnsi="Times New Roman" w:eastAsia="宋体" w:cs="Times New Roman"/>
          <w:b/>
          <w:bCs/>
          <w:sz w:val="24"/>
        </w:rPr>
        <w:t>第四节 公司治理</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_Toc988929 \h </w:instrText>
      </w:r>
      <w:r>
        <w:rPr>
          <w:rFonts w:ascii="Times New Roman" w:hAnsi="Times New Roman" w:cs="Times New Roman"/>
        </w:rPr>
        <w:fldChar w:fldCharType="separate"/>
      </w:r>
      <w:r>
        <w:rPr>
          <w:rFonts w:ascii="Times New Roman" w:hAnsi="Times New Roman" w:eastAsia="宋体" w:cs="Times New Roman"/>
          <w:b/>
          <w:bCs/>
          <w:sz w:val="24"/>
        </w:rPr>
        <w:t>7</w:t>
      </w:r>
      <w:r>
        <w:rPr>
          <w:rFonts w:ascii="Times New Roman" w:hAnsi="Times New Roman" w:cs="Times New Roman"/>
        </w:rPr>
        <w:fldChar w:fldCharType="end"/>
      </w:r>
      <w:r>
        <w:rPr>
          <w:rFonts w:ascii="Times New Roman" w:hAnsi="Times New Roman" w:cs="Times New Roman"/>
        </w:rPr>
        <w:fldChar w:fldCharType="end"/>
      </w:r>
    </w:p>
    <w:p>
      <w:pPr>
        <w:pStyle w:val="6"/>
        <w:keepNext w:val="0"/>
        <w:keepLines w:val="0"/>
        <w:pageBreakBefore w:val="0"/>
        <w:widowControl w:val="0"/>
        <w:tabs>
          <w:tab w:val="left" w:leader="dot" w:pos="9469"/>
        </w:tabs>
        <w:kinsoku/>
        <w:wordWrap/>
        <w:overflowPunct/>
        <w:topLinePunct w:val="0"/>
        <w:autoSpaceDE/>
        <w:autoSpaceDN/>
        <w:bidi w:val="0"/>
        <w:adjustRightInd/>
        <w:snapToGrid/>
        <w:spacing w:line="360" w:lineRule="auto"/>
        <w:textAlignment w:val="auto"/>
        <w:rPr>
          <w:rFonts w:ascii="Times New Roman" w:hAnsi="Times New Roman" w:cs="Times New Roman"/>
        </w:rPr>
      </w:pPr>
      <w:r>
        <w:fldChar w:fldCharType="begin"/>
      </w:r>
      <w:r>
        <w:instrText xml:space="preserve"> HYPERLINK \l "_Toc988939" </w:instrText>
      </w:r>
      <w:r>
        <w:fldChar w:fldCharType="separate"/>
      </w:r>
      <w:r>
        <w:rPr>
          <w:rFonts w:ascii="Times New Roman" w:hAnsi="Times New Roman" w:eastAsia="宋体" w:cs="Times New Roman"/>
          <w:b/>
          <w:bCs/>
          <w:sz w:val="24"/>
        </w:rPr>
        <w:t>第五节 环境和社会责任</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_Toc988939 \h </w:instrText>
      </w:r>
      <w:r>
        <w:rPr>
          <w:rFonts w:ascii="Times New Roman" w:hAnsi="Times New Roman" w:cs="Times New Roman"/>
        </w:rPr>
        <w:fldChar w:fldCharType="separate"/>
      </w:r>
      <w:r>
        <w:rPr>
          <w:rFonts w:ascii="Times New Roman" w:hAnsi="Times New Roman" w:eastAsia="宋体" w:cs="Times New Roman"/>
          <w:b/>
          <w:bCs/>
          <w:sz w:val="24"/>
        </w:rPr>
        <w:t>9</w:t>
      </w:r>
      <w:r>
        <w:rPr>
          <w:rFonts w:ascii="Times New Roman" w:hAnsi="Times New Roman" w:cs="Times New Roman"/>
        </w:rPr>
        <w:fldChar w:fldCharType="end"/>
      </w:r>
      <w:r>
        <w:rPr>
          <w:rFonts w:ascii="Times New Roman" w:hAnsi="Times New Roman" w:cs="Times New Roman"/>
        </w:rPr>
        <w:fldChar w:fldCharType="end"/>
      </w:r>
    </w:p>
    <w:p>
      <w:pPr>
        <w:pStyle w:val="6"/>
        <w:keepNext w:val="0"/>
        <w:keepLines w:val="0"/>
        <w:pageBreakBefore w:val="0"/>
        <w:widowControl w:val="0"/>
        <w:tabs>
          <w:tab w:val="left" w:leader="dot" w:pos="9469"/>
        </w:tabs>
        <w:kinsoku/>
        <w:wordWrap/>
        <w:overflowPunct/>
        <w:topLinePunct w:val="0"/>
        <w:autoSpaceDE/>
        <w:autoSpaceDN/>
        <w:bidi w:val="0"/>
        <w:adjustRightInd/>
        <w:snapToGrid/>
        <w:spacing w:line="360" w:lineRule="auto"/>
        <w:textAlignment w:val="auto"/>
        <w:rPr>
          <w:rFonts w:ascii="Times New Roman" w:hAnsi="Times New Roman" w:cs="Times New Roman"/>
        </w:rPr>
      </w:pPr>
      <w:r>
        <w:fldChar w:fldCharType="begin"/>
      </w:r>
      <w:r>
        <w:instrText xml:space="preserve"> HYPERLINK \l "_Toc988942" </w:instrText>
      </w:r>
      <w:r>
        <w:fldChar w:fldCharType="separate"/>
      </w:r>
      <w:r>
        <w:rPr>
          <w:rFonts w:ascii="Times New Roman" w:hAnsi="Times New Roman" w:eastAsia="宋体" w:cs="Times New Roman"/>
          <w:b/>
          <w:bCs/>
          <w:sz w:val="24"/>
        </w:rPr>
        <w:t>第六节 重要事项</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_Toc988942 \h </w:instrText>
      </w:r>
      <w:r>
        <w:rPr>
          <w:rFonts w:ascii="Times New Roman" w:hAnsi="Times New Roman" w:cs="Times New Roman"/>
        </w:rPr>
        <w:fldChar w:fldCharType="separate"/>
      </w:r>
      <w:r>
        <w:rPr>
          <w:rFonts w:ascii="Times New Roman" w:hAnsi="Times New Roman" w:eastAsia="宋体" w:cs="Times New Roman"/>
          <w:b/>
          <w:bCs/>
          <w:sz w:val="24"/>
        </w:rPr>
        <w:t>10</w:t>
      </w:r>
      <w:r>
        <w:rPr>
          <w:rFonts w:ascii="Times New Roman" w:hAnsi="Times New Roman" w:cs="Times New Roman"/>
        </w:rPr>
        <w:fldChar w:fldCharType="end"/>
      </w:r>
      <w:r>
        <w:rPr>
          <w:rFonts w:ascii="Times New Roman" w:hAnsi="Times New Roman" w:cs="Times New Roman"/>
        </w:rPr>
        <w:fldChar w:fldCharType="end"/>
      </w:r>
    </w:p>
    <w:p>
      <w:pPr>
        <w:pStyle w:val="6"/>
        <w:keepNext w:val="0"/>
        <w:keepLines w:val="0"/>
        <w:pageBreakBefore w:val="0"/>
        <w:widowControl w:val="0"/>
        <w:tabs>
          <w:tab w:val="left" w:leader="dot" w:pos="9469"/>
        </w:tabs>
        <w:kinsoku/>
        <w:wordWrap/>
        <w:overflowPunct/>
        <w:topLinePunct w:val="0"/>
        <w:autoSpaceDE/>
        <w:autoSpaceDN/>
        <w:bidi w:val="0"/>
        <w:adjustRightInd/>
        <w:snapToGrid/>
        <w:spacing w:line="360" w:lineRule="auto"/>
        <w:textAlignment w:val="auto"/>
        <w:rPr>
          <w:rFonts w:ascii="Times New Roman" w:hAnsi="Times New Roman" w:cs="Times New Roman"/>
        </w:rPr>
      </w:pPr>
      <w:r>
        <w:fldChar w:fldCharType="begin"/>
      </w:r>
      <w:r>
        <w:instrText xml:space="preserve"> HYPERLINK \l "_Toc988971" </w:instrText>
      </w:r>
      <w:r>
        <w:fldChar w:fldCharType="separate"/>
      </w:r>
      <w:r>
        <w:rPr>
          <w:rFonts w:ascii="Times New Roman" w:hAnsi="Times New Roman" w:eastAsia="宋体" w:cs="Times New Roman"/>
          <w:b/>
          <w:bCs/>
          <w:sz w:val="24"/>
        </w:rPr>
        <w:t>第七节 股份变动及股东情况</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_Toc988971 \h </w:instrText>
      </w:r>
      <w:r>
        <w:rPr>
          <w:rFonts w:ascii="Times New Roman" w:hAnsi="Times New Roman" w:cs="Times New Roman"/>
        </w:rPr>
        <w:fldChar w:fldCharType="separate"/>
      </w:r>
      <w:r>
        <w:rPr>
          <w:rFonts w:ascii="Times New Roman" w:hAnsi="Times New Roman" w:eastAsia="宋体" w:cs="Times New Roman"/>
          <w:b/>
          <w:bCs/>
          <w:sz w:val="24"/>
        </w:rPr>
        <w:t>12</w:t>
      </w:r>
      <w:r>
        <w:rPr>
          <w:rFonts w:ascii="Times New Roman" w:hAnsi="Times New Roman" w:cs="Times New Roman"/>
        </w:rPr>
        <w:fldChar w:fldCharType="end"/>
      </w:r>
      <w:r>
        <w:rPr>
          <w:rFonts w:ascii="Times New Roman" w:hAnsi="Times New Roman" w:cs="Times New Roman"/>
        </w:rPr>
        <w:fldChar w:fldCharType="end"/>
      </w:r>
    </w:p>
    <w:p>
      <w:pPr>
        <w:pStyle w:val="6"/>
        <w:keepNext w:val="0"/>
        <w:keepLines w:val="0"/>
        <w:pageBreakBefore w:val="0"/>
        <w:widowControl w:val="0"/>
        <w:tabs>
          <w:tab w:val="left" w:leader="dot" w:pos="9469"/>
        </w:tabs>
        <w:kinsoku/>
        <w:wordWrap/>
        <w:overflowPunct/>
        <w:topLinePunct w:val="0"/>
        <w:autoSpaceDE/>
        <w:autoSpaceDN/>
        <w:bidi w:val="0"/>
        <w:adjustRightInd/>
        <w:snapToGrid/>
        <w:spacing w:line="360" w:lineRule="auto"/>
        <w:textAlignment w:val="auto"/>
        <w:rPr>
          <w:rFonts w:ascii="Times New Roman" w:hAnsi="Times New Roman" w:cs="Times New Roman"/>
        </w:rPr>
      </w:pPr>
      <w:r>
        <w:fldChar w:fldCharType="begin"/>
      </w:r>
      <w:r>
        <w:instrText xml:space="preserve"> HYPERLINK \l "_Toc988979" </w:instrText>
      </w:r>
      <w:r>
        <w:fldChar w:fldCharType="separate"/>
      </w:r>
      <w:r>
        <w:rPr>
          <w:rFonts w:ascii="Times New Roman" w:hAnsi="Times New Roman" w:eastAsia="宋体" w:cs="Times New Roman"/>
          <w:b/>
          <w:bCs/>
          <w:sz w:val="24"/>
        </w:rPr>
        <w:t>第八节 优先股相关情况</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_Toc988979 \h </w:instrText>
      </w:r>
      <w:r>
        <w:rPr>
          <w:rFonts w:ascii="Times New Roman" w:hAnsi="Times New Roman" w:cs="Times New Roman"/>
        </w:rPr>
        <w:fldChar w:fldCharType="separate"/>
      </w:r>
      <w:r>
        <w:rPr>
          <w:rFonts w:ascii="Times New Roman" w:hAnsi="Times New Roman" w:eastAsia="宋体" w:cs="Times New Roman"/>
          <w:b/>
          <w:bCs/>
          <w:sz w:val="24"/>
        </w:rPr>
        <w:t>13</w:t>
      </w:r>
      <w:r>
        <w:rPr>
          <w:rFonts w:ascii="Times New Roman" w:hAnsi="Times New Roman" w:cs="Times New Roman"/>
        </w:rPr>
        <w:fldChar w:fldCharType="end"/>
      </w:r>
      <w:r>
        <w:rPr>
          <w:rFonts w:ascii="Times New Roman" w:hAnsi="Times New Roman" w:cs="Times New Roman"/>
        </w:rPr>
        <w:fldChar w:fldCharType="end"/>
      </w:r>
    </w:p>
    <w:p>
      <w:pPr>
        <w:pStyle w:val="6"/>
        <w:keepNext w:val="0"/>
        <w:keepLines w:val="0"/>
        <w:pageBreakBefore w:val="0"/>
        <w:widowControl w:val="0"/>
        <w:tabs>
          <w:tab w:val="left" w:leader="dot" w:pos="9469"/>
        </w:tabs>
        <w:kinsoku/>
        <w:wordWrap/>
        <w:overflowPunct/>
        <w:topLinePunct w:val="0"/>
        <w:autoSpaceDE/>
        <w:autoSpaceDN/>
        <w:bidi w:val="0"/>
        <w:adjustRightInd/>
        <w:snapToGrid/>
        <w:spacing w:line="360" w:lineRule="auto"/>
        <w:textAlignment w:val="auto"/>
        <w:rPr>
          <w:rFonts w:ascii="Times New Roman" w:hAnsi="Times New Roman" w:cs="Times New Roman"/>
        </w:rPr>
      </w:pPr>
      <w:r>
        <w:fldChar w:fldCharType="begin"/>
      </w:r>
      <w:r>
        <w:instrText xml:space="preserve"> HYPERLINK \l "_Toc988980" </w:instrText>
      </w:r>
      <w:r>
        <w:fldChar w:fldCharType="separate"/>
      </w:r>
      <w:r>
        <w:rPr>
          <w:rFonts w:ascii="Times New Roman" w:hAnsi="Times New Roman" w:eastAsia="宋体" w:cs="Times New Roman"/>
          <w:b/>
          <w:bCs/>
          <w:sz w:val="24"/>
        </w:rPr>
        <w:t>第九节 债券相关情况</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_Toc988980 \h </w:instrText>
      </w:r>
      <w:r>
        <w:rPr>
          <w:rFonts w:ascii="Times New Roman" w:hAnsi="Times New Roman" w:cs="Times New Roman"/>
        </w:rPr>
        <w:fldChar w:fldCharType="separate"/>
      </w:r>
      <w:r>
        <w:rPr>
          <w:rFonts w:ascii="Times New Roman" w:hAnsi="Times New Roman" w:eastAsia="宋体" w:cs="Times New Roman"/>
          <w:b/>
          <w:bCs/>
          <w:sz w:val="24"/>
        </w:rPr>
        <w:t>15</w:t>
      </w:r>
      <w:r>
        <w:rPr>
          <w:rFonts w:ascii="Times New Roman" w:hAnsi="Times New Roman" w:cs="Times New Roman"/>
        </w:rPr>
        <w:fldChar w:fldCharType="end"/>
      </w:r>
      <w:r>
        <w:rPr>
          <w:rFonts w:ascii="Times New Roman" w:hAnsi="Times New Roman" w:cs="Times New Roman"/>
        </w:rPr>
        <w:fldChar w:fldCharType="end"/>
      </w:r>
    </w:p>
    <w:p>
      <w:pPr>
        <w:pStyle w:val="6"/>
        <w:keepNext w:val="0"/>
        <w:keepLines w:val="0"/>
        <w:pageBreakBefore w:val="0"/>
        <w:widowControl w:val="0"/>
        <w:tabs>
          <w:tab w:val="left" w:leader="dot" w:pos="9469"/>
        </w:tabs>
        <w:kinsoku/>
        <w:wordWrap/>
        <w:overflowPunct/>
        <w:topLinePunct w:val="0"/>
        <w:autoSpaceDE/>
        <w:autoSpaceDN/>
        <w:bidi w:val="0"/>
        <w:adjustRightInd/>
        <w:snapToGrid/>
        <w:spacing w:line="360" w:lineRule="auto"/>
        <w:textAlignment w:val="auto"/>
        <w:rPr>
          <w:rFonts w:ascii="Times New Roman" w:hAnsi="Times New Roman" w:cs="Times New Roman"/>
        </w:rPr>
      </w:pPr>
      <w:r>
        <w:fldChar w:fldCharType="begin"/>
      </w:r>
      <w:r>
        <w:instrText xml:space="preserve"> HYPERLINK \l "_Toc988992" </w:instrText>
      </w:r>
      <w:r>
        <w:fldChar w:fldCharType="separate"/>
      </w:r>
      <w:r>
        <w:rPr>
          <w:rFonts w:ascii="Times New Roman" w:hAnsi="Times New Roman" w:eastAsia="宋体" w:cs="Times New Roman"/>
          <w:b/>
          <w:bCs/>
          <w:sz w:val="24"/>
        </w:rPr>
        <w:t>第十节 财务报告</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_Toc988992 \h </w:instrText>
      </w:r>
      <w:r>
        <w:rPr>
          <w:rFonts w:ascii="Times New Roman" w:hAnsi="Times New Roman" w:cs="Times New Roman"/>
        </w:rPr>
        <w:fldChar w:fldCharType="separate"/>
      </w:r>
      <w:r>
        <w:rPr>
          <w:rFonts w:ascii="Times New Roman" w:hAnsi="Times New Roman" w:eastAsia="宋体" w:cs="Times New Roman"/>
          <w:b/>
          <w:bCs/>
          <w:sz w:val="24"/>
        </w:rPr>
        <w:t>16</w:t>
      </w:r>
      <w:r>
        <w:rPr>
          <w:rFonts w:ascii="Times New Roman" w:hAnsi="Times New Roman" w:cs="Times New Roman"/>
        </w:rPr>
        <w:fldChar w:fldCharType="end"/>
      </w:r>
      <w:r>
        <w:rPr>
          <w:rFonts w:ascii="Times New Roman" w:hAnsi="Times New Roman" w:cs="Times New Roman"/>
        </w:rPr>
        <w:fldChar w:fldCharType="end"/>
      </w:r>
      <w:r>
        <w:rPr>
          <w:rFonts w:ascii="Times New Roman" w:hAnsi="Times New Roman" w:cs="Times New Roman"/>
        </w:rPr>
        <w:fldChar w:fldCharType="end"/>
      </w:r>
    </w:p>
    <w:p>
      <w:pPr>
        <w:rPr>
          <w:rFonts w:ascii="Times New Roman" w:hAnsi="Times New Roman" w:cs="Times New Roman"/>
        </w:rPr>
      </w:pPr>
      <w:r>
        <w:rPr>
          <w:rFonts w:ascii="Times New Roman" w:hAnsi="Times New Roman" w:cs="Times New Roman"/>
        </w:rPr>
        <w:br w:type="page"/>
      </w:r>
    </w:p>
    <w:p>
      <w:pPr>
        <w:spacing w:line="640" w:lineRule="exact"/>
        <w:jc w:val="center"/>
        <w:rPr>
          <w:rFonts w:ascii="Times New Roman" w:hAnsi="Times New Roman" w:eastAsia="宋体" w:cs="Times New Roman"/>
          <w:b/>
          <w:bCs/>
          <w:sz w:val="32"/>
          <w:szCs w:val="32"/>
        </w:rPr>
      </w:pPr>
      <w:r>
        <w:rPr>
          <w:rFonts w:ascii="Times New Roman" w:hAnsi="Times New Roman" w:eastAsia="宋体" w:cs="Times New Roman"/>
          <w:b/>
          <w:bCs/>
          <w:sz w:val="32"/>
          <w:szCs w:val="32"/>
        </w:rPr>
        <w:t>备查文件目录</w:t>
      </w:r>
    </w:p>
    <w:p>
      <w:pPr>
        <w:pStyle w:val="8"/>
        <w:spacing w:line="560" w:lineRule="atLeast"/>
        <w:rPr>
          <w:rFonts w:ascii="Times New Roman" w:hAnsi="Times New Roman" w:cs="Times New Roman"/>
          <w:sz w:val="18"/>
          <w:szCs w:val="18"/>
        </w:rPr>
      </w:pPr>
      <w:r>
        <w:rPr>
          <w:rFonts w:ascii="Times New Roman" w:hAnsi="Times New Roman" w:cs="Times New Roman"/>
          <w:sz w:val="18"/>
          <w:szCs w:val="18"/>
        </w:rPr>
        <w:t>一、载有公司法定代表人、主管会计工作负责人、会计机构负责人（会计主管人员）签名并盖章的财务报表。</w:t>
      </w:r>
    </w:p>
    <w:p>
      <w:pPr>
        <w:pStyle w:val="8"/>
        <w:spacing w:line="560" w:lineRule="atLeast"/>
        <w:rPr>
          <w:rFonts w:ascii="Times New Roman" w:hAnsi="Times New Roman" w:cs="Times New Roman"/>
          <w:sz w:val="18"/>
          <w:szCs w:val="18"/>
        </w:rPr>
      </w:pPr>
      <w:r>
        <w:rPr>
          <w:rFonts w:ascii="Times New Roman" w:hAnsi="Times New Roman" w:cs="Times New Roman"/>
          <w:sz w:val="18"/>
          <w:szCs w:val="18"/>
        </w:rPr>
        <w:t>二、报告期内在中国证监会指定网站上公开披露过的所有公司文件的正本及公告原稿。</w:t>
      </w:r>
    </w:p>
    <w:p>
      <w:pPr>
        <w:pStyle w:val="8"/>
        <w:spacing w:line="560" w:lineRule="atLeast"/>
        <w:rPr>
          <w:rFonts w:ascii="Times New Roman" w:hAnsi="Times New Roman" w:cs="Times New Roman"/>
          <w:sz w:val="18"/>
          <w:szCs w:val="18"/>
        </w:rPr>
      </w:pPr>
      <w:r>
        <w:rPr>
          <w:rFonts w:ascii="Times New Roman" w:hAnsi="Times New Roman" w:cs="Times New Roman"/>
          <w:sz w:val="18"/>
          <w:szCs w:val="18"/>
        </w:rPr>
        <w:t>三、载有公司法定代表人签名的2023年半年度报告原件。</w:t>
      </w:r>
    </w:p>
    <w:p>
      <w:pPr>
        <w:pStyle w:val="8"/>
        <w:spacing w:line="560" w:lineRule="atLeast"/>
        <w:rPr>
          <w:rFonts w:ascii="Times New Roman" w:hAnsi="Times New Roman" w:cs="Times New Roman"/>
          <w:sz w:val="18"/>
          <w:szCs w:val="18"/>
        </w:rPr>
      </w:pPr>
      <w:r>
        <w:rPr>
          <w:rFonts w:ascii="Times New Roman" w:hAnsi="Times New Roman" w:cs="Times New Roman"/>
          <w:sz w:val="18"/>
          <w:szCs w:val="18"/>
        </w:rPr>
        <w:t>四、以上备查文件的备置地点：公司证券部。</w:t>
      </w:r>
    </w:p>
    <w:p>
      <w:pPr>
        <w:rPr>
          <w:rFonts w:ascii="Times New Roman" w:hAnsi="Times New Roman" w:cs="Times New Roman"/>
        </w:rPr>
      </w:pPr>
      <w:r>
        <w:rPr>
          <w:rFonts w:ascii="Times New Roman" w:hAnsi="Times New Roman" w:cs="Times New Roman"/>
        </w:rPr>
        <w:br w:type="page"/>
      </w:r>
    </w:p>
    <w:p>
      <w:pPr>
        <w:spacing w:before="40" w:after="40" w:line="640" w:lineRule="exact"/>
        <w:jc w:val="center"/>
        <w:rPr>
          <w:rFonts w:ascii="Times New Roman" w:hAnsi="Times New Roman" w:eastAsia="宋体" w:cs="Times New Roman"/>
          <w:b/>
          <w:bCs/>
          <w:sz w:val="32"/>
          <w:szCs w:val="32"/>
        </w:rPr>
      </w:pPr>
      <w:r>
        <w:rPr>
          <w:rFonts w:ascii="Times New Roman" w:hAnsi="Times New Roman" w:eastAsia="宋体" w:cs="Times New Roman"/>
          <w:b/>
          <w:bCs/>
          <w:sz w:val="32"/>
          <w:szCs w:val="32"/>
        </w:rPr>
        <w:t>释义</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756"/>
        <w:gridCol w:w="567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释义项</w:t>
            </w:r>
          </w:p>
        </w:tc>
        <w:tc>
          <w:tcPr>
            <w:tcW w:w="75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指</w:t>
            </w:r>
          </w:p>
        </w:tc>
        <w:tc>
          <w:tcPr>
            <w:tcW w:w="567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释义内容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公司、本公司、龙大美食</w:t>
            </w:r>
          </w:p>
        </w:tc>
        <w:tc>
          <w:tcPr>
            <w:tcW w:w="75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指</w:t>
            </w:r>
          </w:p>
        </w:tc>
        <w:tc>
          <w:tcPr>
            <w:tcW w:w="567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山东龙大美食股份有限公司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蓝润发展</w:t>
            </w:r>
          </w:p>
        </w:tc>
        <w:tc>
          <w:tcPr>
            <w:tcW w:w="75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指</w:t>
            </w:r>
          </w:p>
        </w:tc>
        <w:tc>
          <w:tcPr>
            <w:tcW w:w="567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蓝润发展控股集团有限公司，本公司控股股东</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龙大集团</w:t>
            </w:r>
          </w:p>
        </w:tc>
        <w:tc>
          <w:tcPr>
            <w:tcW w:w="75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指</w:t>
            </w:r>
          </w:p>
        </w:tc>
        <w:tc>
          <w:tcPr>
            <w:tcW w:w="567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龙大食品集团有限公司，公司原控股股东</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龙大养殖</w:t>
            </w:r>
          </w:p>
        </w:tc>
        <w:tc>
          <w:tcPr>
            <w:tcW w:w="75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指</w:t>
            </w:r>
          </w:p>
        </w:tc>
        <w:tc>
          <w:tcPr>
            <w:tcW w:w="567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烟台龙大养殖有限公司，本公司全资子公司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龙大饲料</w:t>
            </w:r>
          </w:p>
        </w:tc>
        <w:tc>
          <w:tcPr>
            <w:tcW w:w="75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指</w:t>
            </w:r>
          </w:p>
        </w:tc>
        <w:tc>
          <w:tcPr>
            <w:tcW w:w="567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烟台龙大饲料有限公司，本公司全资子公司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聊城龙大</w:t>
            </w:r>
          </w:p>
        </w:tc>
        <w:tc>
          <w:tcPr>
            <w:tcW w:w="75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指</w:t>
            </w:r>
          </w:p>
        </w:tc>
        <w:tc>
          <w:tcPr>
            <w:tcW w:w="567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聊城龙大肉食品有限公司，本公司全资子公司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龙大牧原</w:t>
            </w:r>
          </w:p>
        </w:tc>
        <w:tc>
          <w:tcPr>
            <w:tcW w:w="75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指</w:t>
            </w:r>
          </w:p>
        </w:tc>
        <w:tc>
          <w:tcPr>
            <w:tcW w:w="567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河南龙大牧原肉食品有限公司，本公司控股子公司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莒南龙大</w:t>
            </w:r>
          </w:p>
        </w:tc>
        <w:tc>
          <w:tcPr>
            <w:tcW w:w="75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指</w:t>
            </w:r>
          </w:p>
        </w:tc>
        <w:tc>
          <w:tcPr>
            <w:tcW w:w="567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莒南龙大肉食品有限公司，本公司全资子公司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潍坊振祥</w:t>
            </w:r>
          </w:p>
        </w:tc>
        <w:tc>
          <w:tcPr>
            <w:tcW w:w="75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指</w:t>
            </w:r>
          </w:p>
        </w:tc>
        <w:tc>
          <w:tcPr>
            <w:tcW w:w="567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潍坊振祥食品有限公司，本公司控股子公司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杰科检测</w:t>
            </w:r>
          </w:p>
        </w:tc>
        <w:tc>
          <w:tcPr>
            <w:tcW w:w="75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指</w:t>
            </w:r>
          </w:p>
        </w:tc>
        <w:tc>
          <w:tcPr>
            <w:tcW w:w="567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烟台杰科检测服务有限公司，本公司全资子公司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蓬莱富龙</w:t>
            </w:r>
          </w:p>
        </w:tc>
        <w:tc>
          <w:tcPr>
            <w:tcW w:w="75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指</w:t>
            </w:r>
          </w:p>
        </w:tc>
        <w:tc>
          <w:tcPr>
            <w:tcW w:w="567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蓬莱富龙肉食品有限公司，本公司控股子公司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莱阳龙瑞</w:t>
            </w:r>
          </w:p>
        </w:tc>
        <w:tc>
          <w:tcPr>
            <w:tcW w:w="75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指</w:t>
            </w:r>
          </w:p>
        </w:tc>
        <w:tc>
          <w:tcPr>
            <w:tcW w:w="567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莱阳龙瑞食品有限公司，本公司全资子公司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龙大生猪产品有限</w:t>
            </w:r>
          </w:p>
        </w:tc>
        <w:tc>
          <w:tcPr>
            <w:tcW w:w="75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指</w:t>
            </w:r>
          </w:p>
        </w:tc>
        <w:tc>
          <w:tcPr>
            <w:tcW w:w="567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山东龙大生猪产品工程技术研究有限公司，本公司全资子公司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中和盛杰</w:t>
            </w:r>
          </w:p>
        </w:tc>
        <w:tc>
          <w:tcPr>
            <w:tcW w:w="75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指</w:t>
            </w:r>
          </w:p>
        </w:tc>
        <w:tc>
          <w:tcPr>
            <w:tcW w:w="567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青岛中和盛杰食品有限公司，本公司控股子公司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安丘龙大</w:t>
            </w:r>
          </w:p>
        </w:tc>
        <w:tc>
          <w:tcPr>
            <w:tcW w:w="75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指</w:t>
            </w:r>
          </w:p>
        </w:tc>
        <w:tc>
          <w:tcPr>
            <w:tcW w:w="567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安丘龙大养殖有限公司，本公司全资孙公司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云南福照</w:t>
            </w:r>
          </w:p>
        </w:tc>
        <w:tc>
          <w:tcPr>
            <w:tcW w:w="75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指</w:t>
            </w:r>
          </w:p>
        </w:tc>
        <w:tc>
          <w:tcPr>
            <w:tcW w:w="567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云南福照食品有限公司，本公司控股子公司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新胜锦</w:t>
            </w:r>
          </w:p>
        </w:tc>
        <w:tc>
          <w:tcPr>
            <w:tcW w:w="75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指</w:t>
            </w:r>
          </w:p>
        </w:tc>
        <w:tc>
          <w:tcPr>
            <w:tcW w:w="567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青岛新胜锦食品商贸有限公司，中和盛杰全资子公司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莱阳龙大养殖</w:t>
            </w:r>
          </w:p>
        </w:tc>
        <w:tc>
          <w:tcPr>
            <w:tcW w:w="75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指</w:t>
            </w:r>
          </w:p>
        </w:tc>
        <w:tc>
          <w:tcPr>
            <w:tcW w:w="567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莱阳龙大养殖有限公司，本公司全资孙公司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黑龙江龙大养殖</w:t>
            </w:r>
          </w:p>
        </w:tc>
        <w:tc>
          <w:tcPr>
            <w:tcW w:w="75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指</w:t>
            </w:r>
          </w:p>
        </w:tc>
        <w:tc>
          <w:tcPr>
            <w:tcW w:w="567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黑龙江龙大养殖有限公司，本公司全资子公司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乳山龙大养殖</w:t>
            </w:r>
          </w:p>
        </w:tc>
        <w:tc>
          <w:tcPr>
            <w:tcW w:w="75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指</w:t>
            </w:r>
          </w:p>
        </w:tc>
        <w:tc>
          <w:tcPr>
            <w:tcW w:w="567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乳山龙大养殖有限公司，本公司全资孙公司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黑龙江龙大肉食品</w:t>
            </w:r>
          </w:p>
        </w:tc>
        <w:tc>
          <w:tcPr>
            <w:tcW w:w="75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指</w:t>
            </w:r>
          </w:p>
        </w:tc>
        <w:tc>
          <w:tcPr>
            <w:tcW w:w="567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黑龙江龙大肉食品有限公司，本公司全资子公司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莱州龙大养殖</w:t>
            </w:r>
          </w:p>
        </w:tc>
        <w:tc>
          <w:tcPr>
            <w:tcW w:w="75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指</w:t>
            </w:r>
          </w:p>
        </w:tc>
        <w:tc>
          <w:tcPr>
            <w:tcW w:w="567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莱州龙大养殖有限公司，本公司全资孙公司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通辽金泉</w:t>
            </w:r>
          </w:p>
        </w:tc>
        <w:tc>
          <w:tcPr>
            <w:tcW w:w="75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指</w:t>
            </w:r>
          </w:p>
        </w:tc>
        <w:tc>
          <w:tcPr>
            <w:tcW w:w="567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通辽金泉食品有限责任公司，本公司全资子公司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乳山中和盛杰</w:t>
            </w:r>
          </w:p>
        </w:tc>
        <w:tc>
          <w:tcPr>
            <w:tcW w:w="75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指</w:t>
            </w:r>
          </w:p>
        </w:tc>
        <w:tc>
          <w:tcPr>
            <w:tcW w:w="567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乳山中和盛杰食品有限公司，本公司全资孙公司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龙大沁侬</w:t>
            </w:r>
          </w:p>
        </w:tc>
        <w:tc>
          <w:tcPr>
            <w:tcW w:w="75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指</w:t>
            </w:r>
          </w:p>
        </w:tc>
        <w:tc>
          <w:tcPr>
            <w:tcW w:w="567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江苏龙大沁侬食品有限公司，本公司控股子公司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湖北龙大</w:t>
            </w:r>
          </w:p>
        </w:tc>
        <w:tc>
          <w:tcPr>
            <w:tcW w:w="75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指</w:t>
            </w:r>
          </w:p>
        </w:tc>
        <w:tc>
          <w:tcPr>
            <w:tcW w:w="567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湖北龙大肉食品有限公司，本公司全资子公司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成都龙大</w:t>
            </w:r>
          </w:p>
        </w:tc>
        <w:tc>
          <w:tcPr>
            <w:tcW w:w="75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指</w:t>
            </w:r>
          </w:p>
        </w:tc>
        <w:tc>
          <w:tcPr>
            <w:tcW w:w="567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成都龙大肉食品有限公司，本公司全资子公司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龙鲜生</w:t>
            </w:r>
          </w:p>
        </w:tc>
        <w:tc>
          <w:tcPr>
            <w:tcW w:w="75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指</w:t>
            </w:r>
          </w:p>
        </w:tc>
        <w:tc>
          <w:tcPr>
            <w:tcW w:w="567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山东龙鲜生供应链管理有限公司，本公司全资子公司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中国证监会</w:t>
            </w:r>
          </w:p>
        </w:tc>
        <w:tc>
          <w:tcPr>
            <w:tcW w:w="75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指</w:t>
            </w:r>
          </w:p>
        </w:tc>
        <w:tc>
          <w:tcPr>
            <w:tcW w:w="567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中国证券监督管理委员会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报告期</w:t>
            </w:r>
          </w:p>
        </w:tc>
        <w:tc>
          <w:tcPr>
            <w:tcW w:w="75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指</w:t>
            </w:r>
          </w:p>
        </w:tc>
        <w:tc>
          <w:tcPr>
            <w:tcW w:w="567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2023年1月1日至2023年6月30日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元、万元</w:t>
            </w:r>
          </w:p>
        </w:tc>
        <w:tc>
          <w:tcPr>
            <w:tcW w:w="75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指</w:t>
            </w:r>
          </w:p>
        </w:tc>
        <w:tc>
          <w:tcPr>
            <w:tcW w:w="567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人民币元、万元</w:t>
            </w:r>
          </w:p>
        </w:tc>
      </w:tr>
    </w:tbl>
    <w:p>
      <w:pPr>
        <w:rPr>
          <w:rFonts w:ascii="Times New Roman" w:hAnsi="Times New Roman" w:cs="Times New Roman"/>
        </w:rPr>
      </w:pPr>
      <w:r>
        <w:rPr>
          <w:rFonts w:ascii="Times New Roman" w:hAnsi="Times New Roman" w:cs="Times New Roman"/>
        </w:rPr>
        <w:br w:type="page"/>
      </w:r>
    </w:p>
    <w:p>
      <w:pPr>
        <w:pStyle w:val="13"/>
        <w:spacing w:before="340" w:after="330" w:line="773" w:lineRule="exact"/>
        <w:jc w:val="center"/>
        <w:rPr>
          <w:rFonts w:ascii="Times New Roman" w:hAnsi="Times New Roman" w:eastAsia="宋体" w:cs="Times New Roman"/>
          <w:b/>
          <w:bCs/>
          <w:sz w:val="32"/>
          <w:szCs w:val="32"/>
        </w:rPr>
      </w:pPr>
      <w:bookmarkStart w:id="1" w:name="_Toc988890"/>
      <w:r>
        <w:rPr>
          <w:rFonts w:ascii="Times New Roman" w:hAnsi="Times New Roman" w:eastAsia="宋体" w:cs="Times New Roman"/>
          <w:b/>
          <w:bCs/>
          <w:sz w:val="32"/>
          <w:szCs w:val="32"/>
        </w:rPr>
        <w:t>第二节 公司简介和主要财务指标</w:t>
      </w:r>
      <w:bookmarkEnd w:id="1"/>
    </w:p>
    <w:p>
      <w:pPr>
        <w:pStyle w:val="2"/>
        <w:spacing w:before="300" w:after="300" w:line="320" w:lineRule="exact"/>
        <w:rPr>
          <w:rFonts w:ascii="Times New Roman" w:hAnsi="Times New Roman" w:eastAsia="宋体" w:cs="Times New Roman"/>
          <w:b/>
          <w:bCs/>
          <w:sz w:val="24"/>
          <w:szCs w:val="24"/>
        </w:rPr>
      </w:pPr>
      <w:bookmarkStart w:id="2" w:name="_Toc988891"/>
      <w:r>
        <w:rPr>
          <w:rFonts w:ascii="Times New Roman" w:hAnsi="Times New Roman" w:eastAsia="宋体" w:cs="Times New Roman"/>
          <w:b/>
          <w:bCs/>
          <w:sz w:val="24"/>
          <w:szCs w:val="24"/>
        </w:rPr>
        <w:t>一、公司简介</w:t>
      </w:r>
      <w:bookmarkEnd w:id="2"/>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09"/>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股票简称</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龙大美食</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股票代码</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002726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变更前的股票简称（如有）</w:t>
            </w:r>
          </w:p>
        </w:tc>
        <w:tc>
          <w:tcPr>
            <w:tcW w:w="7229" w:type="dxa"/>
            <w:gridSpan w:val="3"/>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公司股票简称于2021年12月24日由“龙大肉食”变更为“龙大美食”</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股票上市证券交易所</w:t>
            </w:r>
          </w:p>
        </w:tc>
        <w:tc>
          <w:tcPr>
            <w:tcW w:w="7229" w:type="dxa"/>
            <w:gridSpan w:val="3"/>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深圳证券交易所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公司的中文名称</w:t>
            </w:r>
          </w:p>
        </w:tc>
        <w:tc>
          <w:tcPr>
            <w:tcW w:w="7229" w:type="dxa"/>
            <w:gridSpan w:val="3"/>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山东龙大美食股份有限公司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公司的中文简称（如有）</w:t>
            </w:r>
          </w:p>
        </w:tc>
        <w:tc>
          <w:tcPr>
            <w:tcW w:w="7229" w:type="dxa"/>
            <w:gridSpan w:val="3"/>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龙大美食</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公司的外文名称（如有）</w:t>
            </w:r>
          </w:p>
        </w:tc>
        <w:tc>
          <w:tcPr>
            <w:tcW w:w="7229" w:type="dxa"/>
            <w:gridSpan w:val="3"/>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Shandong Longda Meishi Co.,Ltd.</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公司的外文名称缩写（如有）</w:t>
            </w:r>
          </w:p>
        </w:tc>
        <w:tc>
          <w:tcPr>
            <w:tcW w:w="7229" w:type="dxa"/>
            <w:gridSpan w:val="3"/>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LONGDA</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公司的法定代表人</w:t>
            </w:r>
          </w:p>
        </w:tc>
        <w:tc>
          <w:tcPr>
            <w:tcW w:w="7229" w:type="dxa"/>
            <w:gridSpan w:val="3"/>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杨晓初</w:t>
            </w:r>
          </w:p>
        </w:tc>
      </w:tr>
    </w:tbl>
    <w:p>
      <w:pPr>
        <w:pStyle w:val="2"/>
        <w:spacing w:before="300" w:after="300" w:line="320" w:lineRule="exact"/>
        <w:rPr>
          <w:rFonts w:ascii="Times New Roman" w:hAnsi="Times New Roman" w:eastAsia="宋体" w:cs="Times New Roman"/>
          <w:b/>
          <w:bCs/>
          <w:sz w:val="24"/>
          <w:szCs w:val="24"/>
        </w:rPr>
      </w:pPr>
      <w:bookmarkStart w:id="3" w:name="_Toc988892"/>
      <w:r>
        <w:rPr>
          <w:rFonts w:ascii="Times New Roman" w:hAnsi="Times New Roman" w:eastAsia="宋体" w:cs="Times New Roman"/>
          <w:b/>
          <w:bCs/>
          <w:sz w:val="24"/>
          <w:szCs w:val="24"/>
        </w:rPr>
        <w:t>二、联系人和联系方式</w:t>
      </w:r>
      <w:bookmarkEnd w:id="3"/>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董事会秘书</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证券事务代表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姓名</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张瑞</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彭威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联系地址</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山东省莱阳市龙门东路99号</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山东省莱阳市龙门东路99号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电话</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0535-7717760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0535-7717760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传真</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0535-7717337</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0535-7717337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电子信箱</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zqb@longdameishi.com</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zqb@longdameishi.com</w:t>
            </w:r>
          </w:p>
        </w:tc>
      </w:tr>
    </w:tbl>
    <w:p>
      <w:pPr>
        <w:pStyle w:val="2"/>
        <w:spacing w:before="300" w:after="300" w:line="320" w:lineRule="exact"/>
        <w:rPr>
          <w:rFonts w:ascii="Times New Roman" w:hAnsi="Times New Roman" w:eastAsia="宋体" w:cs="Times New Roman"/>
          <w:b/>
          <w:bCs/>
          <w:sz w:val="24"/>
          <w:szCs w:val="24"/>
        </w:rPr>
      </w:pPr>
      <w:bookmarkStart w:id="4" w:name="_Toc988893"/>
      <w:r>
        <w:rPr>
          <w:rFonts w:ascii="Times New Roman" w:hAnsi="Times New Roman" w:eastAsia="宋体" w:cs="Times New Roman"/>
          <w:b/>
          <w:bCs/>
          <w:sz w:val="24"/>
          <w:szCs w:val="24"/>
        </w:rPr>
        <w:t>三、其他情况</w:t>
      </w:r>
      <w:bookmarkEnd w:id="4"/>
    </w:p>
    <w:p>
      <w:pPr>
        <w:pStyle w:val="3"/>
        <w:spacing w:line="280" w:lineRule="exact"/>
        <w:jc w:val="left"/>
        <w:rPr>
          <w:rFonts w:ascii="Times New Roman" w:hAnsi="Times New Roman" w:cs="Times New Roman"/>
          <w:b/>
          <w:bCs/>
        </w:rPr>
      </w:pPr>
      <w:bookmarkStart w:id="5" w:name="_Toc988894"/>
      <w:r>
        <w:rPr>
          <w:rFonts w:ascii="Times New Roman" w:hAnsi="Times New Roman" w:cs="Times New Roman"/>
          <w:b/>
          <w:bCs/>
        </w:rPr>
        <w:t>1、公司联系方式</w:t>
      </w:r>
      <w:bookmarkEnd w:id="5"/>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公司注册地址、公司办公地址及其邮政编码、公司网址、电子信箱等在报告期是否变化</w:t>
      </w:r>
    </w:p>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 xml:space="preserve">□适用 </w:t>
      </w: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不适用</w:t>
      </w: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公司注册地址、公司办公地址及其邮政编码、公司网址、电子信箱等在报告期无变化，具体可参见2022年年报。</w:t>
      </w:r>
    </w:p>
    <w:p>
      <w:pPr>
        <w:pStyle w:val="3"/>
        <w:spacing w:line="280" w:lineRule="exact"/>
        <w:jc w:val="left"/>
        <w:rPr>
          <w:rFonts w:ascii="Times New Roman" w:hAnsi="Times New Roman" w:cs="Times New Roman"/>
          <w:b/>
          <w:bCs/>
        </w:rPr>
      </w:pPr>
      <w:bookmarkStart w:id="6" w:name="_Toc988895"/>
      <w:r>
        <w:rPr>
          <w:rFonts w:ascii="Times New Roman" w:hAnsi="Times New Roman" w:cs="Times New Roman"/>
          <w:b/>
          <w:bCs/>
        </w:rPr>
        <w:t>2、信息披露及备置地点</w:t>
      </w:r>
      <w:bookmarkEnd w:id="6"/>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信息披露及备置地点在报告期是否变化</w:t>
      </w:r>
    </w:p>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 xml:space="preserve">□适用 </w:t>
      </w: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不适用</w:t>
      </w: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公司披露半年度报告的证券交易所网站和媒体名称及网址，公司半年度报告备置地在报告期无变化，具体可参见2022年年报。</w:t>
      </w:r>
    </w:p>
    <w:p>
      <w:pPr>
        <w:pStyle w:val="3"/>
        <w:spacing w:line="280" w:lineRule="exact"/>
        <w:jc w:val="left"/>
        <w:rPr>
          <w:rFonts w:ascii="Times New Roman" w:hAnsi="Times New Roman" w:cs="Times New Roman"/>
          <w:b/>
          <w:bCs/>
        </w:rPr>
      </w:pPr>
      <w:bookmarkStart w:id="7" w:name="_Toc988896"/>
      <w:r>
        <w:rPr>
          <w:rFonts w:ascii="Times New Roman" w:hAnsi="Times New Roman" w:cs="Times New Roman"/>
          <w:b/>
          <w:bCs/>
        </w:rPr>
        <w:t>3、其他有关资料</w:t>
      </w:r>
      <w:bookmarkEnd w:id="7"/>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其他有关资料在报告期是否变更情况</w:t>
      </w:r>
    </w:p>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 xml:space="preserve">□适用 </w:t>
      </w: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不适用</w:t>
      </w:r>
    </w:p>
    <w:p>
      <w:pPr>
        <w:pStyle w:val="2"/>
        <w:spacing w:before="300" w:after="300" w:line="320" w:lineRule="exact"/>
        <w:rPr>
          <w:rFonts w:ascii="Times New Roman" w:hAnsi="Times New Roman" w:eastAsia="宋体" w:cs="Times New Roman"/>
          <w:b/>
          <w:bCs/>
          <w:sz w:val="24"/>
          <w:szCs w:val="24"/>
        </w:rPr>
      </w:pPr>
      <w:bookmarkStart w:id="8" w:name="_Toc988897"/>
      <w:r>
        <w:rPr>
          <w:rFonts w:ascii="Times New Roman" w:hAnsi="Times New Roman" w:eastAsia="宋体" w:cs="Times New Roman"/>
          <w:b/>
          <w:bCs/>
          <w:sz w:val="24"/>
          <w:szCs w:val="24"/>
        </w:rPr>
        <w:t>四、主要会计数据和财务指标</w:t>
      </w:r>
      <w:bookmarkEnd w:id="8"/>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公司是否需追溯调整或重述以前年度会计数据</w:t>
      </w: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是 □否</w:t>
      </w: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追溯调整或重述原因</w:t>
      </w: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会计政策变更</w:t>
      </w:r>
    </w:p>
    <w:p>
      <w:pPr>
        <w:spacing w:line="0" w:lineRule="atLeast"/>
        <w:rPr>
          <w:rFonts w:ascii="Times New Roman" w:hAnsi="Times New Roman" w:cs="Times New Roman"/>
        </w:rPr>
      </w:pP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7"/>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19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本报告期</w:t>
            </w:r>
          </w:p>
        </w:tc>
        <w:tc>
          <w:tcPr>
            <w:tcW w:w="385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上年同期</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本报告期比上年同期增减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调整前</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调整后</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调整后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营业收入（元）</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6,726,422,093.49</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6,815,217,068.63</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6,815,217,068.63</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-1.30%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归属于上市公司股东的净利润（元）</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-624,337,418.82</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36,180,690.39</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36,180,690.39</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-1,825.61%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归属于上市公司股东的扣除非经常性损益的净利润（元）</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-464,087,662.40</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89,126,855.32</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89,126,855.32</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-620.70%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经营活动产生的现金流量净额（元）</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-366,555,444.44</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727,557,194.06</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727,557,194.06</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-150.38%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基本每股收益（元/股）</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-0.58</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0.03</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0.03</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-2,033.33%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稀释每股收益（元/股）</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-0.53</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0.03</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0.03</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-1,866.67%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加权平均净资产收益率</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-22.26%</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1.11%</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1.11%</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-23.37%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19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本报告期末</w:t>
            </w:r>
          </w:p>
        </w:tc>
        <w:tc>
          <w:tcPr>
            <w:tcW w:w="385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上年度末</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本报告期末比上年度末增减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调整前</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调整后</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调整后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总资产（元）</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7,284,500,320.03</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7,977,125,571.16</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7,977,198,797.93</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-8.68%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归属于上市公司股东的净资产（元）</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2,631,762,262.39</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3,320,208,427.61</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3,320,280,649.56</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-20.74%</w:t>
            </w:r>
          </w:p>
        </w:tc>
      </w:tr>
    </w:tbl>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会计政策变更的原因及会计差错更正的情况</w:t>
      </w:r>
    </w:p>
    <w:p>
      <w:pPr>
        <w:pStyle w:val="8"/>
        <w:spacing w:before="40" w:beforeAutospacing="0" w:after="40" w:afterAutospacing="0" w:line="240" w:lineRule="atLeast"/>
        <w:ind w:firstLine="360" w:firstLineChars="200"/>
        <w:rPr>
          <w:rFonts w:ascii="Times New Roman" w:hAnsi="Times New Roman" w:cs="Times New Roman"/>
          <w:sz w:val="18"/>
          <w:szCs w:val="18"/>
        </w:rPr>
      </w:pPr>
      <w:r>
        <w:rPr>
          <w:rFonts w:ascii="Times New Roman" w:hAnsi="Times New Roman" w:cs="Times New Roman"/>
          <w:sz w:val="18"/>
          <w:szCs w:val="18"/>
        </w:rPr>
        <w:t>财政部于2022年11月30日发布了《企业会计准则解释第16号》，对《企业会计准则第18号——所得税》中递延所得税初始确认豁免的范围进行了修订，明确对于不是企业合并、交易发生时既不影响会计利润也不影响应纳税所得额（或可抵扣亏损）、且初始确认的资产和负债导致产生等额应纳税暂时性差异和可抵扣暂时性差异的单项交易，不适用《企业会计准则第18号——所得税》关于豁免初始确认递延所得税负债和递延所得税资产的规定。该规定自2023年1月1日起施行，可以提前执行。公司自2023年1月1日起执行该解释，并根据解释要求对2023年1月1日因适用该解释的单项交易而确认的租赁负债和使用权资产产生的应纳税暂时性差异和可抵扣暂时性差异财务报表列报数据进行重述。</w:t>
      </w:r>
    </w:p>
    <w:p>
      <w:pPr>
        <w:pStyle w:val="2"/>
        <w:spacing w:before="300" w:after="300" w:line="320" w:lineRule="exact"/>
        <w:rPr>
          <w:rFonts w:ascii="Times New Roman" w:hAnsi="Times New Roman" w:eastAsia="宋体" w:cs="Times New Roman"/>
          <w:b/>
          <w:bCs/>
          <w:sz w:val="24"/>
          <w:szCs w:val="24"/>
        </w:rPr>
      </w:pPr>
      <w:bookmarkStart w:id="9" w:name="_Toc988898"/>
      <w:r>
        <w:rPr>
          <w:rFonts w:ascii="Times New Roman" w:hAnsi="Times New Roman" w:eastAsia="宋体" w:cs="Times New Roman"/>
          <w:b/>
          <w:bCs/>
          <w:sz w:val="24"/>
          <w:szCs w:val="24"/>
        </w:rPr>
        <w:t>五、境内外会计准则下会计数据差异</w:t>
      </w:r>
      <w:bookmarkEnd w:id="9"/>
    </w:p>
    <w:p>
      <w:pPr>
        <w:pStyle w:val="3"/>
        <w:spacing w:line="280" w:lineRule="exact"/>
        <w:jc w:val="left"/>
        <w:rPr>
          <w:rFonts w:ascii="Times New Roman" w:hAnsi="Times New Roman" w:cs="Times New Roman"/>
          <w:b/>
          <w:bCs/>
        </w:rPr>
      </w:pPr>
      <w:bookmarkStart w:id="10" w:name="_Toc988899"/>
      <w:r>
        <w:rPr>
          <w:rFonts w:ascii="Times New Roman" w:hAnsi="Times New Roman" w:cs="Times New Roman"/>
          <w:b/>
          <w:bCs/>
        </w:rPr>
        <w:t>1、同时按照国际会计准则与按照中国会计准则披露的财务报告中净利润和净资产差异情况</w:t>
      </w:r>
      <w:bookmarkEnd w:id="10"/>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 xml:space="preserve">□适用 </w:t>
      </w: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不适用</w:t>
      </w: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公司报告期不存在按照国际会计准则与按照中国会计准则披露的财务报告中净利润和净资产差异情况。</w:t>
      </w:r>
    </w:p>
    <w:p>
      <w:pPr>
        <w:pStyle w:val="3"/>
        <w:spacing w:line="280" w:lineRule="exact"/>
        <w:jc w:val="left"/>
        <w:rPr>
          <w:rFonts w:ascii="Times New Roman" w:hAnsi="Times New Roman" w:cs="Times New Roman"/>
          <w:b/>
          <w:bCs/>
        </w:rPr>
      </w:pPr>
      <w:bookmarkStart w:id="11" w:name="_Toc988900"/>
      <w:r>
        <w:rPr>
          <w:rFonts w:ascii="Times New Roman" w:hAnsi="Times New Roman" w:cs="Times New Roman"/>
          <w:b/>
          <w:bCs/>
        </w:rPr>
        <w:t>2、同时按照境外会计准则与按照中国会计准则披露的财务报告中净利润和净资产差异情况</w:t>
      </w:r>
      <w:bookmarkEnd w:id="11"/>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 xml:space="preserve">□适用 </w:t>
      </w: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不适用</w:t>
      </w: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公司报告期不存在按照境外会计准则与按照中国会计准则披露的财务报告中净利润和净资产差异情况。</w:t>
      </w:r>
    </w:p>
    <w:p>
      <w:pPr>
        <w:pStyle w:val="2"/>
        <w:spacing w:before="300" w:after="300" w:line="320" w:lineRule="exact"/>
        <w:rPr>
          <w:rFonts w:ascii="Times New Roman" w:hAnsi="Times New Roman" w:eastAsia="宋体" w:cs="Times New Roman"/>
          <w:b/>
          <w:bCs/>
          <w:sz w:val="24"/>
          <w:szCs w:val="24"/>
        </w:rPr>
      </w:pPr>
      <w:bookmarkStart w:id="12" w:name="_Toc988901"/>
      <w:r>
        <w:rPr>
          <w:rFonts w:ascii="Times New Roman" w:hAnsi="Times New Roman" w:eastAsia="宋体" w:cs="Times New Roman"/>
          <w:b/>
          <w:bCs/>
          <w:sz w:val="24"/>
          <w:szCs w:val="24"/>
        </w:rPr>
        <w:t>六、非经常性损益项目及金额</w:t>
      </w:r>
      <w:bookmarkEnd w:id="12"/>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适用 □不适用</w:t>
      </w:r>
    </w:p>
    <w:p>
      <w:pPr>
        <w:spacing w:before="120" w:after="12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金额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非流动资产处置损益（包括已计提资产减值准备的冲销部分）</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-169,167,507.67</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本期处置生产性生物资产所致。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计入当期损益的政府补助（与公司正常经营业务密切相关，符合国家政策规定、按照一定标准定额或定量持续享受的政府补助除外）</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6,210,255.05</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除上述各项之外的其他营业外收入和支出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3,028,748.28</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减：所得税影响额</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44,316.54</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360" w:firstLineChars="200"/>
              <w:rPr>
                <w:rFonts w:ascii="Times New Roman" w:hAnsi="Times New Roman" w:eastAsia="宋体" w:cs="Times New Roman"/>
                <w:sz w:val="18"/>
                <w:szCs w:val="18"/>
              </w:rPr>
            </w:pPr>
            <w:r>
              <w:rPr>
                <w:rFonts w:ascii="Times New Roman" w:hAnsi="Times New Roman" w:eastAsia="宋体" w:cs="Times New Roman"/>
                <w:sz w:val="18"/>
                <w:szCs w:val="18"/>
              </w:rPr>
              <w:t>少数股东权益影响额（税后）</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276,935.54</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-160,249,756.42</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r>
    </w:tbl>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其他符合非经常性损益定义的损益项目的具体情况：</w:t>
      </w: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 xml:space="preserve">□适用 </w:t>
      </w: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不适用</w:t>
      </w: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公司不存在其他符合非经常性损益定义的损益项目的具体情况。</w:t>
      </w: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将《公开发行证券的公司信息披露解释性公告第1号——非经常性损益》中列举的非经常性损益项目界定为经常性损益项目的情况说明</w:t>
      </w: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 xml:space="preserve">□适用 </w:t>
      </w: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不适用</w:t>
      </w: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公司不存在将《公开发行证券的公司信息披露解释性公告第1号——非经常性损益》中列举的非经常性损益项目界定为经常性损益的项目的情形。</w:t>
      </w:r>
    </w:p>
    <w:p>
      <w:pPr>
        <w:rPr>
          <w:rFonts w:ascii="Times New Roman" w:hAnsi="Times New Roman" w:cs="Times New Roman"/>
        </w:rPr>
      </w:pPr>
      <w:r>
        <w:rPr>
          <w:rFonts w:ascii="Times New Roman" w:hAnsi="Times New Roman" w:cs="Times New Roman"/>
        </w:rPr>
        <w:br w:type="page"/>
      </w:r>
    </w:p>
    <w:p>
      <w:pPr>
        <w:pStyle w:val="13"/>
        <w:spacing w:before="340" w:after="330" w:line="773" w:lineRule="exact"/>
        <w:jc w:val="center"/>
        <w:rPr>
          <w:rFonts w:ascii="Times New Roman" w:hAnsi="Times New Roman" w:eastAsia="宋体" w:cs="Times New Roman"/>
          <w:b/>
          <w:bCs/>
          <w:sz w:val="32"/>
          <w:szCs w:val="32"/>
        </w:rPr>
      </w:pPr>
      <w:bookmarkStart w:id="13" w:name="_Toc988902"/>
      <w:r>
        <w:rPr>
          <w:rFonts w:ascii="Times New Roman" w:hAnsi="Times New Roman" w:eastAsia="宋体" w:cs="Times New Roman"/>
          <w:b/>
          <w:bCs/>
          <w:sz w:val="32"/>
          <w:szCs w:val="32"/>
        </w:rPr>
        <w:t>第三节 管理层讨论与分析</w:t>
      </w:r>
      <w:bookmarkEnd w:id="13"/>
    </w:p>
    <w:p>
      <w:pPr>
        <w:pStyle w:val="2"/>
        <w:spacing w:before="300" w:after="300" w:line="320" w:lineRule="exact"/>
        <w:rPr>
          <w:rFonts w:ascii="Times New Roman" w:hAnsi="Times New Roman" w:eastAsia="宋体" w:cs="Times New Roman"/>
          <w:b/>
          <w:bCs/>
          <w:sz w:val="24"/>
          <w:szCs w:val="24"/>
        </w:rPr>
      </w:pPr>
      <w:bookmarkStart w:id="14" w:name="_Toc988903"/>
      <w:r>
        <w:rPr>
          <w:rFonts w:ascii="Times New Roman" w:hAnsi="Times New Roman" w:eastAsia="宋体" w:cs="Times New Roman"/>
          <w:b/>
          <w:bCs/>
          <w:sz w:val="24"/>
          <w:szCs w:val="24"/>
        </w:rPr>
        <w:t>一、报告期内公司从事的主要业务</w:t>
      </w:r>
      <w:bookmarkEnd w:id="14"/>
    </w:p>
    <w:p>
      <w:pPr>
        <w:pStyle w:val="8"/>
        <w:spacing w:before="0" w:beforeAutospacing="0" w:after="0" w:afterAutospacing="0"/>
        <w:ind w:firstLine="360"/>
        <w:jc w:val="both"/>
        <w:rPr>
          <w:rFonts w:ascii="Times New Roman" w:hAnsi="Times New Roman" w:cs="Times New Roman"/>
        </w:rPr>
      </w:pPr>
      <w:r>
        <w:rPr>
          <w:rFonts w:hint="eastAsia" w:ascii="Times New Roman" w:hAnsi="Times New Roman" w:cs="Times New Roman"/>
          <w:sz w:val="18"/>
          <w:szCs w:val="18"/>
        </w:rPr>
        <w:t>公司持续贯彻以预制菜为核心的食品主体，以屠宰和养殖为支撑的“一体两翼”发展战略，以</w:t>
      </w:r>
      <w:r>
        <w:rPr>
          <w:rFonts w:ascii="Times New Roman" w:hAnsi="Times New Roman" w:cs="Times New Roman"/>
          <w:sz w:val="18"/>
          <w:szCs w:val="18"/>
        </w:rPr>
        <w:t>B端为主，C端为辅的渠道策略，不断提升预制菜的收入规模和主营业务占比。报告期内，预制菜收入9.62亿，较上年同期增长89.42%，占主营业务收入比重提升至14.30%。但由于短期内，传统业务占比较大，2023年上半年受猪价持续低位运行及生物资产处置损失，加之资产减值的影响，上半年业绩亏损。</w:t>
      </w:r>
    </w:p>
    <w:p>
      <w:pPr>
        <w:pStyle w:val="8"/>
        <w:spacing w:before="156" w:beforeLines="50" w:beforeAutospacing="0" w:after="0" w:afterAutospacing="0"/>
        <w:rPr>
          <w:rFonts w:ascii="Times New Roman" w:hAnsi="Times New Roman" w:cs="Times New Roman"/>
        </w:rPr>
      </w:pPr>
      <w:r>
        <w:rPr>
          <w:rStyle w:val="11"/>
          <w:rFonts w:ascii="Times New Roman" w:hAnsi="Times New Roman" w:cs="Times New Roman"/>
          <w:sz w:val="18"/>
          <w:szCs w:val="18"/>
        </w:rPr>
        <w:t>  （一）报告期内公司所处行业情况</w:t>
      </w:r>
    </w:p>
    <w:p>
      <w:pPr>
        <w:pStyle w:val="8"/>
        <w:spacing w:before="0" w:beforeAutospacing="0" w:after="0" w:afterAutospacing="0"/>
        <w:ind w:firstLine="360"/>
        <w:rPr>
          <w:rFonts w:ascii="Times New Roman" w:hAnsi="Times New Roman" w:cs="Times New Roman"/>
        </w:rPr>
      </w:pPr>
      <w:r>
        <w:rPr>
          <w:rFonts w:ascii="Times New Roman" w:hAnsi="Times New Roman" w:cs="Times New Roman"/>
          <w:sz w:val="18"/>
          <w:szCs w:val="18"/>
        </w:rPr>
        <w:t>公司所处行业为食品加工行业，主要业务覆盖上游生猪养殖、中游屠宰精加工、下游预制菜、肉制品。所处各行业情况如下：</w:t>
      </w:r>
    </w:p>
    <w:p>
      <w:pPr>
        <w:pStyle w:val="8"/>
        <w:spacing w:before="0" w:beforeAutospacing="0" w:after="0" w:afterAutospacing="0"/>
        <w:ind w:left="360"/>
        <w:rPr>
          <w:rFonts w:ascii="Times New Roman" w:hAnsi="Times New Roman" w:cs="Times New Roman"/>
        </w:rPr>
      </w:pPr>
      <w:r>
        <w:rPr>
          <w:rFonts w:ascii="Times New Roman" w:hAnsi="Times New Roman" w:cs="Times New Roman"/>
          <w:sz w:val="18"/>
          <w:szCs w:val="18"/>
        </w:rPr>
        <w:t xml:space="preserve">1、“政策加持+B端降本+C端便捷”的需求，助力预制菜行业发展 </w:t>
      </w:r>
    </w:p>
    <w:p>
      <w:pPr>
        <w:pStyle w:val="8"/>
        <w:spacing w:before="0" w:beforeAutospacing="0" w:after="0" w:afterAutospacing="0"/>
        <w:ind w:firstLine="360"/>
        <w:rPr>
          <w:rFonts w:ascii="Times New Roman" w:hAnsi="Times New Roman" w:cs="Times New Roman"/>
        </w:rPr>
      </w:pPr>
      <w:r>
        <w:rPr>
          <w:rFonts w:ascii="Times New Roman" w:hAnsi="Times New Roman" w:cs="Times New Roman"/>
          <w:sz w:val="18"/>
          <w:szCs w:val="18"/>
        </w:rPr>
        <w:t>预制菜作为扩大内需和乡村振兴战略的重要组成部分，国家和各省分别从财税、投资引导到冷链建设、消费补贴和产业园建设等方面扶持预制菜产业建设。2021年8月，农业农村部在《农业农村部关于加快农业全产业链培育发展的指导意见》中提到，中国要创新发展预制菜肴；2022年，中国各省市自治区共计发布80条政策，大力推动产业发展。2023年2月，中央一号文件提出“提升净菜、中央厨房等产业标准化和规范化水平，培育发展预制菜产业”。地方也响应了中央的号召针对当地的预制菜产业制定出相应发展方针和措施助推当地预制菜产业的发展。</w:t>
      </w:r>
    </w:p>
    <w:p>
      <w:pPr>
        <w:pStyle w:val="8"/>
        <w:spacing w:before="0" w:beforeAutospacing="0" w:after="0" w:afterAutospacing="0"/>
        <w:ind w:firstLine="360"/>
        <w:rPr>
          <w:rFonts w:ascii="Times New Roman" w:hAnsi="Times New Roman" w:cs="Times New Roman"/>
        </w:rPr>
      </w:pPr>
      <w:r>
        <w:rPr>
          <w:rFonts w:ascii="Times New Roman" w:hAnsi="Times New Roman" w:cs="Times New Roman"/>
          <w:sz w:val="18"/>
          <w:szCs w:val="18"/>
        </w:rPr>
        <w:t>随着政策支持的不断加大以及“B端降本增效+C端方便快捷”的需求影响，预制菜行业快速增长。从B端来看，租金、人力成本不断上涨，推动餐饮企业降本提效的需求，从而驱动预制菜行业发展，且随着餐饮行业连锁化率逐步提升，预制菜凭借其标准化程度高的优势受到广大消费者的欢迎。从C端来看，随着经济发展和生活节奏加快，饮食便捷化催生预制菜C端需求增加。尽管中国预制菜行业处于起步阶段，伴随着冷链物流等基础设施的完善，产品供给的不断丰富，B、C端市场有望迎来需求双旺的增长态势。</w:t>
      </w:r>
    </w:p>
    <w:p>
      <w:pPr>
        <w:pStyle w:val="8"/>
        <w:spacing w:before="0" w:beforeAutospacing="0" w:after="0" w:afterAutospacing="0"/>
        <w:ind w:firstLine="360"/>
        <w:rPr>
          <w:rFonts w:ascii="Times New Roman" w:hAnsi="Times New Roman" w:cs="Times New Roman"/>
        </w:rPr>
      </w:pPr>
      <w:r>
        <w:rPr>
          <w:rFonts w:ascii="Times New Roman" w:hAnsi="Times New Roman" w:cs="Times New Roman"/>
          <w:sz w:val="18"/>
          <w:szCs w:val="18"/>
        </w:rPr>
        <w:t>根据艾媒咨询数据显示，2022年中国预制菜市场规模达4,196亿元，同比增长21.3%，预计到2026年预制菜市场规模将达到1.07万亿元，发展空间巨大。中长期看，上游厂商有望发挥渠道、规模优势，其成长更具确定性；具备产品壁垒，储备丰富SKU且能突破区域限制的中游生产厂商也有望突破重围成为龙头。</w:t>
      </w:r>
    </w:p>
    <w:p>
      <w:pPr>
        <w:pStyle w:val="8"/>
        <w:spacing w:before="0" w:beforeAutospacing="0" w:after="0" w:afterAutospacing="0"/>
        <w:ind w:firstLine="360"/>
        <w:rPr>
          <w:rFonts w:ascii="Times New Roman" w:hAnsi="Times New Roman" w:cs="Times New Roman"/>
        </w:rPr>
      </w:pPr>
      <w:r>
        <w:rPr>
          <w:rFonts w:ascii="Times New Roman" w:hAnsi="Times New Roman" w:cs="Times New Roman"/>
          <w:sz w:val="18"/>
          <w:szCs w:val="18"/>
        </w:rPr>
        <w:t>2、屠宰行业受政策影响推动，行业集中度持续提升</w:t>
      </w:r>
    </w:p>
    <w:p>
      <w:pPr>
        <w:pStyle w:val="8"/>
        <w:spacing w:before="0" w:beforeAutospacing="0" w:after="0" w:afterAutospacing="0"/>
        <w:ind w:firstLine="360"/>
        <w:rPr>
          <w:rFonts w:ascii="Times New Roman" w:hAnsi="Times New Roman" w:cs="Times New Roman"/>
        </w:rPr>
      </w:pPr>
      <w:r>
        <w:rPr>
          <w:rFonts w:ascii="Times New Roman" w:hAnsi="Times New Roman" w:cs="Times New Roman"/>
          <w:sz w:val="18"/>
          <w:szCs w:val="18"/>
        </w:rPr>
        <w:t>近年来环保趋紧导致上游养殖散户逐步出清，行业集中度逐渐提升，屠宰业务正从粗加工向深加工转型，盈利能力持续提高。非洲猪瘟爆发以来，农业农村部发布多项文件，要求坚决关闭不符合条件的生猪屠宰企业，压缩落后产能，严厉打击私屠滥宰等违法行为，鼓励优势屠宰企业整合产业链，加快推进生猪屠宰的清理整顿和标准化创建，规模小、盈利能力弱、不合标的企业将退出，私屠滥宰将得到较好整治，龙头企业得以更好发挥规模效应的优势，进一步推动行业集中度中长期提升。</w:t>
      </w:r>
    </w:p>
    <w:p>
      <w:pPr>
        <w:pStyle w:val="8"/>
        <w:spacing w:before="0" w:beforeAutospacing="0" w:after="0" w:afterAutospacing="0"/>
        <w:ind w:left="360"/>
        <w:rPr>
          <w:rFonts w:ascii="Times New Roman" w:hAnsi="Times New Roman" w:cs="Times New Roman"/>
        </w:rPr>
      </w:pPr>
      <w:r>
        <w:rPr>
          <w:rFonts w:ascii="Times New Roman" w:hAnsi="Times New Roman" w:cs="Times New Roman"/>
          <w:sz w:val="18"/>
          <w:szCs w:val="18"/>
        </w:rPr>
        <w:t>3、中小养殖户逐渐出清，生猪养殖行业规模化发展进程持续</w:t>
      </w:r>
    </w:p>
    <w:p>
      <w:pPr>
        <w:pStyle w:val="8"/>
        <w:spacing w:before="0" w:beforeAutospacing="0" w:after="120" w:afterAutospacing="0"/>
        <w:ind w:firstLine="357"/>
        <w:rPr>
          <w:rFonts w:ascii="Times New Roman" w:hAnsi="Times New Roman" w:cs="Times New Roman"/>
        </w:rPr>
      </w:pPr>
      <w:r>
        <w:rPr>
          <w:rFonts w:ascii="Times New Roman" w:hAnsi="Times New Roman" w:cs="Times New Roman"/>
          <w:sz w:val="18"/>
          <w:szCs w:val="18"/>
        </w:rPr>
        <w:t>我国生猪养殖行业以散户为主，集中度处于较低水平。近年来，国家高度重视生猪养殖行业的生产发展，随着一系列政策的出台、日益严格的环保要求以及非洲猪瘟爆发，提高了养殖场硬件设施的要求，都在加速了中小养殖户的出清，推动生猪规模化养殖的发展，国内生猪养殖行业集中度仍有较大提升空间。</w:t>
      </w:r>
    </w:p>
    <w:p>
      <w:pPr>
        <w:pStyle w:val="8"/>
        <w:spacing w:before="0" w:beforeAutospacing="0" w:after="0" w:afterAutospacing="0"/>
        <w:rPr>
          <w:rFonts w:ascii="Times New Roman" w:hAnsi="Times New Roman" w:cs="Times New Roman"/>
        </w:rPr>
      </w:pPr>
      <w:r>
        <w:rPr>
          <w:rStyle w:val="11"/>
          <w:rFonts w:ascii="Times New Roman" w:hAnsi="Times New Roman" w:cs="Times New Roman"/>
          <w:sz w:val="18"/>
          <w:szCs w:val="18"/>
        </w:rPr>
        <w:t>  （二）报告期内公司从事的主要业务</w:t>
      </w:r>
    </w:p>
    <w:p>
      <w:pPr>
        <w:pStyle w:val="8"/>
        <w:spacing w:before="0" w:beforeAutospacing="0" w:after="0" w:afterAutospacing="0"/>
        <w:ind w:firstLine="360"/>
        <w:rPr>
          <w:rFonts w:ascii="Times New Roman" w:hAnsi="Times New Roman" w:cs="Times New Roman"/>
        </w:rPr>
      </w:pPr>
      <w:r>
        <w:rPr>
          <w:rFonts w:ascii="Times New Roman" w:hAnsi="Times New Roman" w:cs="Times New Roman"/>
          <w:sz w:val="18"/>
          <w:szCs w:val="18"/>
        </w:rPr>
        <w:t>报告期内，公司秉持“一体两翼”发展战略，坚持以预制菜为核心的食品主体，以养殖和屠宰为两翼支撑，致力于发展成为中国领先的食品企业，为中国人健康饮食提供高品质的系统解决方案。同时公司以该战略为指引，加强内控管理，优化产品结构，持续推进了公司的稳步发展。</w:t>
      </w:r>
    </w:p>
    <w:p>
      <w:pPr>
        <w:pStyle w:val="8"/>
        <w:spacing w:before="0" w:beforeAutospacing="0" w:after="0" w:afterAutospacing="0"/>
        <w:ind w:firstLine="360"/>
        <w:rPr>
          <w:rFonts w:ascii="Times New Roman" w:hAnsi="Times New Roman" w:cs="Times New Roman"/>
        </w:rPr>
      </w:pPr>
      <w:r>
        <w:rPr>
          <w:rFonts w:ascii="Times New Roman" w:hAnsi="Times New Roman" w:cs="Times New Roman"/>
          <w:sz w:val="18"/>
          <w:szCs w:val="18"/>
        </w:rPr>
        <w:t>1、食品业务</w:t>
      </w:r>
    </w:p>
    <w:p>
      <w:pPr>
        <w:pStyle w:val="8"/>
        <w:spacing w:before="0" w:beforeAutospacing="0" w:after="0" w:afterAutospacing="0"/>
        <w:ind w:firstLine="360"/>
        <w:rPr>
          <w:rFonts w:ascii="Times New Roman" w:hAnsi="Times New Roman" w:cs="Times New Roman"/>
        </w:rPr>
      </w:pPr>
      <w:r>
        <w:rPr>
          <w:rFonts w:ascii="Times New Roman" w:hAnsi="Times New Roman" w:cs="Times New Roman"/>
          <w:sz w:val="18"/>
          <w:szCs w:val="18"/>
        </w:rPr>
        <w:t>公司食品业务主要包括预制菜和熟食制品的研发、生产和销售。报告期内，公司聚焦战略路径的构建与夯实，在全国范围内拓展产能，持续推进全国化布局；打造“三位一体”研发格局，完善食品研发体系；加速经销商网络建设，拓展市场渠道规模。在研发上，公司以市场需求为导向，持续加大在产品设计、口味创新、质量控制、保鲜技术和加工工艺的投入，保障产品满足市场需求。</w:t>
      </w:r>
    </w:p>
    <w:p>
      <w:pPr>
        <w:pStyle w:val="8"/>
        <w:spacing w:before="0" w:beforeAutospacing="0" w:after="0" w:afterAutospacing="0"/>
        <w:ind w:firstLine="360"/>
        <w:rPr>
          <w:rFonts w:ascii="Times New Roman" w:hAnsi="Times New Roman" w:cs="Times New Roman"/>
        </w:rPr>
      </w:pPr>
      <w:r>
        <w:rPr>
          <w:rFonts w:ascii="Times New Roman" w:hAnsi="Times New Roman" w:cs="Times New Roman"/>
          <w:sz w:val="18"/>
          <w:szCs w:val="18"/>
        </w:rPr>
        <w:t>公司上半年不断加强研发技术的新突破，研发上市包含肥肠鸡、酱爆肥肠、香辣小郡肝、龙大鲜食记肉肠、甄选四喜丸子等预制菜新品。在营销上，公司着力构建消费市场洞察体系，服务广大食品加工和餐饮企业，协同进行市场推广，创新营销模式，积极应用市场思维打造亿元级、千万元级的大单品，以大单品策略快速服务市场。目前，公司已与多家知名餐饮连锁企业、食品加工企业和大型连锁商超等客户建立了长期稳定的合作关系，成长为国内优秀的食品餐饮供应商之一。</w:t>
      </w:r>
    </w:p>
    <w:p>
      <w:pPr>
        <w:pStyle w:val="8"/>
        <w:spacing w:before="0" w:beforeAutospacing="0" w:after="0" w:afterAutospacing="0"/>
        <w:ind w:firstLine="360"/>
        <w:rPr>
          <w:rFonts w:ascii="Times New Roman" w:hAnsi="Times New Roman" w:cs="Times New Roman"/>
        </w:rPr>
      </w:pPr>
      <w:r>
        <w:rPr>
          <w:rFonts w:ascii="Times New Roman" w:hAnsi="Times New Roman" w:cs="Times New Roman"/>
          <w:sz w:val="18"/>
          <w:szCs w:val="18"/>
        </w:rPr>
        <w:t>2、屠宰业务</w:t>
      </w:r>
    </w:p>
    <w:p>
      <w:pPr>
        <w:pStyle w:val="8"/>
        <w:spacing w:before="0" w:beforeAutospacing="0" w:after="0" w:afterAutospacing="0"/>
        <w:ind w:firstLine="360"/>
        <w:rPr>
          <w:rFonts w:ascii="Times New Roman" w:hAnsi="Times New Roman" w:cs="Times New Roman"/>
        </w:rPr>
      </w:pPr>
      <w:r>
        <w:rPr>
          <w:rFonts w:ascii="Times New Roman" w:hAnsi="Times New Roman" w:cs="Times New Roman"/>
          <w:sz w:val="18"/>
          <w:szCs w:val="18"/>
        </w:rPr>
        <w:t>报告期内，公司屠宰业务主要包括生猪屠宰及鲜冻肉的加工业务。基于屠宰精加工的优势经验，公司根据客户需求规格、尺寸和口味，利用专业优势为客户提供精修和优选产品服务，节省客户大量前置加工工序、人员成本和生产空间。</w:t>
      </w:r>
    </w:p>
    <w:p>
      <w:pPr>
        <w:pStyle w:val="8"/>
        <w:spacing w:before="0" w:beforeAutospacing="0" w:after="0" w:afterAutospacing="0"/>
        <w:ind w:firstLine="360"/>
        <w:rPr>
          <w:rFonts w:ascii="Times New Roman" w:hAnsi="Times New Roman" w:cs="Times New Roman"/>
        </w:rPr>
      </w:pPr>
      <w:r>
        <w:rPr>
          <w:rFonts w:ascii="Times New Roman" w:hAnsi="Times New Roman" w:cs="Times New Roman"/>
          <w:sz w:val="18"/>
          <w:szCs w:val="18"/>
        </w:rPr>
        <w:t>公司生猪屠宰线采用国际一流进口设备，全自动生猪屠宰，分割白条肉，以全封闭、无菌式的生产管理，保证出产产品完全符合国际化高标准的卫生要求。屠宰后的生猪迅速进行预冷排酸，使胴体温度降至0-4摄氏度，并在后续加工、物流、销售环节中始终保持这一温度，确保低温环境下的高安全系数，肌肉经过排酸软化质地柔软有弹性，食用更营养更鲜美。</w:t>
      </w:r>
    </w:p>
    <w:p>
      <w:pPr>
        <w:pStyle w:val="8"/>
        <w:spacing w:before="0" w:beforeAutospacing="0" w:after="0" w:afterAutospacing="0"/>
        <w:ind w:firstLine="360"/>
        <w:rPr>
          <w:rFonts w:ascii="Times New Roman" w:hAnsi="Times New Roman" w:cs="Times New Roman"/>
        </w:rPr>
      </w:pPr>
      <w:r>
        <w:rPr>
          <w:rFonts w:ascii="Times New Roman" w:hAnsi="Times New Roman" w:cs="Times New Roman"/>
          <w:sz w:val="18"/>
          <w:szCs w:val="18"/>
        </w:rPr>
        <w:t>3、养殖业务</w:t>
      </w:r>
    </w:p>
    <w:p>
      <w:pPr>
        <w:pStyle w:val="8"/>
        <w:spacing w:before="0" w:beforeAutospacing="0" w:after="0" w:afterAutospacing="0"/>
        <w:ind w:firstLine="360"/>
        <w:rPr>
          <w:rFonts w:ascii="Times New Roman" w:hAnsi="Times New Roman" w:cs="Times New Roman"/>
        </w:rPr>
      </w:pPr>
      <w:r>
        <w:rPr>
          <w:rFonts w:ascii="Times New Roman" w:hAnsi="Times New Roman" w:cs="Times New Roman"/>
          <w:sz w:val="18"/>
          <w:szCs w:val="18"/>
        </w:rPr>
        <w:t>公司养殖业务一方面控制食品加工原材料成本，在屠宰、加工环节中，降低原材料采购成本，提升获利能力。另一方面，养殖业务为大客户提供产品供应和品质保障，公司通过推进均衡生产、配种创新，在强化种猪管理的同时，自建饲料公司，进行自产饲料喂养，同时，动态调整养殖产能，依据大客户需求变化，调配生猪养殖规模。</w:t>
      </w:r>
    </w:p>
    <w:p>
      <w:pPr>
        <w:pStyle w:val="8"/>
        <w:spacing w:before="0" w:beforeAutospacing="0" w:after="0" w:afterAutospacing="0"/>
        <w:ind w:firstLine="360"/>
        <w:rPr>
          <w:rFonts w:ascii="Times New Roman" w:hAnsi="Times New Roman" w:cs="Times New Roman"/>
        </w:rPr>
      </w:pPr>
      <w:r>
        <w:rPr>
          <w:rFonts w:ascii="Times New Roman" w:hAnsi="Times New Roman" w:cs="Times New Roman"/>
          <w:sz w:val="18"/>
          <w:szCs w:val="18"/>
        </w:rPr>
        <w:t>公司养殖业务主要采取“公司+农户”和公司自养两种养殖模式。在“公司+农户”的模式下，公司通过委托代养的方法与农户合作，委托模式采取统一规则、统一猪种、统一饲料、统一保健和统一检测全力保障生猪养殖品质。在公司自养的模式下，公司对养殖场实施完全控制，公司管理涵盖了从种猪到育肥猪的整个养殖过程。</w:t>
      </w: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公司需遵守《深圳证券交易所上市公司自律监管指引第3号——行业信息披露》中的“食品及酒制造相关业务”的披露要求</w:t>
      </w:r>
    </w:p>
    <w:p>
      <w:pPr>
        <w:rPr>
          <w:rFonts w:ascii="Times New Roman" w:hAnsi="Times New Roman" w:cs="Times New Roman"/>
        </w:rPr>
      </w:pP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品牌运营情况</w:t>
      </w:r>
    </w:p>
    <w:p>
      <w:pPr>
        <w:pStyle w:val="8"/>
        <w:spacing w:before="0" w:beforeAutospacing="0" w:after="0" w:afterAutospacing="0"/>
        <w:ind w:firstLine="360"/>
        <w:rPr>
          <w:rFonts w:ascii="Times New Roman" w:hAnsi="Times New Roman" w:eastAsia="等线" w:cs="Times New Roman"/>
          <w:sz w:val="21"/>
          <w:szCs w:val="21"/>
        </w:rPr>
      </w:pPr>
      <w:r>
        <w:rPr>
          <w:rFonts w:ascii="Times New Roman" w:hAnsi="Times New Roman" w:cs="Times New Roman"/>
          <w:sz w:val="18"/>
          <w:szCs w:val="18"/>
        </w:rPr>
        <w:t>公司坚持“一体两翼”发展战略，高度重视品牌建设和发展，致力于打造“中华预制菜肴最佳供应商”，为中国人健康饮食提供高品质系统解决方案。报告期内，公司持续强化品牌营销能力，紧跟国际国内产业发展趋势，建立稳定、广泛的客户群体，获得消费者的青睐和认可，具有良好的市场品牌效应。公司践行品牌策略，通过生产、研发、市场等多维度共同打造统一的食品品牌企业形象，最终实现企业品牌与产品品牌的相互助力。</w:t>
      </w:r>
    </w:p>
    <w:p>
      <w:pPr>
        <w:pStyle w:val="8"/>
        <w:spacing w:before="0" w:beforeAutospacing="0" w:after="0" w:afterAutospacing="0"/>
        <w:ind w:firstLine="360"/>
        <w:rPr>
          <w:rFonts w:ascii="Times New Roman" w:hAnsi="Times New Roman" w:eastAsia="等线" w:cs="Times New Roman"/>
          <w:sz w:val="21"/>
          <w:szCs w:val="21"/>
        </w:rPr>
      </w:pPr>
      <w:r>
        <w:rPr>
          <w:rFonts w:ascii="Times New Roman" w:hAnsi="Times New Roman" w:eastAsia="等线" w:cs="Times New Roman"/>
          <w:sz w:val="21"/>
          <w:szCs w:val="21"/>
        </w:rPr>
        <w:t> </w:t>
      </w: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主要销售模式</w:t>
      </w:r>
    </w:p>
    <w:p>
      <w:pPr>
        <w:pStyle w:val="8"/>
        <w:spacing w:before="0" w:beforeAutospacing="0" w:after="0" w:afterAutospacing="0"/>
        <w:ind w:firstLine="360" w:firstLineChars="200"/>
        <w:rPr>
          <w:rFonts w:ascii="Times New Roman" w:hAnsi="Times New Roman" w:cs="Times New Roman"/>
        </w:rPr>
      </w:pPr>
      <w:r>
        <w:rPr>
          <w:rFonts w:ascii="Times New Roman" w:hAnsi="Times New Roman" w:cs="Times New Roman"/>
          <w:sz w:val="18"/>
          <w:szCs w:val="18"/>
        </w:rPr>
        <w:t>公司销售模式以经销渠道为主。经销渠道占比76.90%，主要包括生鲜市场、冻品市场、农贸市场、中小型餐饮连锁和BC商超等。直营渠道占比23.10%，主要包括大型餐饮、食品加工企业、全国知名连锁商超、自营专卖店、线上新零售和特通渠道等。</w:t>
      </w: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经销模式</w:t>
      </w: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适用 □不适用</w:t>
      </w:r>
    </w:p>
    <w:p>
      <w:pPr>
        <w:pStyle w:val="8"/>
        <w:spacing w:before="0" w:beforeAutospacing="0" w:after="0" w:afterAutospacing="0"/>
        <w:rPr>
          <w:rFonts w:ascii="Times New Roman" w:hAnsi="Times New Roman" w:cs="Times New Roman"/>
        </w:rPr>
      </w:pPr>
      <w:r>
        <w:rPr>
          <w:rFonts w:ascii="Times New Roman" w:hAnsi="Times New Roman" w:cs="Times New Roman"/>
          <w:sz w:val="18"/>
          <w:szCs w:val="18"/>
        </w:rPr>
        <w:t>         在公司全国化布局下，建立了以经销商为主的全国性销售网络，报告期内对前五大经销客户的销售收入约41,424.42万元，占公司营业收入的6.16%，截至本报告期末，公司前五大经销商客户应收账款合计为 3,722.70万元。按产品分类的营业收入、营业成本、毛利率及同比变动情况见“管理层讨论与分析”中“主营业务分析”。</w:t>
      </w: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门店销售终端占比超过10%</w:t>
      </w: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 xml:space="preserve">□适用 </w:t>
      </w: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不适用</w:t>
      </w:r>
    </w:p>
    <w:p>
      <w:pPr>
        <w:spacing w:before="100" w:after="100" w:line="240" w:lineRule="exact"/>
        <w:rPr>
          <w:rFonts w:ascii="Times New Roman" w:hAnsi="Times New Roman" w:eastAsia="宋体" w:cs="Times New Roman"/>
          <w:sz w:val="18"/>
          <w:szCs w:val="18"/>
        </w:rPr>
      </w:pP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线上直销销售</w:t>
      </w: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适用 □不适用</w:t>
      </w:r>
    </w:p>
    <w:p>
      <w:pPr>
        <w:pStyle w:val="8"/>
        <w:spacing w:before="0" w:beforeAutospacing="0" w:after="0" w:afterAutospacing="0"/>
        <w:ind w:firstLine="360" w:firstLineChars="200"/>
        <w:rPr>
          <w:rFonts w:ascii="Times New Roman" w:hAnsi="Times New Roman" w:cs="Times New Roman"/>
        </w:rPr>
      </w:pPr>
      <w:r>
        <w:rPr>
          <w:rFonts w:ascii="Times New Roman" w:hAnsi="Times New Roman" w:cs="Times New Roman"/>
          <w:sz w:val="18"/>
          <w:szCs w:val="18"/>
        </w:rPr>
        <w:t>公司线上销售主要依托京东、抖音、快手、多多买菜、美团快驴、美菜、天猫等10余个线上平台进行销售，主要涵盖公司预制食材、预制半成品、预制成品等预制菜系列产品和低温火腿、老式火腿、烤肠等熟食类制品以及鲜冻肉系列产品。包括小酥肉、红烧肥肠、飘香掌中宝、蒜香排骨、爆汁芝士肠、黑猪肋排、五花肉、猪大肠、猪肚、猪蹄等。</w:t>
      </w: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占当期营业收入总额10%以上的主要产品销售价格较上一报告期的变动幅度超过30%</w:t>
      </w: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 xml:space="preserve">□适用 </w:t>
      </w: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不适用</w:t>
      </w: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采购模式及采购内容</w:t>
      </w:r>
    </w:p>
    <w:p>
      <w:pPr>
        <w:spacing w:before="120" w:after="12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采购模式</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采购内容</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主要采购内容的金额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合同+按需采购</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原材料</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5,831,605,963.08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合同+按需采购</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燃料和动力</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59,360,786.79</w:t>
            </w:r>
          </w:p>
        </w:tc>
      </w:tr>
    </w:tbl>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向合作社或农户采购原材料占采购总金额比例超过30%</w:t>
      </w: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 xml:space="preserve">□适用 </w:t>
      </w: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不适用</w:t>
      </w: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主要外购原材料价格同比变动超过30%</w:t>
      </w:r>
    </w:p>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 xml:space="preserve">□适用 </w:t>
      </w: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不适用</w:t>
      </w: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主要生产模式</w:t>
      </w:r>
    </w:p>
    <w:p>
      <w:pPr>
        <w:pStyle w:val="8"/>
        <w:spacing w:before="0" w:beforeAutospacing="0" w:after="0" w:afterAutospacing="0"/>
        <w:ind w:firstLine="357"/>
        <w:rPr>
          <w:rFonts w:ascii="Times New Roman" w:hAnsi="Times New Roman" w:cs="Times New Roman"/>
        </w:rPr>
      </w:pPr>
      <w:r>
        <w:rPr>
          <w:rFonts w:ascii="Times New Roman" w:hAnsi="Times New Roman" w:cs="Times New Roman"/>
          <w:sz w:val="18"/>
          <w:szCs w:val="18"/>
        </w:rPr>
        <w:t>公司实行“以销定产”经营模式，主要涉及预制菜、肉制品和鲜冻肉生产等板块，并根据市场订单、产品库存及市场预测情况等合理制定生产计划。公司主要产品以自产为主，由公司采购原辅料、包材等，在自有厂区生产加工。在实际生产过程中，基于对市场的把控和客户的实际需求进行订单预测，由销售部门提报产品需求，通过系统计算用料需求，导出理论采购量，同时分析原辅料库存、各车间领用及请购情况，下达原辅物料采购计划给采购部，下达生产计划给生产部。</w:t>
      </w: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委托加工生产</w:t>
      </w: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 xml:space="preserve">□适用 </w:t>
      </w: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不适用</w:t>
      </w: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营业成本的主要构成项目</w:t>
      </w:r>
    </w:p>
    <w:p>
      <w:pPr>
        <w:pStyle w:val="8"/>
        <w:rPr>
          <w:rFonts w:ascii="Times New Roman" w:hAnsi="Times New Roman" w:cs="Times New Roman"/>
          <w:sz w:val="18"/>
          <w:szCs w:val="18"/>
        </w:rPr>
      </w:pPr>
      <w:r>
        <w:rPr>
          <w:rFonts w:ascii="Times New Roman" w:hAnsi="Times New Roman" w:cs="Times New Roman"/>
          <w:color w:val="000000"/>
          <w:sz w:val="18"/>
          <w:szCs w:val="18"/>
        </w:rPr>
        <w:t>参见本节“三、主营业务分析”。</w:t>
      </w: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产量与库存量</w:t>
      </w:r>
    </w:p>
    <w:tbl>
      <w:tblPr>
        <w:tblStyle w:val="9"/>
        <w:tblW w:w="9240" w:type="dxa"/>
        <w:tblInd w:w="0" w:type="dxa"/>
        <w:tblLayout w:type="autofit"/>
        <w:tblCellMar>
          <w:top w:w="0" w:type="dxa"/>
          <w:left w:w="0" w:type="dxa"/>
          <w:bottom w:w="0" w:type="dxa"/>
          <w:right w:w="0" w:type="dxa"/>
        </w:tblCellMar>
      </w:tblPr>
      <w:tblGrid>
        <w:gridCol w:w="2142"/>
        <w:gridCol w:w="1275"/>
        <w:gridCol w:w="851"/>
        <w:gridCol w:w="2060"/>
        <w:gridCol w:w="1736"/>
        <w:gridCol w:w="1176"/>
      </w:tblGrid>
      <w:tr>
        <w:tblPrEx>
          <w:tblCellMar>
            <w:top w:w="0" w:type="dxa"/>
            <w:left w:w="0" w:type="dxa"/>
            <w:bottom w:w="0" w:type="dxa"/>
            <w:right w:w="0" w:type="dxa"/>
          </w:tblCellMar>
        </w:tblPrEx>
        <w:trPr>
          <w:trHeight w:val="159" w:hRule="atLeast"/>
        </w:trPr>
        <w:tc>
          <w:tcPr>
            <w:tcW w:w="214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rPr>
                <w:rFonts w:ascii="Times New Roman" w:hAnsi="Times New Roman" w:eastAsia="宋体" w:cs="Times New Roman"/>
                <w:kern w:val="0"/>
                <w:sz w:val="18"/>
                <w:szCs w:val="18"/>
                <w14:ligatures w14:val="none"/>
              </w:rPr>
            </w:pPr>
            <w:r>
              <w:rPr>
                <w:rFonts w:ascii="Times New Roman" w:hAnsi="Times New Roman" w:eastAsia="宋体" w:cs="Times New Roman"/>
                <w:kern w:val="0"/>
                <w:sz w:val="18"/>
                <w:szCs w:val="18"/>
                <w14:ligatures w14:val="none"/>
              </w:rPr>
              <w:t>行业分类</w:t>
            </w:r>
          </w:p>
        </w:tc>
        <w:tc>
          <w:tcPr>
            <w:tcW w:w="127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Times New Roman" w:hAnsi="Times New Roman" w:eastAsia="宋体" w:cs="Times New Roman"/>
                <w:kern w:val="0"/>
                <w:sz w:val="18"/>
                <w:szCs w:val="18"/>
                <w14:ligatures w14:val="none"/>
              </w:rPr>
            </w:pPr>
            <w:r>
              <w:rPr>
                <w:rFonts w:ascii="Times New Roman" w:hAnsi="Times New Roman" w:eastAsia="宋体" w:cs="Times New Roman"/>
                <w:kern w:val="0"/>
                <w:sz w:val="18"/>
                <w:szCs w:val="18"/>
                <w14:ligatures w14:val="none"/>
              </w:rPr>
              <w:t>项目</w:t>
            </w: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Times New Roman" w:hAnsi="Times New Roman" w:eastAsia="宋体" w:cs="Times New Roman"/>
                <w:kern w:val="0"/>
                <w:sz w:val="18"/>
                <w:szCs w:val="18"/>
                <w14:ligatures w14:val="none"/>
              </w:rPr>
            </w:pPr>
            <w:r>
              <w:rPr>
                <w:rFonts w:ascii="Times New Roman" w:hAnsi="Times New Roman" w:eastAsia="宋体" w:cs="Times New Roman"/>
                <w:kern w:val="0"/>
                <w:sz w:val="18"/>
                <w:szCs w:val="18"/>
                <w14:ligatures w14:val="none"/>
              </w:rPr>
              <w:t> 单位 </w:t>
            </w:r>
          </w:p>
        </w:tc>
        <w:tc>
          <w:tcPr>
            <w:tcW w:w="206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Times New Roman" w:hAnsi="Times New Roman" w:eastAsia="宋体" w:cs="Times New Roman"/>
                <w:kern w:val="0"/>
                <w:sz w:val="18"/>
                <w:szCs w:val="18"/>
                <w14:ligatures w14:val="none"/>
              </w:rPr>
            </w:pPr>
            <w:r>
              <w:rPr>
                <w:rFonts w:ascii="Times New Roman" w:hAnsi="Times New Roman" w:eastAsia="宋体" w:cs="Times New Roman"/>
                <w:kern w:val="0"/>
                <w:sz w:val="18"/>
                <w:szCs w:val="18"/>
                <w14:ligatures w14:val="none"/>
              </w:rPr>
              <w:t> 2023年半年度</w:t>
            </w:r>
          </w:p>
        </w:tc>
        <w:tc>
          <w:tcPr>
            <w:tcW w:w="173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Times New Roman" w:hAnsi="Times New Roman" w:eastAsia="宋体" w:cs="Times New Roman"/>
                <w:kern w:val="0"/>
                <w:sz w:val="18"/>
                <w:szCs w:val="18"/>
                <w14:ligatures w14:val="none"/>
              </w:rPr>
            </w:pPr>
            <w:r>
              <w:rPr>
                <w:rFonts w:ascii="Times New Roman" w:hAnsi="Times New Roman" w:eastAsia="宋体" w:cs="Times New Roman"/>
                <w:kern w:val="0"/>
                <w:sz w:val="18"/>
                <w:szCs w:val="18"/>
                <w14:ligatures w14:val="none"/>
              </w:rPr>
              <w:t> 2022年半年度</w:t>
            </w:r>
          </w:p>
        </w:tc>
        <w:tc>
          <w:tcPr>
            <w:tcW w:w="11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Times New Roman" w:hAnsi="Times New Roman" w:eastAsia="宋体" w:cs="Times New Roman"/>
                <w:kern w:val="0"/>
                <w:sz w:val="18"/>
                <w:szCs w:val="18"/>
                <w14:ligatures w14:val="none"/>
              </w:rPr>
            </w:pPr>
            <w:r>
              <w:rPr>
                <w:rFonts w:ascii="Times New Roman" w:hAnsi="Times New Roman" w:eastAsia="宋体" w:cs="Times New Roman"/>
                <w:kern w:val="0"/>
                <w:sz w:val="18"/>
                <w:szCs w:val="18"/>
                <w14:ligatures w14:val="none"/>
              </w:rPr>
              <w:t>同比增减</w:t>
            </w:r>
          </w:p>
        </w:tc>
      </w:tr>
      <w:tr>
        <w:tblPrEx>
          <w:tblCellMar>
            <w:top w:w="0" w:type="dxa"/>
            <w:left w:w="0" w:type="dxa"/>
            <w:bottom w:w="0" w:type="dxa"/>
            <w:right w:w="0" w:type="dxa"/>
          </w:tblCellMar>
        </w:tblPrEx>
        <w:trPr>
          <w:trHeight w:val="278" w:hRule="atLeast"/>
        </w:trPr>
        <w:tc>
          <w:tcPr>
            <w:tcW w:w="2142"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Times New Roman" w:hAnsi="Times New Roman" w:eastAsia="宋体" w:cs="Times New Roman"/>
                <w:kern w:val="0"/>
                <w:sz w:val="18"/>
                <w:szCs w:val="18"/>
                <w14:ligatures w14:val="none"/>
              </w:rPr>
            </w:pPr>
            <w:r>
              <w:rPr>
                <w:rFonts w:ascii="Times New Roman" w:hAnsi="Times New Roman" w:eastAsia="宋体" w:cs="Times New Roman"/>
                <w:kern w:val="0"/>
                <w:sz w:val="18"/>
                <w:szCs w:val="18"/>
                <w14:ligatures w14:val="none"/>
              </w:rPr>
              <w:t>生猪屠宰及肉类加工</w:t>
            </w:r>
          </w:p>
        </w:tc>
        <w:tc>
          <w:tcPr>
            <w:tcW w:w="127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Times New Roman" w:hAnsi="Times New Roman" w:eastAsia="宋体" w:cs="Times New Roman"/>
                <w:kern w:val="0"/>
                <w:sz w:val="18"/>
                <w:szCs w:val="18"/>
                <w14:ligatures w14:val="none"/>
              </w:rPr>
            </w:pPr>
            <w:r>
              <w:rPr>
                <w:rFonts w:ascii="Times New Roman" w:hAnsi="Times New Roman" w:eastAsia="宋体" w:cs="Times New Roman"/>
                <w:kern w:val="0"/>
                <w:sz w:val="18"/>
                <w:szCs w:val="18"/>
                <w14:ligatures w14:val="none"/>
              </w:rPr>
              <w:t>销售量</w:t>
            </w: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Times New Roman" w:hAnsi="Times New Roman" w:eastAsia="宋体" w:cs="Times New Roman"/>
                <w:kern w:val="0"/>
                <w:sz w:val="18"/>
                <w:szCs w:val="18"/>
                <w14:ligatures w14:val="none"/>
              </w:rPr>
            </w:pPr>
            <w:r>
              <w:rPr>
                <w:rFonts w:ascii="Times New Roman" w:hAnsi="Times New Roman" w:eastAsia="宋体" w:cs="Times New Roman"/>
                <w:kern w:val="0"/>
                <w:sz w:val="18"/>
                <w:szCs w:val="18"/>
                <w14:ligatures w14:val="none"/>
              </w:rPr>
              <w:t> 吨 </w:t>
            </w:r>
          </w:p>
        </w:tc>
        <w:tc>
          <w:tcPr>
            <w:tcW w:w="206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right"/>
              <w:rPr>
                <w:rFonts w:ascii="Times New Roman" w:hAnsi="Times New Roman" w:eastAsia="宋体" w:cs="Times New Roman"/>
                <w:kern w:val="0"/>
                <w:sz w:val="18"/>
                <w:szCs w:val="18"/>
                <w14:ligatures w14:val="none"/>
              </w:rPr>
            </w:pPr>
            <w:r>
              <w:rPr>
                <w:rFonts w:ascii="Times New Roman" w:hAnsi="Times New Roman" w:eastAsia="宋体" w:cs="Times New Roman"/>
                <w:kern w:val="0"/>
                <w:sz w:val="18"/>
                <w:szCs w:val="18"/>
                <w14:ligatures w14:val="none"/>
              </w:rPr>
              <w:t>346,135.59</w:t>
            </w:r>
          </w:p>
        </w:tc>
        <w:tc>
          <w:tcPr>
            <w:tcW w:w="173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right"/>
              <w:rPr>
                <w:rFonts w:ascii="Times New Roman" w:hAnsi="Times New Roman" w:eastAsia="宋体" w:cs="Times New Roman"/>
                <w:kern w:val="0"/>
                <w:sz w:val="18"/>
                <w:szCs w:val="18"/>
                <w14:ligatures w14:val="none"/>
              </w:rPr>
            </w:pPr>
            <w:r>
              <w:rPr>
                <w:rFonts w:ascii="Times New Roman" w:hAnsi="Times New Roman" w:eastAsia="宋体" w:cs="Times New Roman"/>
                <w:kern w:val="0"/>
                <w:sz w:val="18"/>
                <w:szCs w:val="18"/>
                <w14:ligatures w14:val="none"/>
              </w:rPr>
              <w:t>360,843.10</w:t>
            </w:r>
          </w:p>
        </w:tc>
        <w:tc>
          <w:tcPr>
            <w:tcW w:w="11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right"/>
              <w:rPr>
                <w:rFonts w:ascii="Times New Roman" w:hAnsi="Times New Roman" w:eastAsia="宋体" w:cs="Times New Roman"/>
                <w:kern w:val="0"/>
                <w:sz w:val="18"/>
                <w:szCs w:val="18"/>
                <w14:ligatures w14:val="none"/>
              </w:rPr>
            </w:pPr>
            <w:r>
              <w:rPr>
                <w:rFonts w:ascii="Times New Roman" w:hAnsi="Times New Roman" w:eastAsia="宋体" w:cs="Times New Roman"/>
                <w:kern w:val="0"/>
                <w:sz w:val="18"/>
                <w:szCs w:val="18"/>
                <w14:ligatures w14:val="none"/>
              </w:rPr>
              <w:t>-4.08%</w:t>
            </w:r>
          </w:p>
        </w:tc>
      </w:tr>
      <w:tr>
        <w:tblPrEx>
          <w:tblCellMar>
            <w:top w:w="0" w:type="dxa"/>
            <w:left w:w="0" w:type="dxa"/>
            <w:bottom w:w="0" w:type="dxa"/>
            <w:right w:w="0" w:type="dxa"/>
          </w:tblCellMar>
        </w:tblPrEx>
        <w:trPr>
          <w:trHeight w:val="278" w:hRule="atLeast"/>
        </w:trPr>
        <w:tc>
          <w:tcPr>
            <w:tcW w:w="2142" w:type="dxa"/>
            <w:vMerge w:val="continue"/>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kern w:val="0"/>
                <w:sz w:val="18"/>
                <w:szCs w:val="18"/>
                <w14:ligatures w14:val="none"/>
              </w:rPr>
            </w:pPr>
          </w:p>
        </w:tc>
        <w:tc>
          <w:tcPr>
            <w:tcW w:w="127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Times New Roman" w:hAnsi="Times New Roman" w:eastAsia="宋体" w:cs="Times New Roman"/>
                <w:kern w:val="0"/>
                <w:sz w:val="18"/>
                <w:szCs w:val="18"/>
                <w14:ligatures w14:val="none"/>
              </w:rPr>
            </w:pPr>
            <w:r>
              <w:rPr>
                <w:rFonts w:ascii="Times New Roman" w:hAnsi="Times New Roman" w:eastAsia="宋体" w:cs="Times New Roman"/>
                <w:kern w:val="0"/>
                <w:sz w:val="18"/>
                <w:szCs w:val="18"/>
                <w14:ligatures w14:val="none"/>
              </w:rPr>
              <w:t>生产量</w:t>
            </w: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Times New Roman" w:hAnsi="Times New Roman" w:eastAsia="宋体" w:cs="Times New Roman"/>
                <w:kern w:val="0"/>
                <w:sz w:val="18"/>
                <w:szCs w:val="18"/>
                <w14:ligatures w14:val="none"/>
              </w:rPr>
            </w:pPr>
            <w:r>
              <w:rPr>
                <w:rFonts w:ascii="Times New Roman" w:hAnsi="Times New Roman" w:eastAsia="宋体" w:cs="Times New Roman"/>
                <w:kern w:val="0"/>
                <w:sz w:val="18"/>
                <w:szCs w:val="18"/>
                <w14:ligatures w14:val="none"/>
              </w:rPr>
              <w:t> 吨 </w:t>
            </w:r>
          </w:p>
        </w:tc>
        <w:tc>
          <w:tcPr>
            <w:tcW w:w="206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right"/>
              <w:rPr>
                <w:rFonts w:ascii="Times New Roman" w:hAnsi="Times New Roman" w:eastAsia="宋体" w:cs="Times New Roman"/>
                <w:kern w:val="0"/>
                <w:sz w:val="18"/>
                <w:szCs w:val="18"/>
                <w14:ligatures w14:val="none"/>
              </w:rPr>
            </w:pPr>
            <w:r>
              <w:rPr>
                <w:rFonts w:ascii="Times New Roman" w:hAnsi="Times New Roman" w:eastAsia="宋体" w:cs="Times New Roman"/>
                <w:kern w:val="0"/>
                <w:sz w:val="18"/>
                <w:szCs w:val="18"/>
                <w14:ligatures w14:val="none"/>
              </w:rPr>
              <w:t>379,316.20</w:t>
            </w:r>
          </w:p>
        </w:tc>
        <w:tc>
          <w:tcPr>
            <w:tcW w:w="173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right"/>
              <w:rPr>
                <w:rFonts w:ascii="Times New Roman" w:hAnsi="Times New Roman" w:eastAsia="宋体" w:cs="Times New Roman"/>
                <w:kern w:val="0"/>
                <w:sz w:val="18"/>
                <w:szCs w:val="18"/>
                <w14:ligatures w14:val="none"/>
              </w:rPr>
            </w:pPr>
            <w:r>
              <w:rPr>
                <w:rFonts w:ascii="Times New Roman" w:hAnsi="Times New Roman" w:eastAsia="宋体" w:cs="Times New Roman"/>
                <w:kern w:val="0"/>
                <w:sz w:val="18"/>
                <w:szCs w:val="18"/>
                <w14:ligatures w14:val="none"/>
              </w:rPr>
              <w:t>372,500.23</w:t>
            </w:r>
          </w:p>
        </w:tc>
        <w:tc>
          <w:tcPr>
            <w:tcW w:w="11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right"/>
              <w:rPr>
                <w:rFonts w:ascii="Times New Roman" w:hAnsi="Times New Roman" w:eastAsia="宋体" w:cs="Times New Roman"/>
                <w:kern w:val="0"/>
                <w:sz w:val="18"/>
                <w:szCs w:val="18"/>
                <w14:ligatures w14:val="none"/>
              </w:rPr>
            </w:pPr>
            <w:r>
              <w:rPr>
                <w:rFonts w:ascii="Times New Roman" w:hAnsi="Times New Roman" w:eastAsia="宋体" w:cs="Times New Roman"/>
                <w:kern w:val="0"/>
                <w:sz w:val="18"/>
                <w:szCs w:val="18"/>
                <w14:ligatures w14:val="none"/>
              </w:rPr>
              <w:t>1.83%</w:t>
            </w:r>
          </w:p>
        </w:tc>
      </w:tr>
      <w:tr>
        <w:tblPrEx>
          <w:tblCellMar>
            <w:top w:w="0" w:type="dxa"/>
            <w:left w:w="0" w:type="dxa"/>
            <w:bottom w:w="0" w:type="dxa"/>
            <w:right w:w="0" w:type="dxa"/>
          </w:tblCellMar>
        </w:tblPrEx>
        <w:trPr>
          <w:trHeight w:val="278" w:hRule="atLeast"/>
        </w:trPr>
        <w:tc>
          <w:tcPr>
            <w:tcW w:w="2142" w:type="dxa"/>
            <w:vMerge w:val="continue"/>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宋体" w:cs="Times New Roman"/>
                <w:kern w:val="0"/>
                <w:sz w:val="18"/>
                <w:szCs w:val="18"/>
                <w14:ligatures w14:val="none"/>
              </w:rPr>
            </w:pPr>
          </w:p>
        </w:tc>
        <w:tc>
          <w:tcPr>
            <w:tcW w:w="127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Times New Roman" w:hAnsi="Times New Roman" w:eastAsia="宋体" w:cs="Times New Roman"/>
                <w:kern w:val="0"/>
                <w:sz w:val="18"/>
                <w:szCs w:val="18"/>
                <w14:ligatures w14:val="none"/>
              </w:rPr>
            </w:pPr>
            <w:r>
              <w:rPr>
                <w:rFonts w:ascii="Times New Roman" w:hAnsi="Times New Roman" w:eastAsia="宋体" w:cs="Times New Roman"/>
                <w:kern w:val="0"/>
                <w:sz w:val="18"/>
                <w:szCs w:val="18"/>
                <w14:ligatures w14:val="none"/>
              </w:rPr>
              <w:t>库存量</w:t>
            </w:r>
          </w:p>
        </w:tc>
        <w:tc>
          <w:tcPr>
            <w:tcW w:w="85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Times New Roman" w:hAnsi="Times New Roman" w:eastAsia="宋体" w:cs="Times New Roman"/>
                <w:kern w:val="0"/>
                <w:sz w:val="18"/>
                <w:szCs w:val="18"/>
                <w14:ligatures w14:val="none"/>
              </w:rPr>
            </w:pPr>
            <w:r>
              <w:rPr>
                <w:rFonts w:ascii="Times New Roman" w:hAnsi="Times New Roman" w:eastAsia="宋体" w:cs="Times New Roman"/>
                <w:kern w:val="0"/>
                <w:sz w:val="18"/>
                <w:szCs w:val="18"/>
                <w14:ligatures w14:val="none"/>
              </w:rPr>
              <w:t> 吨 </w:t>
            </w:r>
          </w:p>
        </w:tc>
        <w:tc>
          <w:tcPr>
            <w:tcW w:w="206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right"/>
              <w:rPr>
                <w:rFonts w:ascii="Times New Roman" w:hAnsi="Times New Roman" w:eastAsia="宋体" w:cs="Times New Roman"/>
                <w:kern w:val="0"/>
                <w:sz w:val="18"/>
                <w:szCs w:val="18"/>
                <w14:ligatures w14:val="none"/>
              </w:rPr>
            </w:pPr>
            <w:r>
              <w:rPr>
                <w:rFonts w:ascii="Times New Roman" w:hAnsi="Times New Roman" w:eastAsia="宋体" w:cs="Times New Roman"/>
                <w:kern w:val="0"/>
                <w:sz w:val="18"/>
                <w:szCs w:val="18"/>
                <w14:ligatures w14:val="none"/>
              </w:rPr>
              <w:t>53,990.48</w:t>
            </w:r>
          </w:p>
        </w:tc>
        <w:tc>
          <w:tcPr>
            <w:tcW w:w="173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right"/>
              <w:rPr>
                <w:rFonts w:ascii="Times New Roman" w:hAnsi="Times New Roman" w:eastAsia="宋体" w:cs="Times New Roman"/>
                <w:kern w:val="0"/>
                <w:sz w:val="18"/>
                <w:szCs w:val="18"/>
                <w14:ligatures w14:val="none"/>
              </w:rPr>
            </w:pPr>
            <w:r>
              <w:rPr>
                <w:rFonts w:ascii="Times New Roman" w:hAnsi="Times New Roman" w:eastAsia="宋体" w:cs="Times New Roman"/>
                <w:kern w:val="0"/>
                <w:sz w:val="18"/>
                <w:szCs w:val="18"/>
                <w14:ligatures w14:val="none"/>
              </w:rPr>
              <w:t>36,531.98</w:t>
            </w:r>
          </w:p>
        </w:tc>
        <w:tc>
          <w:tcPr>
            <w:tcW w:w="11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right"/>
              <w:rPr>
                <w:rFonts w:ascii="Times New Roman" w:hAnsi="Times New Roman" w:eastAsia="宋体" w:cs="Times New Roman"/>
                <w:kern w:val="0"/>
                <w:sz w:val="18"/>
                <w:szCs w:val="18"/>
                <w14:ligatures w14:val="none"/>
              </w:rPr>
            </w:pPr>
            <w:r>
              <w:rPr>
                <w:rFonts w:ascii="Times New Roman" w:hAnsi="Times New Roman" w:eastAsia="宋体" w:cs="Times New Roman"/>
                <w:kern w:val="0"/>
                <w:sz w:val="18"/>
                <w:szCs w:val="18"/>
                <w14:ligatures w14:val="none"/>
              </w:rPr>
              <w:t>47.79%</w:t>
            </w:r>
          </w:p>
        </w:tc>
      </w:tr>
    </w:tbl>
    <w:p>
      <w:pPr>
        <w:rPr>
          <w:rFonts w:ascii="Times New Roman" w:hAnsi="Times New Roman" w:cs="Times New Roman"/>
        </w:rPr>
      </w:pPr>
    </w:p>
    <w:p>
      <w:pPr>
        <w:pStyle w:val="2"/>
        <w:spacing w:before="300" w:after="300" w:line="320" w:lineRule="exact"/>
        <w:rPr>
          <w:rFonts w:ascii="Times New Roman" w:hAnsi="Times New Roman" w:eastAsia="宋体" w:cs="Times New Roman"/>
          <w:b/>
          <w:bCs/>
          <w:sz w:val="24"/>
          <w:szCs w:val="24"/>
        </w:rPr>
      </w:pPr>
      <w:bookmarkStart w:id="15" w:name="_Toc988904"/>
      <w:r>
        <w:rPr>
          <w:rFonts w:ascii="Times New Roman" w:hAnsi="Times New Roman" w:eastAsia="宋体" w:cs="Times New Roman"/>
          <w:b/>
          <w:bCs/>
          <w:sz w:val="24"/>
          <w:szCs w:val="24"/>
        </w:rPr>
        <w:t>二、核心竞争力分析</w:t>
      </w:r>
      <w:bookmarkEnd w:id="15"/>
    </w:p>
    <w:p>
      <w:pPr>
        <w:pStyle w:val="8"/>
        <w:spacing w:before="0" w:beforeAutospacing="0" w:after="0" w:afterAutospacing="0"/>
        <w:ind w:firstLine="360"/>
        <w:rPr>
          <w:rFonts w:ascii="Times New Roman" w:hAnsi="Times New Roman" w:eastAsia="等线" w:cs="Times New Roman"/>
          <w:sz w:val="21"/>
          <w:szCs w:val="21"/>
        </w:rPr>
      </w:pPr>
      <w:r>
        <w:rPr>
          <w:rFonts w:ascii="Times New Roman" w:hAnsi="Times New Roman" w:cs="Times New Roman"/>
          <w:sz w:val="18"/>
          <w:szCs w:val="18"/>
        </w:rPr>
        <w:t>公司坚持以预制菜为核心的食品主体，以屠宰和养殖为两翼支撑的“一体两翼”总体发展战略。凭借20多年从事食品行业的专业优势积累，形成了差异化的核心竞争力。公司食品业务瞄准万亿预制菜肴市场，养殖和屠宰业务的深厚经验为食品业务发展提供良好的支撑。如今，公司已经拥有全流程的研发生产能力，通过精细化加工工艺，形成众多用于不同渠道、不同市场的产品形态，满足不同客户的需求。</w:t>
      </w:r>
    </w:p>
    <w:p>
      <w:pPr>
        <w:pStyle w:val="8"/>
        <w:spacing w:before="0" w:beforeAutospacing="0" w:after="0" w:afterAutospacing="0"/>
        <w:ind w:firstLine="360"/>
        <w:rPr>
          <w:rFonts w:ascii="Times New Roman" w:hAnsi="Times New Roman" w:eastAsia="等线" w:cs="Times New Roman"/>
          <w:sz w:val="21"/>
          <w:szCs w:val="21"/>
        </w:rPr>
      </w:pPr>
      <w:r>
        <w:rPr>
          <w:rFonts w:ascii="Times New Roman" w:hAnsi="Times New Roman" w:cs="Times New Roman"/>
          <w:sz w:val="18"/>
          <w:szCs w:val="18"/>
        </w:rPr>
        <w:t>1、立足“三位一体”研发格局，提升美食工业转化效率</w:t>
      </w:r>
    </w:p>
    <w:p>
      <w:pPr>
        <w:pStyle w:val="8"/>
        <w:spacing w:before="0" w:beforeAutospacing="0" w:after="0" w:afterAutospacing="0"/>
        <w:ind w:firstLine="360"/>
        <w:rPr>
          <w:rFonts w:ascii="Times New Roman" w:hAnsi="Times New Roman" w:eastAsia="等线" w:cs="Times New Roman"/>
          <w:sz w:val="21"/>
          <w:szCs w:val="21"/>
        </w:rPr>
      </w:pPr>
      <w:r>
        <w:rPr>
          <w:rFonts w:ascii="Times New Roman" w:hAnsi="Times New Roman" w:cs="Times New Roman"/>
          <w:sz w:val="18"/>
          <w:szCs w:val="18"/>
        </w:rPr>
        <w:t>公司立足山东、上海、四川三大国内领先的食品研发中心，形成“三位一体”的研发格局，便于快速掌握当地客户的需求和市场变化趋势，并与当地客户进行近距离沟通和服务，深度把握当地食品口味和客户的喜好程度，持续推进特色食品的主动研发。公司已经与中国农业科学院质量标准与检测技术研究所、西华大学、山东农业大学、山东省农业科学院、济南大学、烟台大学等高校、科研院所开展稳定的产学研合作，实现工业与传统的融合，让中华美食走进千家万户。</w:t>
      </w:r>
    </w:p>
    <w:p>
      <w:pPr>
        <w:pStyle w:val="8"/>
        <w:spacing w:before="0" w:beforeAutospacing="0" w:after="0" w:afterAutospacing="0"/>
        <w:ind w:firstLine="360"/>
        <w:rPr>
          <w:rFonts w:ascii="Times New Roman" w:hAnsi="Times New Roman" w:eastAsia="等线" w:cs="Times New Roman"/>
          <w:sz w:val="21"/>
          <w:szCs w:val="21"/>
        </w:rPr>
      </w:pPr>
      <w:r>
        <w:rPr>
          <w:rFonts w:ascii="Times New Roman" w:hAnsi="Times New Roman" w:cs="Times New Roman"/>
          <w:sz w:val="18"/>
          <w:szCs w:val="18"/>
        </w:rPr>
        <w:t>2、深入拓展全国化布局，打造供应链整合优势</w:t>
      </w:r>
    </w:p>
    <w:p>
      <w:pPr>
        <w:pStyle w:val="8"/>
        <w:spacing w:before="0" w:beforeAutospacing="0" w:after="0" w:afterAutospacing="0"/>
        <w:ind w:firstLine="360"/>
        <w:rPr>
          <w:rFonts w:ascii="Times New Roman" w:hAnsi="Times New Roman" w:eastAsia="等线" w:cs="Times New Roman"/>
          <w:sz w:val="21"/>
          <w:szCs w:val="21"/>
        </w:rPr>
      </w:pPr>
      <w:r>
        <w:rPr>
          <w:rFonts w:ascii="Times New Roman" w:hAnsi="Times New Roman" w:cs="Times New Roman"/>
          <w:sz w:val="18"/>
          <w:szCs w:val="18"/>
        </w:rPr>
        <w:t>经过多年发展和沉淀，公司在食品、屠宰和养殖领域积累了丰富的经营经验，形成集原材料、生产能力、新产品研发、全国化渠道等为一体的供应链整合和成本控制优势。</w:t>
      </w:r>
    </w:p>
    <w:p>
      <w:pPr>
        <w:pStyle w:val="8"/>
        <w:spacing w:before="0" w:beforeAutospacing="0" w:after="0" w:afterAutospacing="0"/>
        <w:ind w:firstLine="360"/>
        <w:rPr>
          <w:rFonts w:ascii="Times New Roman" w:hAnsi="Times New Roman" w:eastAsia="等线" w:cs="Times New Roman"/>
          <w:sz w:val="21"/>
          <w:szCs w:val="21"/>
        </w:rPr>
      </w:pPr>
      <w:r>
        <w:rPr>
          <w:rFonts w:ascii="Times New Roman" w:hAnsi="Times New Roman" w:cs="Times New Roman"/>
          <w:sz w:val="18"/>
          <w:szCs w:val="18"/>
        </w:rPr>
        <w:t>公司养殖、屠宰业务直接提供肉类原料，缩短原料采购的中间环节，同时，依托全球直采模式，实现多种动物蛋白补充，平抑原材料成本。物流配送上，公司依托源头基地和食品加工厂的全国化广泛布局，加快物流运输建设，缩短运输距离，保障运输效率和产品新鲜度，节约运输成本。随着全国化供应链布局的深入，有助于公司全国化、规模化经营，解决了一般预制菜企业的区域化特征。</w:t>
      </w:r>
    </w:p>
    <w:p>
      <w:pPr>
        <w:pStyle w:val="8"/>
        <w:spacing w:before="0" w:beforeAutospacing="0" w:after="0" w:afterAutospacing="0"/>
        <w:ind w:firstLine="360"/>
        <w:rPr>
          <w:rFonts w:ascii="Times New Roman" w:hAnsi="Times New Roman" w:eastAsia="等线" w:cs="Times New Roman"/>
          <w:sz w:val="21"/>
          <w:szCs w:val="21"/>
        </w:rPr>
      </w:pPr>
      <w:r>
        <w:rPr>
          <w:rFonts w:ascii="Times New Roman" w:hAnsi="Times New Roman" w:cs="Times New Roman"/>
          <w:sz w:val="18"/>
          <w:szCs w:val="18"/>
        </w:rPr>
        <w:t>3、持续深化大客户合作，提供多层次客户服务</w:t>
      </w:r>
    </w:p>
    <w:p>
      <w:pPr>
        <w:pStyle w:val="8"/>
        <w:spacing w:before="0" w:beforeAutospacing="0" w:after="0" w:afterAutospacing="0"/>
        <w:ind w:firstLine="360"/>
        <w:rPr>
          <w:rFonts w:ascii="Times New Roman" w:hAnsi="Times New Roman" w:eastAsia="等线" w:cs="Times New Roman"/>
          <w:sz w:val="21"/>
          <w:szCs w:val="21"/>
        </w:rPr>
      </w:pPr>
      <w:r>
        <w:rPr>
          <w:rFonts w:ascii="Times New Roman" w:hAnsi="Times New Roman" w:cs="Times New Roman"/>
          <w:sz w:val="18"/>
          <w:szCs w:val="18"/>
        </w:rPr>
        <w:t>依托二十余年对日出口的品质保障，公司建立了一套完善的客户服务标准规范，对大客户提供产品全生命周期管理服务，通过专人专班，满足客户对新品研发和产品品质的需求。经过多年发</w:t>
      </w:r>
      <w:r>
        <w:rPr>
          <w:rFonts w:ascii="Times New Roman" w:hAnsi="Times New Roman" w:cs="Times New Roman"/>
          <w:color w:val="000000"/>
          <w:sz w:val="18"/>
          <w:szCs w:val="18"/>
        </w:rPr>
        <w:t>展，公司已经与超过1,000家知名企业客户达成合作，为超过200家大型企业客户提供定制化产品服务。在优质的服务和产品供应体系下，公司形成了一批运营能力强，资金实力雄厚，对公司信赖度高的大客户资源。未来，公司将进一步深化大客户合作，提高对客户和市场的快速响应能力。</w:t>
      </w:r>
    </w:p>
    <w:p>
      <w:pPr>
        <w:pStyle w:val="8"/>
        <w:spacing w:before="0" w:beforeAutospacing="0" w:after="0" w:afterAutospacing="0"/>
        <w:ind w:firstLine="360"/>
        <w:rPr>
          <w:rFonts w:ascii="Times New Roman" w:hAnsi="Times New Roman" w:eastAsia="等线" w:cs="Times New Roman"/>
          <w:sz w:val="21"/>
          <w:szCs w:val="21"/>
        </w:rPr>
      </w:pPr>
      <w:r>
        <w:rPr>
          <w:rFonts w:ascii="Times New Roman" w:hAnsi="Times New Roman" w:cs="Times New Roman"/>
          <w:color w:val="000000"/>
          <w:sz w:val="18"/>
          <w:szCs w:val="18"/>
        </w:rPr>
        <w:t>公司为中小客户提供高性价比的标准化产品，通过预制食品、肉制品、精加工等系列产品供应，进一步拓展中小客户规模。目前，公司已经为中小客户提供500余种产品，另有近100 种产品进行储备。</w:t>
      </w:r>
    </w:p>
    <w:p>
      <w:pPr>
        <w:pStyle w:val="8"/>
        <w:spacing w:before="0" w:beforeAutospacing="0" w:after="0" w:afterAutospacing="0"/>
        <w:ind w:firstLine="360"/>
        <w:rPr>
          <w:rFonts w:ascii="Times New Roman" w:hAnsi="Times New Roman" w:eastAsia="等线" w:cs="Times New Roman"/>
          <w:sz w:val="21"/>
          <w:szCs w:val="21"/>
        </w:rPr>
      </w:pPr>
      <w:r>
        <w:rPr>
          <w:rFonts w:ascii="Times New Roman" w:hAnsi="Times New Roman" w:cs="Times New Roman"/>
          <w:sz w:val="18"/>
          <w:szCs w:val="18"/>
        </w:rPr>
        <w:t>4、筑牢食品安全屏障，严把食品安全关</w:t>
      </w:r>
    </w:p>
    <w:p>
      <w:pPr>
        <w:pStyle w:val="8"/>
        <w:spacing w:before="0" w:beforeAutospacing="0" w:after="0" w:afterAutospacing="0"/>
        <w:ind w:firstLine="360"/>
        <w:rPr>
          <w:rFonts w:ascii="Times New Roman" w:hAnsi="Times New Roman" w:eastAsia="等线" w:cs="Times New Roman"/>
          <w:sz w:val="21"/>
          <w:szCs w:val="21"/>
        </w:rPr>
      </w:pPr>
      <w:r>
        <w:rPr>
          <w:rFonts w:ascii="Times New Roman" w:hAnsi="Times New Roman" w:cs="Times New Roman"/>
          <w:sz w:val="18"/>
          <w:szCs w:val="18"/>
        </w:rPr>
        <w:t>公司致力于打造以源头控制、质量体系、产品检测为核心的食品安全保证体系，做到批批都检验，全程可追溯，实现对原料、生产、产品的全过程把控，同时品控部门拥有品质问题的一票否决权，严把出厂关。</w:t>
      </w:r>
    </w:p>
    <w:p>
      <w:pPr>
        <w:pStyle w:val="8"/>
        <w:spacing w:before="0" w:beforeAutospacing="0" w:after="0" w:afterAutospacing="0"/>
        <w:ind w:firstLine="360"/>
        <w:rPr>
          <w:rFonts w:ascii="Times New Roman" w:hAnsi="Times New Roman" w:eastAsia="等线" w:cs="Times New Roman"/>
          <w:sz w:val="21"/>
          <w:szCs w:val="21"/>
        </w:rPr>
      </w:pPr>
      <w:r>
        <w:rPr>
          <w:rFonts w:ascii="Times New Roman" w:hAnsi="Times New Roman" w:cs="Times New Roman"/>
          <w:sz w:val="18"/>
          <w:szCs w:val="18"/>
        </w:rPr>
        <w:t>公司拥有完善的供应链布局，从源头保障肉类产品的品质和安全。此外，全资子公司杰科检测，是专业从事食品安全检测的国家级检测机构，依据国家标准、行业标准、进口国标准，为内贸和外贸企业提供专业化检测服务，全年检测样品达</w:t>
      </w:r>
      <w:r>
        <w:rPr>
          <w:rFonts w:ascii="Times New Roman" w:hAnsi="Times New Roman" w:eastAsia="等线" w:cs="Times New Roman"/>
          <w:sz w:val="18"/>
          <w:szCs w:val="18"/>
        </w:rPr>
        <w:t>3.5</w:t>
      </w:r>
      <w:r>
        <w:rPr>
          <w:rFonts w:ascii="Times New Roman" w:hAnsi="Times New Roman" w:cs="Times New Roman"/>
          <w:sz w:val="18"/>
          <w:szCs w:val="18"/>
        </w:rPr>
        <w:t>万个。</w:t>
      </w:r>
    </w:p>
    <w:p>
      <w:pPr>
        <w:pStyle w:val="8"/>
        <w:spacing w:before="0" w:beforeAutospacing="0" w:after="0" w:afterAutospacing="0"/>
        <w:ind w:firstLine="360"/>
        <w:rPr>
          <w:rFonts w:ascii="Times New Roman" w:hAnsi="Times New Roman" w:eastAsia="等线" w:cs="Times New Roman"/>
          <w:sz w:val="21"/>
          <w:szCs w:val="21"/>
        </w:rPr>
      </w:pPr>
      <w:r>
        <w:rPr>
          <w:rFonts w:ascii="Times New Roman" w:hAnsi="Times New Roman" w:cs="Times New Roman"/>
          <w:sz w:val="18"/>
          <w:szCs w:val="18"/>
        </w:rPr>
        <w:t>目前，杰科检测已累计投资4000万元配备大中型设备共计100余台(套)，包括美国Waters公司三重四级杆液质联用仪，美国Agilent公司三重四级杆气质联用仪，德国QIAGEN公司实时荧光PCR仪等世界先进的仪器设备，可开展农药残留、兽药残留、食品添加剂及非法添加物、理化及营养成分、微生物、转基因及过敏性物质等10类1117项检测。</w:t>
      </w:r>
    </w:p>
    <w:p>
      <w:pPr>
        <w:pStyle w:val="8"/>
        <w:spacing w:before="0" w:beforeAutospacing="0" w:after="0" w:afterAutospacing="0"/>
        <w:ind w:firstLine="360"/>
        <w:rPr>
          <w:rFonts w:ascii="Times New Roman" w:hAnsi="Times New Roman" w:eastAsia="等线" w:cs="Times New Roman"/>
          <w:sz w:val="21"/>
          <w:szCs w:val="21"/>
        </w:rPr>
      </w:pPr>
      <w:r>
        <w:rPr>
          <w:rFonts w:ascii="Times New Roman" w:hAnsi="Times New Roman" w:cs="Times New Roman"/>
          <w:sz w:val="18"/>
          <w:szCs w:val="18"/>
        </w:rPr>
        <w:t>5、擦亮食品品牌建设，提升公共品牌影响力</w:t>
      </w:r>
    </w:p>
    <w:p>
      <w:pPr>
        <w:pStyle w:val="8"/>
        <w:spacing w:before="0" w:beforeAutospacing="0" w:after="0" w:afterAutospacing="0"/>
        <w:ind w:firstLine="360"/>
        <w:rPr>
          <w:rFonts w:ascii="Times New Roman" w:hAnsi="Times New Roman" w:eastAsia="等线" w:cs="Times New Roman"/>
          <w:sz w:val="21"/>
          <w:szCs w:val="21"/>
        </w:rPr>
      </w:pPr>
      <w:r>
        <w:rPr>
          <w:rFonts w:ascii="Times New Roman" w:hAnsi="Times New Roman" w:cs="Times New Roman"/>
          <w:sz w:val="18"/>
          <w:szCs w:val="18"/>
        </w:rPr>
        <w:t>公司高度重视品牌建设和发展，致力于成为国内领先的食品企业。在此基础上，公司持续强化品牌营销能力，紧跟国际国内产业发展趋势，以预制菜产业为纽带，积极推动地方一二三产融合发展；参与成立预制菜产业联盟，加入山东预制菜产业联合会及烟台市预制菜产业协会，推动预制菜产业共创共赢；参与中国国际食品博览会、中国食材电商节等行业展会，增加品牌曝光度，加强与客户的洽谈合作。</w:t>
      </w:r>
    </w:p>
    <w:p>
      <w:pPr>
        <w:pStyle w:val="8"/>
        <w:spacing w:before="0" w:beforeAutospacing="0" w:after="0" w:afterAutospacing="0"/>
        <w:ind w:firstLine="360"/>
        <w:rPr>
          <w:rFonts w:ascii="Times New Roman" w:hAnsi="Times New Roman" w:eastAsia="等线" w:cs="Times New Roman"/>
          <w:sz w:val="21"/>
          <w:szCs w:val="21"/>
        </w:rPr>
      </w:pPr>
      <w:r>
        <w:rPr>
          <w:rFonts w:ascii="Times New Roman" w:hAnsi="Times New Roman" w:cs="Times New Roman"/>
          <w:sz w:val="18"/>
          <w:szCs w:val="18"/>
        </w:rPr>
        <w:t>公司持续强化品牌营销能力，紧跟国际国内产业发展趋势，建立稳定、广泛的客户群体，获得消费者的青睐和认可，具有良好的市场品牌效应。公司先后荣获“中国民营企业500强”、“中国农业企业500强”、“现代农业行业领军10强”、“最具投资价值企业”“大消费产业最具成长上市公司”“中国食品行业百强”“胡润中国预制菜生产企业百强榜”“</w:t>
      </w:r>
      <w:r>
        <w:rPr>
          <w:rFonts w:ascii="Times New Roman" w:hAnsi="Times New Roman" w:eastAsia="等线" w:cs="Times New Roman"/>
          <w:sz w:val="18"/>
          <w:szCs w:val="18"/>
        </w:rPr>
        <w:t>2022</w:t>
      </w:r>
      <w:r>
        <w:rPr>
          <w:rFonts w:ascii="Times New Roman" w:hAnsi="Times New Roman" w:cs="Times New Roman"/>
          <w:sz w:val="18"/>
          <w:szCs w:val="18"/>
        </w:rPr>
        <w:t>中国预制菜创新品牌TOP</w:t>
      </w:r>
      <w:r>
        <w:rPr>
          <w:rFonts w:ascii="Times New Roman" w:hAnsi="Times New Roman" w:eastAsia="等线" w:cs="Times New Roman"/>
          <w:sz w:val="18"/>
          <w:szCs w:val="18"/>
        </w:rPr>
        <w:t>50</w:t>
      </w:r>
      <w:r>
        <w:rPr>
          <w:rFonts w:ascii="Times New Roman" w:hAnsi="Times New Roman" w:cs="Times New Roman"/>
          <w:sz w:val="18"/>
          <w:szCs w:val="18"/>
        </w:rPr>
        <w:t>”等多项荣誉，公司品牌知名度和美誉度显著提升。</w:t>
      </w:r>
    </w:p>
    <w:p>
      <w:pPr>
        <w:pStyle w:val="8"/>
        <w:spacing w:before="0" w:beforeAutospacing="0" w:after="0" w:afterAutospacing="0"/>
        <w:rPr>
          <w:rFonts w:ascii="Times New Roman" w:hAnsi="Times New Roman" w:eastAsia="等线" w:cs="Times New Roman"/>
          <w:sz w:val="21"/>
          <w:szCs w:val="21"/>
        </w:rPr>
      </w:pPr>
      <w:r>
        <w:rPr>
          <w:rFonts w:ascii="Times New Roman" w:hAnsi="Times New Roman" w:eastAsia="等线" w:cs="Times New Roman"/>
          <w:sz w:val="21"/>
          <w:szCs w:val="21"/>
        </w:rPr>
        <w:t> </w:t>
      </w:r>
    </w:p>
    <w:p>
      <w:pPr>
        <w:pStyle w:val="8"/>
        <w:spacing w:before="0" w:beforeAutospacing="0" w:after="0" w:afterAutospacing="0"/>
        <w:rPr>
          <w:rFonts w:ascii="Times New Roman" w:hAnsi="Times New Roman" w:eastAsia="等线" w:cs="Times New Roman"/>
          <w:sz w:val="21"/>
          <w:szCs w:val="21"/>
        </w:rPr>
      </w:pPr>
    </w:p>
    <w:p>
      <w:pPr>
        <w:pStyle w:val="2"/>
        <w:spacing w:before="300" w:after="300" w:line="320" w:lineRule="exact"/>
        <w:rPr>
          <w:rFonts w:ascii="Times New Roman" w:hAnsi="Times New Roman" w:eastAsia="宋体" w:cs="Times New Roman"/>
          <w:b/>
          <w:bCs/>
          <w:sz w:val="24"/>
          <w:szCs w:val="24"/>
        </w:rPr>
      </w:pPr>
      <w:bookmarkStart w:id="16" w:name="_Toc988905"/>
      <w:r>
        <w:rPr>
          <w:rFonts w:ascii="Times New Roman" w:hAnsi="Times New Roman" w:eastAsia="宋体" w:cs="Times New Roman"/>
          <w:b/>
          <w:bCs/>
          <w:sz w:val="24"/>
          <w:szCs w:val="24"/>
        </w:rPr>
        <w:t>三、主营业务分析</w:t>
      </w:r>
      <w:bookmarkEnd w:id="16"/>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概述</w:t>
      </w: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参见“一、报告期内公司从事的主要业务”相关内容。</w:t>
      </w: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主要财务数据同比变动情况</w:t>
      </w:r>
    </w:p>
    <w:p>
      <w:pPr>
        <w:spacing w:before="120" w:after="12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7"/>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7"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本报告期</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上年同期</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同比增减</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变动原因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营业收入</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6,726,422,093.49</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6,815,217,068.63</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-1.30%</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营业成本</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6,791,252,996.63</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6,514,347,623.40</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4.25%</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销售费用</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79,532,772.76</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88,977,101.02</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-10.61%</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管理费用</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133,840,139.68</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127,126,210.54</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5.28%</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财务费用</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30,203,372.28</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26,100,000.08</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15.72%</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所得税费用</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-1,912,670.67</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17,396,638.93</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-110.99%</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本期确认递延所得税资产所致。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研发投入</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5,047,399.43</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4,108,832.23</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22.84%</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经营活动产生的现金流量净额</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-366,555,444.44</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727,557,194.06</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-150.38%</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本期购买商品接受劳务支付的现金增加所致。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投资活动产生的现金流量净额</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314,341,787.58</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-333,880,444.62</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194.15%</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both"/>
              <w:rPr>
                <w:rFonts w:ascii="Times New Roman" w:hAnsi="Times New Roman" w:eastAsia="宋体" w:cs="Times New Roman"/>
                <w:sz w:val="18"/>
                <w:szCs w:val="18"/>
              </w:rPr>
            </w:pPr>
            <w:r>
              <w:rPr>
                <w:rFonts w:ascii="Times New Roman" w:hAnsi="Times New Roman" w:eastAsia="宋体" w:cs="Times New Roman"/>
                <w:sz w:val="18"/>
                <w:szCs w:val="18"/>
              </w:rPr>
              <w:t>本期投资活动流入的现金增加。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筹资活动产生的现金流量净额</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149,231,656.62</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-407,940,535.52</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136.58%</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本期筹资活动现金流入增加所致。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现金及现金等价物净增加额</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 xml:space="preserve"> 97,087,269.40 </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-15,198,528.69</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738.79%</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both"/>
              <w:rPr>
                <w:rFonts w:ascii="Times New Roman" w:hAnsi="Times New Roman" w:eastAsia="宋体" w:cs="Times New Roman"/>
                <w:sz w:val="18"/>
                <w:szCs w:val="18"/>
              </w:rPr>
            </w:pPr>
            <w:r>
              <w:rPr>
                <w:rFonts w:ascii="Times New Roman" w:hAnsi="Times New Roman" w:eastAsia="宋体" w:cs="Times New Roman"/>
                <w:sz w:val="18"/>
                <w:szCs w:val="18"/>
              </w:rPr>
              <w:t>本期投资活动流入的现金增加。</w:t>
            </w:r>
          </w:p>
        </w:tc>
      </w:tr>
    </w:tbl>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公司报告期利润构成或利润来源发生重大变动</w:t>
      </w: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 xml:space="preserve">□适用 </w:t>
      </w: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不适用</w:t>
      </w: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公司报告期利润构成或利润来源没有发生重大变动。</w:t>
      </w: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营业收入构成</w:t>
      </w:r>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7"/>
        <w:gridCol w:w="1606"/>
        <w:gridCol w:w="1607"/>
        <w:gridCol w:w="160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321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本报告期</w:t>
            </w:r>
          </w:p>
        </w:tc>
        <w:tc>
          <w:tcPr>
            <w:tcW w:w="321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上年同期</w:t>
            </w:r>
          </w:p>
        </w:tc>
        <w:tc>
          <w:tcPr>
            <w:tcW w:w="160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同比增减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金额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占营业收入比重</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金额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占营业收入比重</w:t>
            </w:r>
          </w:p>
        </w:tc>
        <w:tc>
          <w:tcPr>
            <w:tcW w:w="160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营业收入合计</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6,726,422,093.49</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right"/>
              <w:rPr>
                <w:rFonts w:ascii="Times New Roman" w:hAnsi="Times New Roman" w:eastAsia="宋体" w:cs="Times New Roman"/>
                <w:sz w:val="18"/>
                <w:szCs w:val="18"/>
                <w:shd w:val="clear" w:color="auto" w:fill="D3D3D3"/>
              </w:rPr>
            </w:pPr>
            <w:r>
              <w:rPr>
                <w:rFonts w:ascii="Times New Roman" w:hAnsi="Times New Roman" w:eastAsia="宋体" w:cs="Times New Roman"/>
                <w:sz w:val="18"/>
                <w:szCs w:val="18"/>
                <w:shd w:val="clear" w:color="auto" w:fill="D3D3D3"/>
              </w:rPr>
              <w:t>100%</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6,815,217,068.63</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right"/>
              <w:rPr>
                <w:rFonts w:ascii="Times New Roman" w:hAnsi="Times New Roman" w:eastAsia="宋体" w:cs="Times New Roman"/>
                <w:sz w:val="18"/>
                <w:szCs w:val="18"/>
                <w:shd w:val="clear" w:color="auto" w:fill="D3D3D3"/>
              </w:rPr>
            </w:pPr>
            <w:r>
              <w:rPr>
                <w:rFonts w:ascii="Times New Roman" w:hAnsi="Times New Roman" w:eastAsia="宋体" w:cs="Times New Roman"/>
                <w:sz w:val="18"/>
                <w:szCs w:val="18"/>
                <w:shd w:val="clear" w:color="auto" w:fill="D3D3D3"/>
              </w:rPr>
              <w:t>100%</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-1.30%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6"/>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分行业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屠宰行业</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4,702,452,464.84</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69.91%</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5,140,132,924.42</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75.42%</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-8.51%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食品行业</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1,077,615,503.95</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16.02%</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678,749,988.98</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9.96%</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58.76%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进口贸易</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643,664,521.02</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9.57%</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733,736,041.31</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10.77%</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-12.28%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其他</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302,689,603.68</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4.50%</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262,598,113.92</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3.85%</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15.27%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6"/>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分产品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鲜冻肉</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4,702,452,464.84</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69.91%</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5,140,132,924.42</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75.42%</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-8.51%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熟食制品</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115,720,006.76</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1.72%</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170,926,321.40</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2.51%</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-32.30%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预制菜</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961,895,497.19</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14.30%</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507,823,667.58</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7.45%</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89.42%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进口贸易</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643,664,521.02</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9.57%</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733,736,041.31</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10.77%</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-12.28%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其他</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302,689,603.68</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4.50%</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262,598,113.92</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3.85%</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15.27%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6"/>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分地区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山东省内</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2,622,092,610.46</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38.98%</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2,512,519,137.41</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36.87%</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4.36%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华东其他地区</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1,955,995,790.38</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29.08%</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2,352,507,275.74</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34.52%</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-16.85%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华中地区</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933,056,308.83</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13.87%</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916,116,392.68</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13.44%</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1.85%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华北地区</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325,354,266.08</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4.84%</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313,469,866.19</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4.60%</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3.79%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华南地区</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178,766,917.49</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2.66%</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133,077,236.38</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1.95%</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34.33%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东北地区</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405,151,078.22</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6.02%</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255,056,960.35</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3.74%</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58.85%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西南地区</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261,740,606.82</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3.89%</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310,204,665.64</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4.55%</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-15.62%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西北地区及其他</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44,264,515.21</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0.66%</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22,265,534.24</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0.33%</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98.80%</w:t>
            </w:r>
          </w:p>
        </w:tc>
      </w:tr>
    </w:tbl>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占公司营业收入或营业利润10%以上的行业、产品或地区情况</w:t>
      </w: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适用 □不适用</w:t>
      </w:r>
    </w:p>
    <w:p>
      <w:pPr>
        <w:spacing w:before="120" w:after="12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600"/>
        <w:gridCol w:w="1701"/>
        <w:gridCol w:w="830"/>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16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营业收入</w:t>
            </w:r>
          </w:p>
        </w:tc>
        <w:tc>
          <w:tcPr>
            <w:tcW w:w="170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营业成本</w:t>
            </w:r>
          </w:p>
        </w:tc>
        <w:tc>
          <w:tcPr>
            <w:tcW w:w="83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毛利率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营业收入比上年同期增减</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营业成本比上年同期增减</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毛利率比上年同期增减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7"/>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分行业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屠宰行业</w:t>
            </w:r>
          </w:p>
        </w:tc>
        <w:tc>
          <w:tcPr>
            <w:tcW w:w="160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4,702,452,464.84</w:t>
            </w:r>
          </w:p>
        </w:tc>
        <w:tc>
          <w:tcPr>
            <w:tcW w:w="170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4,691,328,961.26</w:t>
            </w:r>
          </w:p>
        </w:tc>
        <w:tc>
          <w:tcPr>
            <w:tcW w:w="83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0.24%</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-8.51%</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-6.46%</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-2.19%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食品行业</w:t>
            </w:r>
          </w:p>
        </w:tc>
        <w:tc>
          <w:tcPr>
            <w:tcW w:w="160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1,077,615,503.95</w:t>
            </w:r>
          </w:p>
        </w:tc>
        <w:tc>
          <w:tcPr>
            <w:tcW w:w="170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979,027,926.01</w:t>
            </w:r>
          </w:p>
        </w:tc>
        <w:tc>
          <w:tcPr>
            <w:tcW w:w="83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9.15%</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58.76%</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63.91%</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-2.85%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7"/>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分产品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鲜冻肉</w:t>
            </w:r>
          </w:p>
        </w:tc>
        <w:tc>
          <w:tcPr>
            <w:tcW w:w="160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4,702,452,464.84</w:t>
            </w:r>
          </w:p>
        </w:tc>
        <w:tc>
          <w:tcPr>
            <w:tcW w:w="170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4,691,328,961.26</w:t>
            </w:r>
          </w:p>
        </w:tc>
        <w:tc>
          <w:tcPr>
            <w:tcW w:w="83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0.24%</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-8.51%</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-6.46%</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-2.19%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预制菜</w:t>
            </w:r>
          </w:p>
        </w:tc>
        <w:tc>
          <w:tcPr>
            <w:tcW w:w="160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961,895,497.19</w:t>
            </w:r>
          </w:p>
        </w:tc>
        <w:tc>
          <w:tcPr>
            <w:tcW w:w="170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885,230,035.55</w:t>
            </w:r>
          </w:p>
        </w:tc>
        <w:tc>
          <w:tcPr>
            <w:tcW w:w="83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7.97%</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89.42%</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89.00%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0.20%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7"/>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分地区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山东省内</w:t>
            </w:r>
          </w:p>
        </w:tc>
        <w:tc>
          <w:tcPr>
            <w:tcW w:w="160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2,622,092,610.46</w:t>
            </w:r>
          </w:p>
        </w:tc>
        <w:tc>
          <w:tcPr>
            <w:tcW w:w="170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2,753,352,600.02</w:t>
            </w:r>
          </w:p>
        </w:tc>
        <w:tc>
          <w:tcPr>
            <w:tcW w:w="83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-5.01%</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4.36%</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16.36%</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-10.83%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华东其他地区</w:t>
            </w:r>
          </w:p>
        </w:tc>
        <w:tc>
          <w:tcPr>
            <w:tcW w:w="160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1,955,995,790.38</w:t>
            </w:r>
          </w:p>
        </w:tc>
        <w:tc>
          <w:tcPr>
            <w:tcW w:w="170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1,915,716,692.20</w:t>
            </w:r>
          </w:p>
        </w:tc>
        <w:tc>
          <w:tcPr>
            <w:tcW w:w="83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2.06%</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-16.85%</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-15.65%</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-1.40%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华中地区</w:t>
            </w:r>
          </w:p>
        </w:tc>
        <w:tc>
          <w:tcPr>
            <w:tcW w:w="160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933,056,308.83</w:t>
            </w:r>
          </w:p>
        </w:tc>
        <w:tc>
          <w:tcPr>
            <w:tcW w:w="170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920,172,610.32</w:t>
            </w:r>
          </w:p>
        </w:tc>
        <w:tc>
          <w:tcPr>
            <w:tcW w:w="83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1.38%</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1.85%</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5.39%</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-3.31%</w:t>
            </w:r>
          </w:p>
        </w:tc>
      </w:tr>
    </w:tbl>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公司主营业务数据统计口径在报告期发生调整的情况下，公司最近1期按报告期末口径调整后的主营业务数据</w:t>
      </w: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 xml:space="preserve">□适用 </w:t>
      </w: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不适用</w:t>
      </w: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公司需遵守《深圳证券交易所上市公司自律监管指引第3号——行业信息披露》中的“食品及酒制造相关业务”的披露要求</w:t>
      </w:r>
    </w:p>
    <w:p>
      <w:pPr>
        <w:widowControl/>
        <w:rPr>
          <w:rFonts w:ascii="Times New Roman" w:hAnsi="Times New Roman" w:eastAsia="宋体" w:cs="Times New Roman"/>
          <w:sz w:val="18"/>
          <w:szCs w:val="18"/>
        </w:rPr>
      </w:pPr>
      <w:r>
        <w:rPr>
          <w:rFonts w:ascii="Times New Roman" w:hAnsi="Times New Roman" w:eastAsia="宋体" w:cs="Times New Roman"/>
          <w:sz w:val="18"/>
          <w:szCs w:val="18"/>
        </w:rPr>
        <w:t xml:space="preserve">销售费用具体情况详见“第十节、财务报告”之“七、合并财务报表项目注释”。 </w:t>
      </w:r>
    </w:p>
    <w:p>
      <w:pPr>
        <w:pStyle w:val="2"/>
        <w:spacing w:before="300" w:after="300" w:line="320" w:lineRule="exact"/>
        <w:rPr>
          <w:rFonts w:ascii="Times New Roman" w:hAnsi="Times New Roman" w:eastAsia="宋体" w:cs="Times New Roman"/>
          <w:b/>
          <w:bCs/>
          <w:sz w:val="24"/>
          <w:szCs w:val="24"/>
        </w:rPr>
      </w:pPr>
      <w:bookmarkStart w:id="17" w:name="_Toc988906"/>
      <w:r>
        <w:rPr>
          <w:rFonts w:ascii="Times New Roman" w:hAnsi="Times New Roman" w:eastAsia="宋体" w:cs="Times New Roman"/>
          <w:b/>
          <w:bCs/>
          <w:sz w:val="24"/>
          <w:szCs w:val="24"/>
        </w:rPr>
        <w:t>四、非主营业务分析</w:t>
      </w:r>
      <w:bookmarkEnd w:id="17"/>
    </w:p>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 xml:space="preserve">□适用 </w:t>
      </w: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不适用</w:t>
      </w:r>
    </w:p>
    <w:p>
      <w:pPr>
        <w:pStyle w:val="2"/>
        <w:spacing w:before="300" w:after="300" w:line="320" w:lineRule="exact"/>
        <w:rPr>
          <w:rFonts w:ascii="Times New Roman" w:hAnsi="Times New Roman" w:eastAsia="宋体" w:cs="Times New Roman"/>
          <w:b/>
          <w:bCs/>
          <w:sz w:val="24"/>
          <w:szCs w:val="24"/>
        </w:rPr>
      </w:pPr>
      <w:bookmarkStart w:id="18" w:name="_Toc988907"/>
      <w:r>
        <w:rPr>
          <w:rFonts w:ascii="Times New Roman" w:hAnsi="Times New Roman" w:eastAsia="宋体" w:cs="Times New Roman"/>
          <w:b/>
          <w:bCs/>
          <w:sz w:val="24"/>
          <w:szCs w:val="24"/>
        </w:rPr>
        <w:t>五、资产及负债状况分析</w:t>
      </w:r>
      <w:bookmarkEnd w:id="18"/>
    </w:p>
    <w:p>
      <w:pPr>
        <w:pStyle w:val="3"/>
        <w:spacing w:line="280" w:lineRule="exact"/>
        <w:jc w:val="left"/>
        <w:rPr>
          <w:rFonts w:ascii="Times New Roman" w:hAnsi="Times New Roman" w:cs="Times New Roman"/>
          <w:b/>
          <w:bCs/>
        </w:rPr>
      </w:pPr>
      <w:bookmarkStart w:id="19" w:name="_Toc988908"/>
      <w:r>
        <w:rPr>
          <w:rFonts w:ascii="Times New Roman" w:hAnsi="Times New Roman" w:cs="Times New Roman"/>
          <w:b/>
          <w:bCs/>
        </w:rPr>
        <w:t>1、资产构成重大变动情况</w:t>
      </w:r>
      <w:bookmarkEnd w:id="19"/>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600"/>
        <w:gridCol w:w="1418"/>
        <w:gridCol w:w="1559"/>
        <w:gridCol w:w="1276"/>
        <w:gridCol w:w="1032"/>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3018"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本报告期末</w:t>
            </w:r>
          </w:p>
        </w:tc>
        <w:tc>
          <w:tcPr>
            <w:tcW w:w="2835"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上年末</w:t>
            </w:r>
          </w:p>
        </w:tc>
        <w:tc>
          <w:tcPr>
            <w:tcW w:w="103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比重增减</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重大变动说明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16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金额</w:t>
            </w:r>
          </w:p>
        </w:tc>
        <w:tc>
          <w:tcPr>
            <w:tcW w:w="141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占总资产比例</w:t>
            </w:r>
          </w:p>
        </w:tc>
        <w:tc>
          <w:tcPr>
            <w:tcW w:w="155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金额</w:t>
            </w:r>
          </w:p>
        </w:tc>
        <w:tc>
          <w:tcPr>
            <w:tcW w:w="12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占总资产比例</w:t>
            </w:r>
          </w:p>
        </w:tc>
        <w:tc>
          <w:tcPr>
            <w:tcW w:w="103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货币资金</w:t>
            </w:r>
          </w:p>
        </w:tc>
        <w:tc>
          <w:tcPr>
            <w:tcW w:w="160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1,221,253,868.04</w:t>
            </w:r>
          </w:p>
        </w:tc>
        <w:tc>
          <w:tcPr>
            <w:tcW w:w="141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16.77%</w:t>
            </w:r>
          </w:p>
        </w:tc>
        <w:tc>
          <w:tcPr>
            <w:tcW w:w="155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1,855,921,035.70</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23.27%</w:t>
            </w:r>
          </w:p>
        </w:tc>
        <w:tc>
          <w:tcPr>
            <w:tcW w:w="103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-6.50%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应收账款</w:t>
            </w:r>
          </w:p>
        </w:tc>
        <w:tc>
          <w:tcPr>
            <w:tcW w:w="160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436,595,477.22</w:t>
            </w:r>
          </w:p>
        </w:tc>
        <w:tc>
          <w:tcPr>
            <w:tcW w:w="141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5.99%</w:t>
            </w:r>
          </w:p>
        </w:tc>
        <w:tc>
          <w:tcPr>
            <w:tcW w:w="155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621,530,615.03</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7.79%</w:t>
            </w:r>
          </w:p>
        </w:tc>
        <w:tc>
          <w:tcPr>
            <w:tcW w:w="103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-1.80%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存货</w:t>
            </w:r>
          </w:p>
        </w:tc>
        <w:tc>
          <w:tcPr>
            <w:tcW w:w="160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1,946,509,297.48</w:t>
            </w:r>
          </w:p>
        </w:tc>
        <w:tc>
          <w:tcPr>
            <w:tcW w:w="141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26.72%</w:t>
            </w:r>
          </w:p>
        </w:tc>
        <w:tc>
          <w:tcPr>
            <w:tcW w:w="155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1,715,516,935.36</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21.51%</w:t>
            </w:r>
          </w:p>
        </w:tc>
        <w:tc>
          <w:tcPr>
            <w:tcW w:w="103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5.21%</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固定资产</w:t>
            </w:r>
          </w:p>
        </w:tc>
        <w:tc>
          <w:tcPr>
            <w:tcW w:w="160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1,755,912,427.55</w:t>
            </w:r>
          </w:p>
        </w:tc>
        <w:tc>
          <w:tcPr>
            <w:tcW w:w="141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24.10%</w:t>
            </w:r>
          </w:p>
        </w:tc>
        <w:tc>
          <w:tcPr>
            <w:tcW w:w="155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1,791,086,868.21</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22.45%</w:t>
            </w:r>
          </w:p>
        </w:tc>
        <w:tc>
          <w:tcPr>
            <w:tcW w:w="103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1.65%</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在建工程</w:t>
            </w:r>
          </w:p>
        </w:tc>
        <w:tc>
          <w:tcPr>
            <w:tcW w:w="160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743,671,714.28</w:t>
            </w:r>
          </w:p>
        </w:tc>
        <w:tc>
          <w:tcPr>
            <w:tcW w:w="141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10.21%</w:t>
            </w:r>
          </w:p>
        </w:tc>
        <w:tc>
          <w:tcPr>
            <w:tcW w:w="155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627,981,907.00</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7.87%</w:t>
            </w:r>
          </w:p>
        </w:tc>
        <w:tc>
          <w:tcPr>
            <w:tcW w:w="103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2.34%</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使用权资产</w:t>
            </w:r>
          </w:p>
        </w:tc>
        <w:tc>
          <w:tcPr>
            <w:tcW w:w="160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70,207,512.52</w:t>
            </w:r>
          </w:p>
        </w:tc>
        <w:tc>
          <w:tcPr>
            <w:tcW w:w="141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0.96%</w:t>
            </w:r>
          </w:p>
        </w:tc>
        <w:tc>
          <w:tcPr>
            <w:tcW w:w="155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78,359,348.60</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0.98%</w:t>
            </w:r>
          </w:p>
        </w:tc>
        <w:tc>
          <w:tcPr>
            <w:tcW w:w="103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-0.02%</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短期借款</w:t>
            </w:r>
          </w:p>
        </w:tc>
        <w:tc>
          <w:tcPr>
            <w:tcW w:w="160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1,324,941,435.46</w:t>
            </w:r>
          </w:p>
        </w:tc>
        <w:tc>
          <w:tcPr>
            <w:tcW w:w="141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18.19%</w:t>
            </w:r>
          </w:p>
        </w:tc>
        <w:tc>
          <w:tcPr>
            <w:tcW w:w="155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1,514,670,257.81</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18.99%</w:t>
            </w:r>
          </w:p>
        </w:tc>
        <w:tc>
          <w:tcPr>
            <w:tcW w:w="103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-0.80%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合同负债</w:t>
            </w:r>
          </w:p>
        </w:tc>
        <w:tc>
          <w:tcPr>
            <w:tcW w:w="160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190,605,760.36</w:t>
            </w:r>
          </w:p>
        </w:tc>
        <w:tc>
          <w:tcPr>
            <w:tcW w:w="141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2.62%</w:t>
            </w:r>
          </w:p>
        </w:tc>
        <w:tc>
          <w:tcPr>
            <w:tcW w:w="155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185,629,725.61</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2.33%</w:t>
            </w:r>
          </w:p>
        </w:tc>
        <w:tc>
          <w:tcPr>
            <w:tcW w:w="103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0.29%</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长期借款</w:t>
            </w:r>
          </w:p>
        </w:tc>
        <w:tc>
          <w:tcPr>
            <w:tcW w:w="160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307,441,297.64</w:t>
            </w:r>
          </w:p>
        </w:tc>
        <w:tc>
          <w:tcPr>
            <w:tcW w:w="141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4.22%</w:t>
            </w:r>
          </w:p>
        </w:tc>
        <w:tc>
          <w:tcPr>
            <w:tcW w:w="155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157,500,000.00</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1.97%</w:t>
            </w:r>
          </w:p>
        </w:tc>
        <w:tc>
          <w:tcPr>
            <w:tcW w:w="103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2.25%</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租赁负债</w:t>
            </w:r>
          </w:p>
        </w:tc>
        <w:tc>
          <w:tcPr>
            <w:tcW w:w="160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54,690,388.17</w:t>
            </w:r>
          </w:p>
        </w:tc>
        <w:tc>
          <w:tcPr>
            <w:tcW w:w="141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0.75%</w:t>
            </w:r>
          </w:p>
        </w:tc>
        <w:tc>
          <w:tcPr>
            <w:tcW w:w="155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58,075,383.36</w:t>
            </w:r>
          </w:p>
        </w:tc>
        <w:tc>
          <w:tcPr>
            <w:tcW w:w="12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0.73%</w:t>
            </w:r>
          </w:p>
        </w:tc>
        <w:tc>
          <w:tcPr>
            <w:tcW w:w="103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0.02%</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p>
        </w:tc>
      </w:tr>
    </w:tbl>
    <w:p>
      <w:pPr>
        <w:pStyle w:val="3"/>
        <w:spacing w:line="280" w:lineRule="exact"/>
        <w:jc w:val="left"/>
        <w:rPr>
          <w:rFonts w:ascii="Times New Roman" w:hAnsi="Times New Roman" w:cs="Times New Roman"/>
          <w:b/>
          <w:bCs/>
        </w:rPr>
      </w:pPr>
      <w:bookmarkStart w:id="20" w:name="_Toc988909"/>
      <w:r>
        <w:rPr>
          <w:rFonts w:ascii="Times New Roman" w:hAnsi="Times New Roman" w:cs="Times New Roman"/>
          <w:b/>
          <w:bCs/>
        </w:rPr>
        <w:t>2、主要境外资产情况</w:t>
      </w:r>
      <w:bookmarkEnd w:id="20"/>
    </w:p>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 xml:space="preserve">□适用 </w:t>
      </w: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不适用</w:t>
      </w:r>
    </w:p>
    <w:p>
      <w:pPr>
        <w:pStyle w:val="3"/>
        <w:spacing w:line="280" w:lineRule="exact"/>
        <w:jc w:val="left"/>
        <w:rPr>
          <w:rFonts w:ascii="Times New Roman" w:hAnsi="Times New Roman" w:cs="Times New Roman"/>
          <w:b/>
          <w:bCs/>
        </w:rPr>
      </w:pPr>
      <w:bookmarkStart w:id="21" w:name="_Toc988910"/>
      <w:r>
        <w:rPr>
          <w:rFonts w:ascii="Times New Roman" w:hAnsi="Times New Roman" w:cs="Times New Roman"/>
          <w:b/>
          <w:bCs/>
        </w:rPr>
        <w:t>3、以公允价值计量的资产和负债</w:t>
      </w:r>
      <w:bookmarkEnd w:id="21"/>
    </w:p>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 xml:space="preserve">□适用 </w:t>
      </w: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不适用</w:t>
      </w:r>
    </w:p>
    <w:p>
      <w:pPr>
        <w:pStyle w:val="3"/>
        <w:spacing w:line="280" w:lineRule="exact"/>
        <w:jc w:val="left"/>
        <w:rPr>
          <w:rFonts w:ascii="Times New Roman" w:hAnsi="Times New Roman" w:cs="Times New Roman"/>
          <w:b/>
          <w:bCs/>
        </w:rPr>
      </w:pPr>
      <w:bookmarkStart w:id="22" w:name="_Toc988911"/>
      <w:r>
        <w:rPr>
          <w:rFonts w:ascii="Times New Roman" w:hAnsi="Times New Roman" w:cs="Times New Roman"/>
          <w:b/>
          <w:bCs/>
        </w:rPr>
        <w:t>4、截至报告期末的资产权利受限情况</w:t>
      </w:r>
      <w:bookmarkEnd w:id="22"/>
    </w:p>
    <w:p>
      <w:pPr>
        <w:pStyle w:val="8"/>
        <w:spacing w:before="0" w:beforeAutospacing="0" w:after="0" w:afterAutospacing="0"/>
        <w:rPr>
          <w:rFonts w:ascii="Times New Roman" w:hAnsi="Times New Roman" w:eastAsia="等线" w:cs="Times New Roman"/>
          <w:sz w:val="21"/>
          <w:szCs w:val="21"/>
        </w:rPr>
      </w:pPr>
      <w:r>
        <w:rPr>
          <w:rFonts w:ascii="Times New Roman" w:hAnsi="Times New Roman" w:cs="Times New Roman"/>
          <w:sz w:val="18"/>
          <w:szCs w:val="18"/>
        </w:rPr>
        <w:t>货币资金承兑汇票保证定金</w:t>
      </w:r>
      <w:r>
        <w:rPr>
          <w:rFonts w:ascii="Times New Roman" w:hAnsi="Times New Roman" w:eastAsia="等线" w:cs="Times New Roman"/>
          <w:sz w:val="18"/>
          <w:szCs w:val="18"/>
        </w:rPr>
        <w:t>36,304.82</w:t>
      </w:r>
      <w:r>
        <w:rPr>
          <w:rFonts w:ascii="Times New Roman" w:hAnsi="Times New Roman" w:cs="Times New Roman"/>
          <w:sz w:val="18"/>
          <w:szCs w:val="18"/>
        </w:rPr>
        <w:t>万元，因使用受限，不作为现金及现金等价物。</w:t>
      </w:r>
      <w:r>
        <w:rPr>
          <w:rFonts w:ascii="Times New Roman" w:hAnsi="Times New Roman" w:eastAsia="等线" w:cs="Times New Roman"/>
          <w:sz w:val="18"/>
          <w:szCs w:val="18"/>
        </w:rPr>
        <w:t xml:space="preserve"> </w:t>
      </w:r>
    </w:p>
    <w:p>
      <w:pPr>
        <w:pStyle w:val="8"/>
        <w:spacing w:before="0" w:beforeAutospacing="0" w:after="0" w:afterAutospacing="0"/>
        <w:rPr>
          <w:rFonts w:ascii="Times New Roman" w:hAnsi="Times New Roman" w:eastAsia="等线" w:cs="Times New Roman"/>
          <w:sz w:val="21"/>
          <w:szCs w:val="21"/>
        </w:rPr>
      </w:pPr>
      <w:r>
        <w:rPr>
          <w:rFonts w:ascii="Times New Roman" w:hAnsi="Times New Roman" w:cs="Times New Roman"/>
          <w:sz w:val="18"/>
          <w:szCs w:val="18"/>
        </w:rPr>
        <w:t>固定资产</w:t>
      </w:r>
      <w:r>
        <w:rPr>
          <w:rFonts w:ascii="Times New Roman" w:hAnsi="Times New Roman" w:eastAsia="等线" w:cs="Times New Roman"/>
          <w:sz w:val="18"/>
          <w:szCs w:val="18"/>
        </w:rPr>
        <w:t>40,941.66</w:t>
      </w:r>
      <w:r>
        <w:rPr>
          <w:rFonts w:ascii="Times New Roman" w:hAnsi="Times New Roman" w:cs="Times New Roman"/>
          <w:sz w:val="18"/>
          <w:szCs w:val="18"/>
        </w:rPr>
        <w:t>万元，借款抵押，使用受限。</w:t>
      </w:r>
      <w:r>
        <w:rPr>
          <w:rFonts w:ascii="Times New Roman" w:hAnsi="Times New Roman" w:eastAsia="等线" w:cs="Times New Roman"/>
          <w:sz w:val="18"/>
          <w:szCs w:val="18"/>
        </w:rPr>
        <w:t xml:space="preserve"> </w:t>
      </w:r>
    </w:p>
    <w:p>
      <w:pPr>
        <w:pStyle w:val="8"/>
        <w:spacing w:before="0" w:beforeAutospacing="0" w:after="0" w:afterAutospacing="0"/>
        <w:rPr>
          <w:rFonts w:ascii="Times New Roman" w:hAnsi="Times New Roman" w:eastAsia="等线" w:cs="Times New Roman"/>
          <w:sz w:val="21"/>
          <w:szCs w:val="21"/>
        </w:rPr>
      </w:pPr>
      <w:r>
        <w:rPr>
          <w:rFonts w:ascii="Times New Roman" w:hAnsi="Times New Roman" w:cs="Times New Roman"/>
          <w:sz w:val="18"/>
          <w:szCs w:val="18"/>
        </w:rPr>
        <w:t>无形资产</w:t>
      </w:r>
      <w:r>
        <w:rPr>
          <w:rFonts w:ascii="Times New Roman" w:hAnsi="Times New Roman" w:eastAsia="等线" w:cs="Times New Roman"/>
          <w:sz w:val="18"/>
          <w:szCs w:val="18"/>
        </w:rPr>
        <w:t>3,128.56</w:t>
      </w:r>
      <w:r>
        <w:rPr>
          <w:rFonts w:ascii="Times New Roman" w:hAnsi="Times New Roman" w:cs="Times New Roman"/>
          <w:sz w:val="18"/>
          <w:szCs w:val="18"/>
        </w:rPr>
        <w:t>万元，借款抵押，使用受限。</w:t>
      </w:r>
      <w:r>
        <w:rPr>
          <w:rFonts w:ascii="Times New Roman" w:hAnsi="Times New Roman" w:eastAsia="等线" w:cs="Times New Roman"/>
          <w:sz w:val="18"/>
          <w:szCs w:val="18"/>
        </w:rPr>
        <w:t xml:space="preserve"> </w:t>
      </w:r>
    </w:p>
    <w:p>
      <w:pPr>
        <w:pStyle w:val="8"/>
        <w:spacing w:before="0" w:beforeAutospacing="0" w:after="0" w:afterAutospacing="0"/>
        <w:rPr>
          <w:rFonts w:ascii="Times New Roman" w:hAnsi="Times New Roman" w:eastAsia="等线" w:cs="Times New Roman"/>
          <w:sz w:val="21"/>
          <w:szCs w:val="21"/>
        </w:rPr>
      </w:pPr>
      <w:r>
        <w:rPr>
          <w:rFonts w:ascii="Times New Roman" w:hAnsi="Times New Roman" w:cs="Times New Roman"/>
          <w:sz w:val="18"/>
          <w:szCs w:val="18"/>
        </w:rPr>
        <w:t>在建工程</w:t>
      </w:r>
      <w:r>
        <w:rPr>
          <w:rFonts w:ascii="Times New Roman" w:hAnsi="Times New Roman" w:eastAsia="等线" w:cs="Times New Roman"/>
          <w:sz w:val="18"/>
          <w:szCs w:val="18"/>
        </w:rPr>
        <w:t>49.89</w:t>
      </w:r>
      <w:r>
        <w:rPr>
          <w:rFonts w:ascii="Times New Roman" w:hAnsi="Times New Roman" w:cs="Times New Roman"/>
          <w:sz w:val="18"/>
          <w:szCs w:val="18"/>
        </w:rPr>
        <w:t>万元，借款抵押，使用受限。</w:t>
      </w:r>
      <w:r>
        <w:rPr>
          <w:rFonts w:ascii="Times New Roman" w:hAnsi="Times New Roman" w:eastAsia="等线" w:cs="Times New Roman"/>
          <w:sz w:val="18"/>
          <w:szCs w:val="18"/>
        </w:rPr>
        <w:t xml:space="preserve"> </w:t>
      </w:r>
    </w:p>
    <w:p>
      <w:pPr>
        <w:pStyle w:val="2"/>
        <w:spacing w:before="300" w:after="300" w:line="320" w:lineRule="exact"/>
        <w:rPr>
          <w:rFonts w:ascii="Times New Roman" w:hAnsi="Times New Roman" w:eastAsia="宋体" w:cs="Times New Roman"/>
          <w:b/>
          <w:bCs/>
          <w:sz w:val="24"/>
          <w:szCs w:val="24"/>
        </w:rPr>
      </w:pPr>
      <w:bookmarkStart w:id="23" w:name="_Toc988912"/>
      <w:r>
        <w:rPr>
          <w:rFonts w:ascii="Times New Roman" w:hAnsi="Times New Roman" w:eastAsia="宋体" w:cs="Times New Roman"/>
          <w:b/>
          <w:bCs/>
          <w:sz w:val="24"/>
          <w:szCs w:val="24"/>
        </w:rPr>
        <w:t>六、投资状况分析</w:t>
      </w:r>
      <w:bookmarkEnd w:id="23"/>
    </w:p>
    <w:p>
      <w:pPr>
        <w:pStyle w:val="3"/>
        <w:spacing w:line="280" w:lineRule="exact"/>
        <w:jc w:val="left"/>
        <w:rPr>
          <w:rFonts w:ascii="Times New Roman" w:hAnsi="Times New Roman" w:cs="Times New Roman"/>
          <w:b/>
          <w:bCs/>
        </w:rPr>
      </w:pPr>
      <w:bookmarkStart w:id="24" w:name="_Toc988913"/>
      <w:r>
        <w:rPr>
          <w:rFonts w:ascii="Times New Roman" w:hAnsi="Times New Roman" w:cs="Times New Roman"/>
          <w:b/>
          <w:bCs/>
        </w:rPr>
        <w:t>1、总体情况</w:t>
      </w:r>
      <w:bookmarkEnd w:id="24"/>
    </w:p>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 xml:space="preserve">□适用 </w:t>
      </w: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不适用</w:t>
      </w:r>
    </w:p>
    <w:p>
      <w:pPr>
        <w:pStyle w:val="3"/>
        <w:spacing w:line="280" w:lineRule="exact"/>
        <w:jc w:val="left"/>
        <w:rPr>
          <w:rFonts w:ascii="Times New Roman" w:hAnsi="Times New Roman" w:cs="Times New Roman"/>
          <w:b/>
          <w:bCs/>
        </w:rPr>
      </w:pPr>
      <w:bookmarkStart w:id="25" w:name="_Toc988914"/>
      <w:r>
        <w:rPr>
          <w:rFonts w:ascii="Times New Roman" w:hAnsi="Times New Roman" w:cs="Times New Roman"/>
          <w:b/>
          <w:bCs/>
        </w:rPr>
        <w:t>2、报告期内获取的重大的股权投资情况</w:t>
      </w:r>
      <w:bookmarkEnd w:id="25"/>
    </w:p>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 xml:space="preserve">□适用 </w:t>
      </w: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不适用</w:t>
      </w:r>
    </w:p>
    <w:p>
      <w:pPr>
        <w:pStyle w:val="3"/>
        <w:spacing w:line="280" w:lineRule="exact"/>
        <w:jc w:val="left"/>
        <w:rPr>
          <w:rFonts w:ascii="Times New Roman" w:hAnsi="Times New Roman" w:cs="Times New Roman"/>
          <w:b/>
          <w:bCs/>
        </w:rPr>
      </w:pPr>
      <w:bookmarkStart w:id="26" w:name="_Toc988915"/>
      <w:r>
        <w:rPr>
          <w:rFonts w:ascii="Times New Roman" w:hAnsi="Times New Roman" w:cs="Times New Roman"/>
          <w:b/>
          <w:bCs/>
        </w:rPr>
        <w:t>3、报告期内正在进行的重大的非股权投资情况</w:t>
      </w:r>
      <w:bookmarkEnd w:id="26"/>
    </w:p>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 xml:space="preserve">□适用 </w:t>
      </w: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不适用</w:t>
      </w:r>
    </w:p>
    <w:p>
      <w:pPr>
        <w:pStyle w:val="3"/>
        <w:spacing w:line="280" w:lineRule="exact"/>
        <w:jc w:val="left"/>
        <w:rPr>
          <w:rFonts w:ascii="Times New Roman" w:hAnsi="Times New Roman" w:cs="Times New Roman"/>
          <w:b/>
          <w:bCs/>
        </w:rPr>
      </w:pPr>
      <w:bookmarkStart w:id="27" w:name="_Toc988916"/>
      <w:r>
        <w:rPr>
          <w:rFonts w:ascii="Times New Roman" w:hAnsi="Times New Roman" w:cs="Times New Roman"/>
          <w:b/>
          <w:bCs/>
        </w:rPr>
        <w:t>4、金融资产投资</w:t>
      </w:r>
      <w:bookmarkEnd w:id="27"/>
    </w:p>
    <w:p>
      <w:pPr>
        <w:keepNext/>
        <w:keepLines/>
        <w:spacing w:before="300" w:after="300" w:line="280" w:lineRule="exact"/>
        <w:outlineLvl w:val="3"/>
        <w:rPr>
          <w:rFonts w:ascii="Times New Roman" w:hAnsi="Times New Roman" w:eastAsia="宋体" w:cs="Times New Roman"/>
          <w:b/>
          <w:bCs/>
          <w:sz w:val="18"/>
          <w:szCs w:val="18"/>
        </w:rPr>
      </w:pPr>
      <w:bookmarkStart w:id="28" w:name="_Toc988917"/>
      <w:r>
        <w:rPr>
          <w:rFonts w:ascii="Times New Roman" w:hAnsi="Times New Roman" w:eastAsia="宋体" w:cs="Times New Roman"/>
          <w:b/>
          <w:bCs/>
          <w:sz w:val="18"/>
          <w:szCs w:val="18"/>
        </w:rPr>
        <w:t>（1） 证券投资情况</w:t>
      </w:r>
      <w:bookmarkEnd w:id="28"/>
    </w:p>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 xml:space="preserve">□适用 </w:t>
      </w: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不适用</w:t>
      </w:r>
    </w:p>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公司报告期不存在证券投资。</w:t>
      </w:r>
    </w:p>
    <w:p>
      <w:pPr>
        <w:keepNext/>
        <w:keepLines/>
        <w:spacing w:before="300" w:after="300" w:line="280" w:lineRule="exact"/>
        <w:outlineLvl w:val="3"/>
        <w:rPr>
          <w:rFonts w:ascii="Times New Roman" w:hAnsi="Times New Roman" w:eastAsia="宋体" w:cs="Times New Roman"/>
          <w:b/>
          <w:bCs/>
          <w:sz w:val="18"/>
          <w:szCs w:val="18"/>
        </w:rPr>
      </w:pPr>
      <w:bookmarkStart w:id="29" w:name="_Toc988918"/>
      <w:r>
        <w:rPr>
          <w:rFonts w:ascii="Times New Roman" w:hAnsi="Times New Roman" w:eastAsia="宋体" w:cs="Times New Roman"/>
          <w:b/>
          <w:bCs/>
          <w:sz w:val="18"/>
          <w:szCs w:val="18"/>
        </w:rPr>
        <w:t>（2） 衍生品投资情况</w:t>
      </w:r>
      <w:bookmarkEnd w:id="29"/>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 xml:space="preserve">□适用 </w:t>
      </w: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不适用</w:t>
      </w:r>
    </w:p>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公司报告期不存在衍生品投资。</w:t>
      </w:r>
    </w:p>
    <w:p>
      <w:pPr>
        <w:pStyle w:val="3"/>
        <w:spacing w:line="280" w:lineRule="exact"/>
        <w:jc w:val="left"/>
        <w:rPr>
          <w:rFonts w:ascii="Times New Roman" w:hAnsi="Times New Roman" w:cs="Times New Roman"/>
          <w:b/>
          <w:bCs/>
        </w:rPr>
      </w:pPr>
      <w:bookmarkStart w:id="30" w:name="_Toc988919"/>
      <w:r>
        <w:rPr>
          <w:rFonts w:ascii="Times New Roman" w:hAnsi="Times New Roman" w:cs="Times New Roman"/>
          <w:b/>
          <w:bCs/>
        </w:rPr>
        <w:t>5、募集资金使用情况</w:t>
      </w:r>
      <w:bookmarkEnd w:id="30"/>
    </w:p>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适用 □不适用</w:t>
      </w:r>
    </w:p>
    <w:p>
      <w:pPr>
        <w:keepNext/>
        <w:keepLines/>
        <w:spacing w:before="300" w:after="300" w:line="280" w:lineRule="exact"/>
        <w:outlineLvl w:val="3"/>
        <w:rPr>
          <w:rFonts w:ascii="Times New Roman" w:hAnsi="Times New Roman" w:eastAsia="宋体" w:cs="Times New Roman"/>
          <w:b/>
          <w:bCs/>
          <w:sz w:val="18"/>
          <w:szCs w:val="18"/>
        </w:rPr>
      </w:pPr>
      <w:bookmarkStart w:id="31" w:name="_Toc988920"/>
      <w:r>
        <w:rPr>
          <w:rFonts w:ascii="Times New Roman" w:hAnsi="Times New Roman" w:eastAsia="宋体" w:cs="Times New Roman"/>
          <w:b/>
          <w:bCs/>
          <w:sz w:val="18"/>
          <w:szCs w:val="18"/>
        </w:rPr>
        <w:t>（1） 募集资金总体使用情况</w:t>
      </w:r>
      <w:bookmarkEnd w:id="31"/>
    </w:p>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适用 □不适用</w:t>
      </w:r>
    </w:p>
    <w:p>
      <w:pPr>
        <w:spacing w:before="120" w:after="12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单位：万元</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76"/>
        <w:gridCol w:w="876"/>
        <w:gridCol w:w="876"/>
        <w:gridCol w:w="876"/>
        <w:gridCol w:w="1032"/>
        <w:gridCol w:w="720"/>
        <w:gridCol w:w="876"/>
        <w:gridCol w:w="814"/>
        <w:gridCol w:w="938"/>
        <w:gridCol w:w="1047"/>
        <w:gridCol w:w="70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募集年份</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募集方式</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募集资金总额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本期已使用募集资金总额</w:t>
            </w:r>
          </w:p>
        </w:tc>
        <w:tc>
          <w:tcPr>
            <w:tcW w:w="103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已累计使用募集资金总额</w:t>
            </w:r>
          </w:p>
        </w:tc>
        <w:tc>
          <w:tcPr>
            <w:tcW w:w="7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报告期内变更用途的募集资金总额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累计变更用途的募集资金总额</w:t>
            </w:r>
          </w:p>
        </w:tc>
        <w:tc>
          <w:tcPr>
            <w:tcW w:w="81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累计变更用途的募集资金总额比例</w:t>
            </w:r>
          </w:p>
        </w:tc>
        <w:tc>
          <w:tcPr>
            <w:tcW w:w="93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尚未使用募集资金总额</w:t>
            </w:r>
          </w:p>
        </w:tc>
        <w:tc>
          <w:tcPr>
            <w:tcW w:w="104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尚未使用募集资金用途及去向</w:t>
            </w:r>
          </w:p>
        </w:tc>
        <w:tc>
          <w:tcPr>
            <w:tcW w:w="70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闲置两年以上募集资金金额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2020年</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公开发行可转换公司债券</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95,000</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1,727.03</w:t>
            </w:r>
          </w:p>
        </w:tc>
        <w:tc>
          <w:tcPr>
            <w:tcW w:w="103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55,981.95</w:t>
            </w:r>
          </w:p>
        </w:tc>
        <w:tc>
          <w:tcPr>
            <w:tcW w:w="7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81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93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40,233.92</w:t>
            </w:r>
          </w:p>
        </w:tc>
        <w:tc>
          <w:tcPr>
            <w:tcW w:w="104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（1）暂时补充流动资金40,217.80万元；（2）其余未使用的募集资金人民币16.12万元存放于募集资金专用账户。</w:t>
            </w:r>
          </w:p>
        </w:tc>
        <w:tc>
          <w:tcPr>
            <w:tcW w:w="70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2021年</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非公开发行股票</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62,040</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846.68</w:t>
            </w:r>
          </w:p>
        </w:tc>
        <w:tc>
          <w:tcPr>
            <w:tcW w:w="103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49,687.5</w:t>
            </w:r>
          </w:p>
        </w:tc>
        <w:tc>
          <w:tcPr>
            <w:tcW w:w="7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81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93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11,404.38</w:t>
            </w:r>
          </w:p>
        </w:tc>
        <w:tc>
          <w:tcPr>
            <w:tcW w:w="104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（1）暂时补充流动资金11379.56万元；</w:t>
            </w:r>
          </w:p>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（2）其余未使用的募集资金人民币24.82万元存放于募集资金专用账户。</w:t>
            </w:r>
          </w:p>
        </w:tc>
        <w:tc>
          <w:tcPr>
            <w:tcW w:w="70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合计</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157,040</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2,573.71</w:t>
            </w:r>
          </w:p>
        </w:tc>
        <w:tc>
          <w:tcPr>
            <w:tcW w:w="103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105,669.45</w:t>
            </w:r>
          </w:p>
        </w:tc>
        <w:tc>
          <w:tcPr>
            <w:tcW w:w="7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w:t>
            </w:r>
          </w:p>
        </w:tc>
        <w:tc>
          <w:tcPr>
            <w:tcW w:w="81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93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51,638.3</w:t>
            </w:r>
          </w:p>
        </w:tc>
        <w:tc>
          <w:tcPr>
            <w:tcW w:w="104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w:t>
            </w:r>
          </w:p>
        </w:tc>
        <w:tc>
          <w:tcPr>
            <w:tcW w:w="70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11"/>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募集资金总体使用情况说明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11"/>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详见“第三节，六、5，募集资金承诺项目情况”以及公司同日披露于指定信息披露媒体巨潮资讯网（http://www.cninfo.com.cn） 的《山东龙大美食股份有限公司关于募集资金年度存放与实际使用情况的专项报告》。</w:t>
            </w:r>
          </w:p>
        </w:tc>
      </w:tr>
    </w:tbl>
    <w:p>
      <w:pPr>
        <w:keepNext/>
        <w:keepLines/>
        <w:spacing w:before="300" w:after="300" w:line="280" w:lineRule="exact"/>
        <w:outlineLvl w:val="3"/>
        <w:rPr>
          <w:rFonts w:ascii="Times New Roman" w:hAnsi="Times New Roman" w:eastAsia="宋体" w:cs="Times New Roman"/>
          <w:b/>
          <w:bCs/>
          <w:sz w:val="18"/>
          <w:szCs w:val="18"/>
        </w:rPr>
      </w:pPr>
      <w:bookmarkStart w:id="32" w:name="_Toc988921"/>
      <w:r>
        <w:rPr>
          <w:rFonts w:ascii="Times New Roman" w:hAnsi="Times New Roman" w:eastAsia="宋体" w:cs="Times New Roman"/>
          <w:b/>
          <w:bCs/>
          <w:sz w:val="18"/>
          <w:szCs w:val="18"/>
        </w:rPr>
        <w:t>（2） 募集资金承诺项目情况</w:t>
      </w:r>
      <w:bookmarkEnd w:id="32"/>
    </w:p>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适用 □不适用</w:t>
      </w:r>
    </w:p>
    <w:p>
      <w:pPr>
        <w:spacing w:before="120" w:after="12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单位：万元</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93"/>
        <w:gridCol w:w="759"/>
        <w:gridCol w:w="876"/>
        <w:gridCol w:w="876"/>
        <w:gridCol w:w="876"/>
        <w:gridCol w:w="876"/>
        <w:gridCol w:w="981"/>
        <w:gridCol w:w="851"/>
        <w:gridCol w:w="850"/>
        <w:gridCol w:w="822"/>
        <w:gridCol w:w="87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9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承诺投资项目和超募资金投向</w:t>
            </w:r>
          </w:p>
        </w:tc>
        <w:tc>
          <w:tcPr>
            <w:tcW w:w="75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是否已变更项目(含部分变更)</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募集资金承诺投资总额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调整后投资总额(1)</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本报告期投入金额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截至期末累计投入金额(2)</w:t>
            </w:r>
          </w:p>
        </w:tc>
        <w:tc>
          <w:tcPr>
            <w:tcW w:w="98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截至期末投资进度(3)＝(2)/(1)</w:t>
            </w:r>
          </w:p>
        </w:tc>
        <w:tc>
          <w:tcPr>
            <w:tcW w:w="85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项目达到预定可使用状态日期</w:t>
            </w:r>
          </w:p>
        </w:tc>
        <w:tc>
          <w:tcPr>
            <w:tcW w:w="85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本报告期实现的效益</w:t>
            </w:r>
          </w:p>
        </w:tc>
        <w:tc>
          <w:tcPr>
            <w:tcW w:w="82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是否达到预计效益</w:t>
            </w:r>
          </w:p>
        </w:tc>
        <w:tc>
          <w:tcPr>
            <w:tcW w:w="87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项目可行性是否发生重大变化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11"/>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承诺投资项目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9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1、补充流动资金</w:t>
            </w:r>
          </w:p>
        </w:tc>
        <w:tc>
          <w:tcPr>
            <w:tcW w:w="759"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否</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28,500</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28,500</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28,500</w:t>
            </w:r>
          </w:p>
        </w:tc>
        <w:tc>
          <w:tcPr>
            <w:tcW w:w="98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100.00%</w:t>
            </w:r>
          </w:p>
        </w:tc>
        <w:tc>
          <w:tcPr>
            <w:tcW w:w="85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p>
        </w:tc>
        <w:tc>
          <w:tcPr>
            <w:tcW w:w="85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w:t>
            </w:r>
          </w:p>
        </w:tc>
        <w:tc>
          <w:tcPr>
            <w:tcW w:w="822"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不适用</w:t>
            </w:r>
          </w:p>
        </w:tc>
        <w:tc>
          <w:tcPr>
            <w:tcW w:w="879"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9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2、安丘市石埠子镇新建年出栏50万头商品猪项目（晏峪猪场）</w:t>
            </w:r>
          </w:p>
        </w:tc>
        <w:tc>
          <w:tcPr>
            <w:tcW w:w="759"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否</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66,500</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66,500</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1,727.03</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27,481.95</w:t>
            </w:r>
          </w:p>
        </w:tc>
        <w:tc>
          <w:tcPr>
            <w:tcW w:w="98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41.33%</w:t>
            </w:r>
          </w:p>
        </w:tc>
        <w:tc>
          <w:tcPr>
            <w:tcW w:w="85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2022年12月31日</w:t>
            </w:r>
          </w:p>
        </w:tc>
        <w:tc>
          <w:tcPr>
            <w:tcW w:w="85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-3,798.21</w:t>
            </w:r>
          </w:p>
        </w:tc>
        <w:tc>
          <w:tcPr>
            <w:tcW w:w="822"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否</w:t>
            </w:r>
          </w:p>
        </w:tc>
        <w:tc>
          <w:tcPr>
            <w:tcW w:w="879"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9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3、补充流动资金</w:t>
            </w:r>
          </w:p>
        </w:tc>
        <w:tc>
          <w:tcPr>
            <w:tcW w:w="759"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否</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45,000</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18,612</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18,612</w:t>
            </w:r>
          </w:p>
        </w:tc>
        <w:tc>
          <w:tcPr>
            <w:tcW w:w="98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100.00%</w:t>
            </w:r>
          </w:p>
        </w:tc>
        <w:tc>
          <w:tcPr>
            <w:tcW w:w="85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p>
        </w:tc>
        <w:tc>
          <w:tcPr>
            <w:tcW w:w="85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w:t>
            </w:r>
          </w:p>
        </w:tc>
        <w:tc>
          <w:tcPr>
            <w:tcW w:w="822"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不适用</w:t>
            </w:r>
          </w:p>
        </w:tc>
        <w:tc>
          <w:tcPr>
            <w:tcW w:w="879"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9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4、山东新建年出栏生猪66万头养殖项目（苟各庄猪场、马台石猪场）</w:t>
            </w:r>
          </w:p>
        </w:tc>
        <w:tc>
          <w:tcPr>
            <w:tcW w:w="759"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否</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105,000</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42,466.64</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846.68</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31,075.5</w:t>
            </w:r>
          </w:p>
        </w:tc>
        <w:tc>
          <w:tcPr>
            <w:tcW w:w="98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73.18%</w:t>
            </w:r>
          </w:p>
        </w:tc>
        <w:tc>
          <w:tcPr>
            <w:tcW w:w="85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2022年08月31日</w:t>
            </w:r>
          </w:p>
        </w:tc>
        <w:tc>
          <w:tcPr>
            <w:tcW w:w="85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-4,866.5</w:t>
            </w:r>
          </w:p>
        </w:tc>
        <w:tc>
          <w:tcPr>
            <w:tcW w:w="822"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否</w:t>
            </w:r>
          </w:p>
        </w:tc>
        <w:tc>
          <w:tcPr>
            <w:tcW w:w="879"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9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承诺投资项目小计</w:t>
            </w:r>
          </w:p>
        </w:tc>
        <w:tc>
          <w:tcPr>
            <w:tcW w:w="75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245,000</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156,078.64</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2,573.71</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105,669.45</w:t>
            </w:r>
          </w:p>
        </w:tc>
        <w:tc>
          <w:tcPr>
            <w:tcW w:w="98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w:t>
            </w:r>
          </w:p>
        </w:tc>
        <w:tc>
          <w:tcPr>
            <w:tcW w:w="85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w:t>
            </w:r>
          </w:p>
        </w:tc>
        <w:tc>
          <w:tcPr>
            <w:tcW w:w="85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-8,664.71</w:t>
            </w:r>
          </w:p>
        </w:tc>
        <w:tc>
          <w:tcPr>
            <w:tcW w:w="82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w:t>
            </w:r>
          </w:p>
        </w:tc>
        <w:tc>
          <w:tcPr>
            <w:tcW w:w="87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11"/>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超募资金投向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9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不适用</w:t>
            </w:r>
          </w:p>
        </w:tc>
        <w:tc>
          <w:tcPr>
            <w:tcW w:w="759"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98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85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p>
        </w:tc>
        <w:tc>
          <w:tcPr>
            <w:tcW w:w="85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822"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p>
        </w:tc>
        <w:tc>
          <w:tcPr>
            <w:tcW w:w="879"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9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合计</w:t>
            </w:r>
          </w:p>
        </w:tc>
        <w:tc>
          <w:tcPr>
            <w:tcW w:w="75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245,000</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156,078.64</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2,573.71</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105,669.45</w:t>
            </w:r>
          </w:p>
        </w:tc>
        <w:tc>
          <w:tcPr>
            <w:tcW w:w="98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w:t>
            </w:r>
          </w:p>
        </w:tc>
        <w:tc>
          <w:tcPr>
            <w:tcW w:w="85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w:t>
            </w:r>
          </w:p>
        </w:tc>
        <w:tc>
          <w:tcPr>
            <w:tcW w:w="85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-8,664.71</w:t>
            </w:r>
          </w:p>
        </w:tc>
        <w:tc>
          <w:tcPr>
            <w:tcW w:w="82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w:t>
            </w:r>
          </w:p>
        </w:tc>
        <w:tc>
          <w:tcPr>
            <w:tcW w:w="87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9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分项目说明未达到计划进度、预计收益的情况和原因（含“是否达到预计效益”选择“不适用”的原因）</w:t>
            </w:r>
          </w:p>
        </w:tc>
        <w:tc>
          <w:tcPr>
            <w:tcW w:w="8646" w:type="dxa"/>
            <w:gridSpan w:val="10"/>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1、补充流动资金：</w:t>
            </w:r>
          </w:p>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补充流动资金无法单独核算效益，但通过增加公司营运资金，提高公司资产运转能力和支付能力，提高公司经营抗风险能力，对公司经营业绩产生积极影响，从而间接提高公司效益。</w:t>
            </w:r>
          </w:p>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2、安丘市石埠子镇新建年出栏50万头商品猪项目：</w:t>
            </w:r>
          </w:p>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受行业周期的影响，项目进展放缓,工程2022年下半年部分完工，陆续投产，同时猪只培育生产需一定周期，因此项目尚未达到预计收益。</w:t>
            </w:r>
          </w:p>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3、山东新建年出栏生猪66万头养殖项目：</w:t>
            </w:r>
          </w:p>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受行业周期的影响，项目进展放缓,工程2022年下半年部分完工，陆续投产，同时猪只培育生产需一定周期，因此项目尚未达到预计收益。</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9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项目可行性发生重大变化的情况说明</w:t>
            </w:r>
          </w:p>
        </w:tc>
        <w:tc>
          <w:tcPr>
            <w:tcW w:w="8646" w:type="dxa"/>
            <w:gridSpan w:val="10"/>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不适用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9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超募资金的金额、用途及使用进展情况</w:t>
            </w:r>
          </w:p>
        </w:tc>
        <w:tc>
          <w:tcPr>
            <w:tcW w:w="8646" w:type="dxa"/>
            <w:gridSpan w:val="10"/>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不适用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9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募集资金投资项目实施地点变更情况</w:t>
            </w:r>
          </w:p>
        </w:tc>
        <w:tc>
          <w:tcPr>
            <w:tcW w:w="8646" w:type="dxa"/>
            <w:gridSpan w:val="10"/>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不适用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9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募集资金投资项目实施方式调整情况</w:t>
            </w:r>
          </w:p>
        </w:tc>
        <w:tc>
          <w:tcPr>
            <w:tcW w:w="8646" w:type="dxa"/>
            <w:gridSpan w:val="10"/>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不适用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9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募集资金投资项目先期投入及置换情况</w:t>
            </w:r>
          </w:p>
        </w:tc>
        <w:tc>
          <w:tcPr>
            <w:tcW w:w="8646" w:type="dxa"/>
            <w:gridSpan w:val="10"/>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适用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9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8646" w:type="dxa"/>
            <w:gridSpan w:val="10"/>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2020年8月20日，经公司董事会审议通过，公司以募集资金3,581.42万元对先期投入的3,581.42万元自筹资金进行了置换。</w:t>
            </w:r>
          </w:p>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该事项已经中审众环会计师事务所（特殊普通合伙）于2020年8月4日出具众环专字[2020]280025号专项报告予以鉴证。</w:t>
            </w:r>
          </w:p>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2021年8月12日，公司第四届董事会第三十四次会议审议通过了《关于使用非公开发行股票募集资金置换预先投入募投项目自筹资金的议案》，同意公司使用非公开发行股票募集资金置换已投入募集资金项目的自筹资金，合计金额为12,210.29万元。</w:t>
            </w:r>
          </w:p>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该事项已经中审众环会计师事务所（特殊普通合伙）出具《山东龙大肉食品股份有限公司以自筹资金预先投入募集资金投资项目情况报告的鉴证报告》（众环专字（2021）2800021号）予以鉴证。</w:t>
            </w:r>
          </w:p>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公司独立董事、监事会及保荐机构已分别对上述事项发表同意意见。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9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用闲置募集资金暂时补充流动资金情况</w:t>
            </w:r>
          </w:p>
        </w:tc>
        <w:tc>
          <w:tcPr>
            <w:tcW w:w="8646" w:type="dxa"/>
            <w:gridSpan w:val="10"/>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适用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9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8646" w:type="dxa"/>
            <w:gridSpan w:val="10"/>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2021年8月12日，经公司第四届董事会第三十四次会议审议通过了《关于使用部分闲置募集资金暂时补充流动资金的议案》，公司决定使用可转换债券部分闲置募集资金46,247.96万元（含本数）暂时补充流动资金，该笔资金仅限于公司主营业务相关的生产经营使用，使用期限自董事会审议通过之日起十二个月内，在决议有效期内上述额度可以滚动使用，到期后将及时归还到公司募集资金专项存储账户。</w:t>
            </w:r>
          </w:p>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截至2022年8月5日，公司已按规定将上述用于暂时补充流动资金的募集资金全部归还至募集资金专项账户，使用期限均未超过12个月。</w:t>
            </w:r>
          </w:p>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2022年8月12日，经公司第五届董事会第五次会议审议通过了《关于继续使用部分闲置募集资金暂时补充流动资金的议案》，公司决定使用可转换债券部分闲置募集资金40,572.67万元（含本数）暂时补充流动资金，该笔资金仅限于公司主营业务相关的生产经营使用，使用期限自董事会审议通过之日起十二个月内，到期前将及时归还到公司募集资金专项存储账户。在此期间如遇募集资金专户余额不能满足募集资金正常支付的情况，公司将根据实际需要将已暂时补充流动资金的募集资金归还至募集资金专户。</w:t>
            </w:r>
          </w:p>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2021年8月12日，经公司第四届董事会第三十四次会议审议通过了《关于使用部分闲置募集资金暂时补充流动资金的议案》，公司决定使用非公开发行股票部分闲置募集资金28,256.35万元（含本数）暂时补充流动资金，该笔资金仅限于公司主营业务相关的生产经营使用，使用期限自董事会审议通过之日起十二个月内，在决议有效期内上述额度可以滚动使用，到期后将及时归还到公司募集资金专项存储账户。</w:t>
            </w:r>
          </w:p>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截至2022年8月5日，公司已按规定将上述用于暂时补充流动资金的募集资金全部归还至募集资金专项账户，使用期限均未超过12个月。</w:t>
            </w:r>
          </w:p>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2022年8月12日，经公司第五届董事会第五次会议审议通过了《关于继续使用部分闲置募集资金暂时补充流动资金的议案》，公司决定使用非公开发行股票部分闲置募集资金补充流动资金的金额不超过 12,182.35（含本数）暂时补充流动资金，该笔资金仅限于公司主营业务相关的生产经营使用，使用期限自董事会审议通过之日起十二个月内，到期前将及时归还到公司募集资金专项存储账户。在此期间如遇募集资金专户余额不能满足募集资金正常支付的情况，公司将根据实际需要将已暂时补充流动资金的募集资金归还至募集资金专户。</w:t>
            </w:r>
          </w:p>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截至2023年8月11日，公司已按规定将上述用于暂时补充流动资金的募集资金全部归还至募集资金专项账户，使用期限均未超过12个月。</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9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项目实施出现募集资金结余的金额及原因</w:t>
            </w:r>
          </w:p>
        </w:tc>
        <w:tc>
          <w:tcPr>
            <w:tcW w:w="8646" w:type="dxa"/>
            <w:gridSpan w:val="10"/>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不适用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9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尚未使用的募集资金用途及去向</w:t>
            </w:r>
          </w:p>
        </w:tc>
        <w:tc>
          <w:tcPr>
            <w:tcW w:w="8646" w:type="dxa"/>
            <w:gridSpan w:val="10"/>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公开发行可转换公司债券尚未使用的募集资金主要用于以下用途：</w:t>
            </w:r>
          </w:p>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（1）暂时补充流动资金40,217.80万元；</w:t>
            </w:r>
          </w:p>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（2）其余未使用的募集资金人民币16.12万元存放于募集资金专用账户。</w:t>
            </w:r>
          </w:p>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非公开发行股票尚未使用的募集资金主要用于以下用途：</w:t>
            </w:r>
          </w:p>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（1）暂时补充流动资金11,379.56万元；</w:t>
            </w:r>
          </w:p>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（2）其余未使用的募集资金人民币24.82万元存放于募集资金专用账户。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9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募集资金使用及披露中存在的问题或其他情况</w:t>
            </w:r>
          </w:p>
        </w:tc>
        <w:tc>
          <w:tcPr>
            <w:tcW w:w="8646" w:type="dxa"/>
            <w:gridSpan w:val="10"/>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无</w:t>
            </w:r>
          </w:p>
        </w:tc>
      </w:tr>
    </w:tbl>
    <w:p>
      <w:pPr>
        <w:keepNext/>
        <w:keepLines/>
        <w:spacing w:before="300" w:after="300" w:line="280" w:lineRule="exact"/>
        <w:outlineLvl w:val="3"/>
        <w:rPr>
          <w:rFonts w:ascii="Times New Roman" w:hAnsi="Times New Roman" w:eastAsia="宋体" w:cs="Times New Roman"/>
          <w:b/>
          <w:bCs/>
          <w:sz w:val="18"/>
          <w:szCs w:val="18"/>
        </w:rPr>
      </w:pPr>
      <w:bookmarkStart w:id="33" w:name="_Toc988922"/>
      <w:r>
        <w:rPr>
          <w:rFonts w:ascii="Times New Roman" w:hAnsi="Times New Roman" w:eastAsia="宋体" w:cs="Times New Roman"/>
          <w:b/>
          <w:bCs/>
          <w:sz w:val="18"/>
          <w:szCs w:val="18"/>
        </w:rPr>
        <w:t>（3） 募集资金变更项目情况</w:t>
      </w:r>
      <w:bookmarkEnd w:id="33"/>
    </w:p>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 xml:space="preserve">□适用 </w:t>
      </w: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不适用</w:t>
      </w:r>
    </w:p>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公司报告期不存在募集资金变更项目情况。</w:t>
      </w:r>
    </w:p>
    <w:p>
      <w:pPr>
        <w:pStyle w:val="2"/>
        <w:spacing w:before="300" w:after="300" w:line="320" w:lineRule="exact"/>
        <w:rPr>
          <w:rFonts w:ascii="Times New Roman" w:hAnsi="Times New Roman" w:eastAsia="宋体" w:cs="Times New Roman"/>
          <w:b/>
          <w:bCs/>
          <w:sz w:val="24"/>
          <w:szCs w:val="24"/>
        </w:rPr>
      </w:pPr>
      <w:bookmarkStart w:id="34" w:name="_Toc988923"/>
      <w:r>
        <w:rPr>
          <w:rFonts w:ascii="Times New Roman" w:hAnsi="Times New Roman" w:eastAsia="宋体" w:cs="Times New Roman"/>
          <w:b/>
          <w:bCs/>
          <w:sz w:val="24"/>
          <w:szCs w:val="24"/>
        </w:rPr>
        <w:t>七、重大资产和股权出售</w:t>
      </w:r>
      <w:bookmarkEnd w:id="34"/>
    </w:p>
    <w:p>
      <w:pPr>
        <w:pStyle w:val="3"/>
        <w:spacing w:line="280" w:lineRule="exact"/>
        <w:jc w:val="left"/>
        <w:rPr>
          <w:rFonts w:ascii="Times New Roman" w:hAnsi="Times New Roman" w:cs="Times New Roman"/>
          <w:b/>
          <w:bCs/>
        </w:rPr>
      </w:pPr>
      <w:bookmarkStart w:id="35" w:name="_Toc988924"/>
      <w:r>
        <w:rPr>
          <w:rFonts w:ascii="Times New Roman" w:hAnsi="Times New Roman" w:cs="Times New Roman"/>
          <w:b/>
          <w:bCs/>
        </w:rPr>
        <w:t>1、出售重大资产情况</w:t>
      </w:r>
      <w:bookmarkEnd w:id="35"/>
    </w:p>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 xml:space="preserve">□适用 </w:t>
      </w: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不适用</w:t>
      </w:r>
    </w:p>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公司报告期未出售重大资产。</w:t>
      </w:r>
    </w:p>
    <w:p>
      <w:pPr>
        <w:pStyle w:val="3"/>
        <w:spacing w:line="280" w:lineRule="exact"/>
        <w:jc w:val="left"/>
        <w:rPr>
          <w:rFonts w:ascii="Times New Roman" w:hAnsi="Times New Roman" w:cs="Times New Roman"/>
          <w:b/>
          <w:bCs/>
        </w:rPr>
      </w:pPr>
      <w:bookmarkStart w:id="36" w:name="_Toc988925"/>
      <w:r>
        <w:rPr>
          <w:rFonts w:ascii="Times New Roman" w:hAnsi="Times New Roman" w:cs="Times New Roman"/>
          <w:b/>
          <w:bCs/>
        </w:rPr>
        <w:t>2、出售重大股权情况</w:t>
      </w:r>
      <w:bookmarkEnd w:id="36"/>
    </w:p>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 xml:space="preserve">□适用 </w:t>
      </w: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不适用</w:t>
      </w:r>
    </w:p>
    <w:p>
      <w:pPr>
        <w:pStyle w:val="2"/>
        <w:spacing w:before="300" w:after="300" w:line="320" w:lineRule="exact"/>
        <w:rPr>
          <w:rFonts w:ascii="Times New Roman" w:hAnsi="Times New Roman" w:eastAsia="宋体" w:cs="Times New Roman"/>
          <w:b/>
          <w:bCs/>
          <w:sz w:val="24"/>
          <w:szCs w:val="24"/>
        </w:rPr>
      </w:pPr>
      <w:bookmarkStart w:id="37" w:name="_Toc988926"/>
      <w:r>
        <w:rPr>
          <w:rFonts w:ascii="Times New Roman" w:hAnsi="Times New Roman" w:eastAsia="宋体" w:cs="Times New Roman"/>
          <w:b/>
          <w:bCs/>
          <w:sz w:val="24"/>
          <w:szCs w:val="24"/>
        </w:rPr>
        <w:t>八、主要控股参股公司分析</w:t>
      </w:r>
      <w:bookmarkEnd w:id="37"/>
    </w:p>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适用 □不适用</w:t>
      </w:r>
    </w:p>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主要子公司及对公司净利润影响达10%以上的参股公司情况</w:t>
      </w:r>
    </w:p>
    <w:p>
      <w:pPr>
        <w:spacing w:before="120" w:after="12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9"/>
        <w:tblW w:w="11300" w:type="dxa"/>
        <w:tblInd w:w="-544"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58"/>
        <w:gridCol w:w="1025"/>
        <w:gridCol w:w="950"/>
        <w:gridCol w:w="942"/>
        <w:gridCol w:w="1350"/>
        <w:gridCol w:w="1500"/>
        <w:gridCol w:w="1500"/>
        <w:gridCol w:w="1317"/>
        <w:gridCol w:w="135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5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公司名称</w:t>
            </w:r>
          </w:p>
        </w:tc>
        <w:tc>
          <w:tcPr>
            <w:tcW w:w="102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公司类型</w:t>
            </w:r>
          </w:p>
        </w:tc>
        <w:tc>
          <w:tcPr>
            <w:tcW w:w="95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主要业务</w:t>
            </w:r>
          </w:p>
        </w:tc>
        <w:tc>
          <w:tcPr>
            <w:tcW w:w="94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注册资本</w:t>
            </w:r>
          </w:p>
        </w:tc>
        <w:tc>
          <w:tcPr>
            <w:tcW w:w="135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总资产</w:t>
            </w:r>
          </w:p>
        </w:tc>
        <w:tc>
          <w:tcPr>
            <w:tcW w:w="15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净资产</w:t>
            </w:r>
          </w:p>
        </w:tc>
        <w:tc>
          <w:tcPr>
            <w:tcW w:w="15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营业收入</w:t>
            </w:r>
          </w:p>
        </w:tc>
        <w:tc>
          <w:tcPr>
            <w:tcW w:w="131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营业利润</w:t>
            </w:r>
          </w:p>
        </w:tc>
        <w:tc>
          <w:tcPr>
            <w:tcW w:w="135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净利润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5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青岛中和盛杰食品有限公司</w:t>
            </w:r>
          </w:p>
        </w:tc>
        <w:tc>
          <w:tcPr>
            <w:tcW w:w="1025"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子公司</w:t>
            </w:r>
          </w:p>
        </w:tc>
        <w:tc>
          <w:tcPr>
            <w:tcW w:w="95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进口贸易</w:t>
            </w:r>
          </w:p>
        </w:tc>
        <w:tc>
          <w:tcPr>
            <w:tcW w:w="942"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2,000.00</w:t>
            </w:r>
          </w:p>
        </w:tc>
        <w:tc>
          <w:tcPr>
            <w:tcW w:w="135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601,969,814.87</w:t>
            </w:r>
          </w:p>
        </w:tc>
        <w:tc>
          <w:tcPr>
            <w:tcW w:w="150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-276,374,489.46</w:t>
            </w:r>
          </w:p>
        </w:tc>
        <w:tc>
          <w:tcPr>
            <w:tcW w:w="150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643,664,521.02</w:t>
            </w:r>
          </w:p>
        </w:tc>
        <w:tc>
          <w:tcPr>
            <w:tcW w:w="131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-76,550,259.66</w:t>
            </w:r>
          </w:p>
        </w:tc>
        <w:tc>
          <w:tcPr>
            <w:tcW w:w="135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-76,493,216.86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5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河南龙大牧原肉食品有限公司</w:t>
            </w:r>
          </w:p>
        </w:tc>
        <w:tc>
          <w:tcPr>
            <w:tcW w:w="1025"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子公司</w:t>
            </w:r>
          </w:p>
        </w:tc>
        <w:tc>
          <w:tcPr>
            <w:tcW w:w="95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生猪屠宰</w:t>
            </w:r>
          </w:p>
        </w:tc>
        <w:tc>
          <w:tcPr>
            <w:tcW w:w="942"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15,000.00</w:t>
            </w:r>
          </w:p>
        </w:tc>
        <w:tc>
          <w:tcPr>
            <w:tcW w:w="135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576,710,157.21</w:t>
            </w:r>
          </w:p>
        </w:tc>
        <w:tc>
          <w:tcPr>
            <w:tcW w:w="150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326,910,395.64</w:t>
            </w:r>
          </w:p>
        </w:tc>
        <w:tc>
          <w:tcPr>
            <w:tcW w:w="150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1,273,303,780.48</w:t>
            </w:r>
          </w:p>
        </w:tc>
        <w:tc>
          <w:tcPr>
            <w:tcW w:w="131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-1,275,282.36</w:t>
            </w:r>
          </w:p>
        </w:tc>
        <w:tc>
          <w:tcPr>
            <w:tcW w:w="135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-1,264,958.31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5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潍坊振祥食品有限公司</w:t>
            </w:r>
          </w:p>
        </w:tc>
        <w:tc>
          <w:tcPr>
            <w:tcW w:w="1025"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子公司</w:t>
            </w:r>
          </w:p>
        </w:tc>
        <w:tc>
          <w:tcPr>
            <w:tcW w:w="95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生猪屠宰</w:t>
            </w:r>
          </w:p>
        </w:tc>
        <w:tc>
          <w:tcPr>
            <w:tcW w:w="942"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7,000.00</w:t>
            </w:r>
          </w:p>
        </w:tc>
        <w:tc>
          <w:tcPr>
            <w:tcW w:w="135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688,927,271.32</w:t>
            </w:r>
          </w:p>
        </w:tc>
        <w:tc>
          <w:tcPr>
            <w:tcW w:w="150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172,202,567.75</w:t>
            </w:r>
          </w:p>
        </w:tc>
        <w:tc>
          <w:tcPr>
            <w:tcW w:w="150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1,380,104,566.41</w:t>
            </w:r>
          </w:p>
        </w:tc>
        <w:tc>
          <w:tcPr>
            <w:tcW w:w="131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-2,284,554.62</w:t>
            </w:r>
          </w:p>
        </w:tc>
        <w:tc>
          <w:tcPr>
            <w:tcW w:w="135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-2,344,816.95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5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蓬莱富龙肉食品有限公司</w:t>
            </w:r>
          </w:p>
        </w:tc>
        <w:tc>
          <w:tcPr>
            <w:tcW w:w="1025"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子公司</w:t>
            </w:r>
          </w:p>
        </w:tc>
        <w:tc>
          <w:tcPr>
            <w:tcW w:w="95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生猪屠宰</w:t>
            </w:r>
          </w:p>
        </w:tc>
        <w:tc>
          <w:tcPr>
            <w:tcW w:w="942"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1,400.00</w:t>
            </w:r>
          </w:p>
        </w:tc>
        <w:tc>
          <w:tcPr>
            <w:tcW w:w="135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91,613,000.79</w:t>
            </w:r>
          </w:p>
        </w:tc>
        <w:tc>
          <w:tcPr>
            <w:tcW w:w="150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50,280,859.89</w:t>
            </w:r>
          </w:p>
        </w:tc>
        <w:tc>
          <w:tcPr>
            <w:tcW w:w="150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229,803,771.48</w:t>
            </w:r>
          </w:p>
        </w:tc>
        <w:tc>
          <w:tcPr>
            <w:tcW w:w="131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4,031,044.75</w:t>
            </w:r>
          </w:p>
        </w:tc>
        <w:tc>
          <w:tcPr>
            <w:tcW w:w="135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4,029,027.75</w:t>
            </w:r>
          </w:p>
        </w:tc>
      </w:tr>
    </w:tbl>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报告期内取得和处置子公司的情况</w:t>
      </w:r>
    </w:p>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适用 □不适用</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公司名称</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报告期内取得和处置子公司方式</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对整体生产经营和业绩的影响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龙大美食(北京)食品科技有限公司</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新设</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于2023年3月15日纳入合并范围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龙大美食(上海)食品科技有限公司</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新设</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于2023年3月28日纳入合并范围</w:t>
            </w:r>
          </w:p>
        </w:tc>
      </w:tr>
    </w:tbl>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主要控股参股公司情况说明</w:t>
      </w:r>
    </w:p>
    <w:p>
      <w:pPr>
        <w:rPr>
          <w:rFonts w:ascii="Times New Roman" w:hAnsi="Times New Roman" w:cs="Times New Roman"/>
        </w:rPr>
      </w:pPr>
    </w:p>
    <w:p>
      <w:pPr>
        <w:pStyle w:val="2"/>
        <w:spacing w:before="300" w:after="300" w:line="320" w:lineRule="exact"/>
        <w:rPr>
          <w:rFonts w:ascii="Times New Roman" w:hAnsi="Times New Roman" w:eastAsia="宋体" w:cs="Times New Roman"/>
          <w:b/>
          <w:bCs/>
          <w:sz w:val="24"/>
          <w:szCs w:val="24"/>
        </w:rPr>
      </w:pPr>
      <w:bookmarkStart w:id="38" w:name="_Toc988927"/>
      <w:r>
        <w:rPr>
          <w:rFonts w:ascii="Times New Roman" w:hAnsi="Times New Roman" w:eastAsia="宋体" w:cs="Times New Roman"/>
          <w:b/>
          <w:bCs/>
          <w:sz w:val="24"/>
          <w:szCs w:val="24"/>
        </w:rPr>
        <w:t>九、公司控制的结构化主体情况</w:t>
      </w:r>
      <w:bookmarkEnd w:id="38"/>
    </w:p>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 xml:space="preserve">□适用 </w:t>
      </w: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不适用</w:t>
      </w:r>
    </w:p>
    <w:p>
      <w:pPr>
        <w:pStyle w:val="2"/>
        <w:spacing w:before="300" w:after="300" w:line="320" w:lineRule="exact"/>
        <w:rPr>
          <w:rFonts w:ascii="Times New Roman" w:hAnsi="Times New Roman" w:eastAsia="宋体" w:cs="Times New Roman"/>
          <w:b/>
          <w:bCs/>
          <w:sz w:val="24"/>
          <w:szCs w:val="24"/>
        </w:rPr>
      </w:pPr>
      <w:bookmarkStart w:id="39" w:name="_Toc988928"/>
      <w:r>
        <w:rPr>
          <w:rFonts w:ascii="Times New Roman" w:hAnsi="Times New Roman" w:eastAsia="宋体" w:cs="Times New Roman"/>
          <w:b/>
          <w:bCs/>
          <w:sz w:val="24"/>
          <w:szCs w:val="24"/>
        </w:rPr>
        <w:t>十、公司面临的风险和应对措施</w:t>
      </w:r>
      <w:bookmarkEnd w:id="39"/>
    </w:p>
    <w:p>
      <w:pPr>
        <w:pStyle w:val="8"/>
        <w:spacing w:before="0" w:beforeAutospacing="0" w:after="0" w:afterAutospacing="0"/>
        <w:rPr>
          <w:rFonts w:ascii="Times New Roman" w:hAnsi="Times New Roman" w:eastAsia="等线" w:cs="Times New Roman"/>
          <w:sz w:val="21"/>
          <w:szCs w:val="21"/>
        </w:rPr>
      </w:pPr>
      <w:r>
        <w:rPr>
          <w:rFonts w:ascii="Times New Roman" w:hAnsi="Times New Roman" w:cs="Times New Roman"/>
          <w:sz w:val="18"/>
          <w:szCs w:val="18"/>
        </w:rPr>
        <w:t>  （一）公司面临的风险</w:t>
      </w:r>
    </w:p>
    <w:p>
      <w:pPr>
        <w:pStyle w:val="8"/>
        <w:spacing w:before="0" w:beforeAutospacing="0" w:after="0" w:afterAutospacing="0"/>
        <w:rPr>
          <w:rFonts w:ascii="Times New Roman" w:hAnsi="Times New Roman" w:eastAsia="等线" w:cs="Times New Roman"/>
          <w:sz w:val="21"/>
          <w:szCs w:val="21"/>
        </w:rPr>
      </w:pPr>
      <w:r>
        <w:rPr>
          <w:rFonts w:ascii="Times New Roman" w:hAnsi="Times New Roman" w:cs="Times New Roman"/>
          <w:sz w:val="18"/>
          <w:szCs w:val="18"/>
        </w:rPr>
        <w:t>  1、发生疫病的风险</w:t>
      </w:r>
    </w:p>
    <w:p>
      <w:pPr>
        <w:pStyle w:val="8"/>
        <w:spacing w:before="0" w:beforeAutospacing="0" w:after="0" w:afterAutospacing="0"/>
        <w:rPr>
          <w:rFonts w:ascii="Times New Roman" w:hAnsi="Times New Roman" w:eastAsia="等线" w:cs="Times New Roman"/>
          <w:sz w:val="21"/>
          <w:szCs w:val="21"/>
        </w:rPr>
      </w:pPr>
      <w:r>
        <w:rPr>
          <w:rFonts w:ascii="Times New Roman" w:hAnsi="Times New Roman" w:cs="Times New Roman"/>
          <w:sz w:val="18"/>
          <w:szCs w:val="18"/>
        </w:rPr>
        <w:t>  公司业务包括食品、屠宰、养殖等，主要原料为生猪，生猪存在发生动物疫病风险。2018年爆发的非洲猪瘟，由于高传染性和高致死率，对生猪养殖行业产生了重大的影响，对生猪养殖场的生物防护体系和管理措施提出了更高的要求。一旦发生类似于非洲猪瘟等疫病，疫病的高传染性和高致死率将导致生猪产量的降低，进而可能会导致市场上的消费者、投资者等产生消极心理，将对公司生猪养殖业务产生严重的不利影响。</w:t>
      </w:r>
    </w:p>
    <w:p>
      <w:pPr>
        <w:pStyle w:val="8"/>
        <w:spacing w:before="0" w:beforeAutospacing="0" w:after="0" w:afterAutospacing="0"/>
        <w:rPr>
          <w:rFonts w:ascii="Times New Roman" w:hAnsi="Times New Roman" w:eastAsia="等线" w:cs="Times New Roman"/>
          <w:sz w:val="21"/>
          <w:szCs w:val="21"/>
        </w:rPr>
      </w:pPr>
      <w:r>
        <w:rPr>
          <w:rFonts w:ascii="Times New Roman" w:hAnsi="Times New Roman" w:cs="Times New Roman"/>
          <w:sz w:val="18"/>
          <w:szCs w:val="18"/>
        </w:rPr>
        <w:t>  2、食品安全风险</w:t>
      </w:r>
    </w:p>
    <w:p>
      <w:pPr>
        <w:pStyle w:val="8"/>
        <w:spacing w:before="0" w:beforeAutospacing="0" w:after="0" w:afterAutospacing="0"/>
        <w:rPr>
          <w:rFonts w:ascii="Times New Roman" w:hAnsi="Times New Roman" w:eastAsia="等线" w:cs="Times New Roman"/>
          <w:sz w:val="21"/>
          <w:szCs w:val="21"/>
        </w:rPr>
      </w:pPr>
      <w:r>
        <w:rPr>
          <w:rFonts w:ascii="Times New Roman" w:hAnsi="Times New Roman" w:cs="Times New Roman"/>
          <w:sz w:val="18"/>
          <w:szCs w:val="18"/>
        </w:rPr>
        <w:t>  近年来，消费者对食品安全的要求与日俱增，食品安全问题也日益受到监管部门和社会舆论的高度关注。虽然国家不断强化食品安全方面的监管，但食品行业分支众多，企业数量庞大，难免存在部分企业不规范运作的情况，若某个食品子行业的个别企业发生严重食品安全事故，也将可能给整个食品行业经营发展造成负面影响。另外，食品的制造、运输、销售是一个漫长的过程，每一个细节都需要严格把控，一旦出现食品安全问题，将对公司的品牌形象以及相关产品的销售造成不良影响。</w:t>
      </w:r>
    </w:p>
    <w:p>
      <w:pPr>
        <w:pStyle w:val="8"/>
        <w:spacing w:before="0" w:beforeAutospacing="0" w:after="0" w:afterAutospacing="0"/>
        <w:rPr>
          <w:rFonts w:ascii="Times New Roman" w:hAnsi="Times New Roman" w:eastAsia="等线" w:cs="Times New Roman"/>
          <w:sz w:val="21"/>
          <w:szCs w:val="21"/>
        </w:rPr>
      </w:pPr>
      <w:r>
        <w:rPr>
          <w:rFonts w:ascii="Times New Roman" w:hAnsi="Times New Roman" w:cs="Times New Roman"/>
          <w:sz w:val="18"/>
          <w:szCs w:val="18"/>
        </w:rPr>
        <w:t>  3、市场开拓风险</w:t>
      </w:r>
    </w:p>
    <w:p>
      <w:pPr>
        <w:pStyle w:val="8"/>
        <w:spacing w:before="0" w:beforeAutospacing="0" w:after="0" w:afterAutospacing="0"/>
        <w:rPr>
          <w:rFonts w:ascii="Times New Roman" w:hAnsi="Times New Roman" w:eastAsia="等线" w:cs="Times New Roman"/>
          <w:sz w:val="21"/>
          <w:szCs w:val="21"/>
        </w:rPr>
      </w:pPr>
      <w:r>
        <w:rPr>
          <w:rFonts w:ascii="Times New Roman" w:hAnsi="Times New Roman" w:cs="Times New Roman"/>
          <w:sz w:val="18"/>
          <w:szCs w:val="18"/>
        </w:rPr>
        <w:t>  在公司战略的指导下，近年来公司加速推进食品业务的发展，并在全国范围内进行了一系列的产能布局，拓展市场，但如今市场竞争激烈，市场竞争格局加速变化，如果公司的市场开拓未取得预期效果，将对公司生产经营产生不利影响。</w:t>
      </w:r>
    </w:p>
    <w:p>
      <w:pPr>
        <w:pStyle w:val="8"/>
        <w:spacing w:before="0" w:beforeAutospacing="0" w:after="0" w:afterAutospacing="0"/>
        <w:rPr>
          <w:rFonts w:ascii="Times New Roman" w:hAnsi="Times New Roman" w:eastAsia="等线" w:cs="Times New Roman"/>
          <w:sz w:val="21"/>
          <w:szCs w:val="21"/>
        </w:rPr>
      </w:pPr>
      <w:r>
        <w:rPr>
          <w:rFonts w:ascii="Times New Roman" w:hAnsi="Times New Roman" w:cs="Times New Roman"/>
          <w:sz w:val="18"/>
          <w:szCs w:val="18"/>
        </w:rPr>
        <w:t>  4、材料价格波动风险</w:t>
      </w:r>
    </w:p>
    <w:p>
      <w:pPr>
        <w:pStyle w:val="8"/>
        <w:spacing w:before="0" w:beforeAutospacing="0" w:after="0" w:afterAutospacing="0"/>
        <w:rPr>
          <w:rFonts w:ascii="Times New Roman" w:hAnsi="Times New Roman" w:eastAsia="等线" w:cs="Times New Roman"/>
          <w:sz w:val="21"/>
          <w:szCs w:val="21"/>
        </w:rPr>
      </w:pPr>
      <w:r>
        <w:rPr>
          <w:rFonts w:ascii="Times New Roman" w:hAnsi="Times New Roman" w:cs="Times New Roman"/>
          <w:sz w:val="18"/>
          <w:szCs w:val="18"/>
        </w:rPr>
        <w:t>  公司材料成本包括包装纸箱、包装袋等，未来各类原料采购价格出现大幅波动，可能导致公司经营成本增加，如果公司不能及时适度调整产品价格并保持合理存货规模，将存在主营业务毛利率波动的风险，从而影响经营业绩稳定性。</w:t>
      </w:r>
    </w:p>
    <w:p>
      <w:pPr>
        <w:pStyle w:val="8"/>
        <w:spacing w:before="0" w:beforeAutospacing="0" w:after="0" w:afterAutospacing="0"/>
        <w:rPr>
          <w:rFonts w:ascii="Times New Roman" w:hAnsi="Times New Roman" w:eastAsia="等线" w:cs="Times New Roman"/>
          <w:sz w:val="21"/>
          <w:szCs w:val="21"/>
        </w:rPr>
      </w:pPr>
      <w:r>
        <w:rPr>
          <w:rFonts w:ascii="Times New Roman" w:hAnsi="Times New Roman" w:cs="Times New Roman"/>
          <w:sz w:val="18"/>
          <w:szCs w:val="18"/>
        </w:rPr>
        <w:t>  5、不可抗力风险</w:t>
      </w:r>
    </w:p>
    <w:p>
      <w:pPr>
        <w:pStyle w:val="8"/>
        <w:spacing w:before="0" w:beforeAutospacing="0" w:after="0" w:afterAutospacing="0"/>
        <w:rPr>
          <w:rFonts w:ascii="Times New Roman" w:hAnsi="Times New Roman" w:eastAsia="等线" w:cs="Times New Roman"/>
          <w:sz w:val="21"/>
          <w:szCs w:val="21"/>
        </w:rPr>
      </w:pPr>
      <w:r>
        <w:rPr>
          <w:rFonts w:ascii="Times New Roman" w:hAnsi="Times New Roman" w:cs="Times New Roman"/>
          <w:sz w:val="18"/>
          <w:szCs w:val="18"/>
        </w:rPr>
        <w:t>  自然灾害、突发性公共卫生事件可能会对公司的财产、人员造成损害，在公司生产场地及其周边地区若发生自然灾害，可能造成养殖场建筑及设施的损坏，由此给公司带来直接损失。同时，自然灾害导致的通讯、电力、交通中断，生产设施、设备的损坏，也可能给公司的生产经营造成不利影响，可能会影响公司的正常生产经营，此类不可抗力的发生可能还会给公司增加额外成本，从而影响公司的盈利水平。</w:t>
      </w:r>
    </w:p>
    <w:p>
      <w:pPr>
        <w:pStyle w:val="8"/>
        <w:spacing w:before="0" w:beforeAutospacing="0" w:after="0" w:afterAutospacing="0"/>
        <w:rPr>
          <w:rFonts w:ascii="Times New Roman" w:hAnsi="Times New Roman" w:eastAsia="等线" w:cs="Times New Roman"/>
          <w:sz w:val="21"/>
          <w:szCs w:val="21"/>
        </w:rPr>
      </w:pPr>
      <w:r>
        <w:rPr>
          <w:rFonts w:ascii="Times New Roman" w:hAnsi="Times New Roman" w:cs="Times New Roman"/>
          <w:sz w:val="18"/>
          <w:szCs w:val="18"/>
        </w:rPr>
        <w:t>  (二）应对措施</w:t>
      </w:r>
    </w:p>
    <w:p>
      <w:pPr>
        <w:pStyle w:val="8"/>
        <w:spacing w:before="0" w:beforeAutospacing="0" w:after="0" w:afterAutospacing="0"/>
        <w:rPr>
          <w:rFonts w:ascii="Times New Roman" w:hAnsi="Times New Roman" w:eastAsia="等线" w:cs="Times New Roman"/>
          <w:sz w:val="21"/>
          <w:szCs w:val="21"/>
        </w:rPr>
      </w:pPr>
      <w:r>
        <w:rPr>
          <w:rFonts w:ascii="Times New Roman" w:hAnsi="Times New Roman" w:cs="Times New Roman"/>
          <w:sz w:val="18"/>
          <w:szCs w:val="18"/>
        </w:rPr>
        <w:t>  1、发生疫病的风险：制度方面，公司将一如既往的做好疫病</w:t>
      </w:r>
      <w:r>
        <w:rPr>
          <w:rFonts w:hint="eastAsia" w:ascii="Times New Roman" w:hAnsi="Times New Roman" w:cs="Times New Roman"/>
          <w:sz w:val="18"/>
          <w:szCs w:val="18"/>
          <w:lang w:val="en-US" w:eastAsia="zh-CN"/>
        </w:rPr>
        <w:t>预防</w:t>
      </w:r>
      <w:r>
        <w:rPr>
          <w:rFonts w:ascii="Times New Roman" w:hAnsi="Times New Roman" w:cs="Times New Roman"/>
          <w:sz w:val="18"/>
          <w:szCs w:val="18"/>
        </w:rPr>
        <w:t>工作，严格执行防控措施，确保公司所有单位生产经营有序进行。设施装备方面，公司通过检测系统、通风消毒系统、隔离空间，提高生猪饲养环境，减小疫病的发生和传播。人员方面，保证工作人员消毒进入饲养环境，配备专业化兽医队伍，降低疫病发生率。</w:t>
      </w:r>
    </w:p>
    <w:p>
      <w:pPr>
        <w:pStyle w:val="8"/>
        <w:spacing w:before="0" w:beforeAutospacing="0" w:after="0" w:afterAutospacing="0"/>
        <w:rPr>
          <w:rFonts w:ascii="Times New Roman" w:hAnsi="Times New Roman" w:eastAsia="等线" w:cs="Times New Roman"/>
          <w:sz w:val="21"/>
          <w:szCs w:val="21"/>
        </w:rPr>
      </w:pPr>
      <w:r>
        <w:rPr>
          <w:rFonts w:ascii="Times New Roman" w:hAnsi="Times New Roman" w:cs="Times New Roman"/>
          <w:sz w:val="18"/>
          <w:szCs w:val="18"/>
        </w:rPr>
        <w:t>  2、食品安全风险：公司长期高度重视食品安全，严格要求把食品安全落实到生产经营的每个环节。公司在生产经营中根据国家法律法规及市场监督管理部门的规章制度要求，建立了完善的食品安全控制体系，通过了ISO9001国际质量管理体系和ISO22000食品安全管理体系的认证，并对关键环节在国家标准的基础上制定了更为严格的多个企业标准，进一步细化食品安全控制工作。在每个生产基地配备专职质量控制人员、每个市场安排专职质量监督人员，从而达到对采购、生产、储存、运输、销售等环节实施有效的食品安全质量控制的目标；通过执行《标识和可追溯性管理制度》等相关产品质量控制制度，使产品质量和食品安全控制具有可追溯性，尽可能降低食品安全事件发生的可能性。</w:t>
      </w:r>
    </w:p>
    <w:p>
      <w:pPr>
        <w:pStyle w:val="8"/>
        <w:spacing w:before="0" w:beforeAutospacing="0" w:after="0" w:afterAutospacing="0"/>
        <w:rPr>
          <w:rFonts w:ascii="Times New Roman" w:hAnsi="Times New Roman" w:eastAsia="等线" w:cs="Times New Roman"/>
          <w:sz w:val="21"/>
          <w:szCs w:val="21"/>
        </w:rPr>
      </w:pPr>
      <w:r>
        <w:rPr>
          <w:rFonts w:ascii="Times New Roman" w:hAnsi="Times New Roman" w:cs="Times New Roman"/>
          <w:sz w:val="18"/>
          <w:szCs w:val="18"/>
        </w:rPr>
        <w:t>  3、市场开拓风险：公司着力构建消费市场洞察体系，服务广大食品加工和餐饮企业，协同进行市场推广，创新营销模式，积极应用市场思维打造爆款明星单品，以大单品策略快速服务市场。此外，公司加快开拓预制菜专业销售渠道，加强定制化服务；聚焦核心区域，打造样板市场，实现优势区域全覆盖；构建流通经销商网络，实现全国范围渠道拓展。</w:t>
      </w:r>
    </w:p>
    <w:p>
      <w:pPr>
        <w:pStyle w:val="8"/>
        <w:spacing w:before="0" w:beforeAutospacing="0" w:after="0" w:afterAutospacing="0"/>
        <w:rPr>
          <w:rFonts w:ascii="Times New Roman" w:hAnsi="Times New Roman" w:eastAsia="等线" w:cs="Times New Roman"/>
          <w:sz w:val="21"/>
          <w:szCs w:val="21"/>
        </w:rPr>
      </w:pPr>
      <w:r>
        <w:rPr>
          <w:rFonts w:ascii="Times New Roman" w:hAnsi="Times New Roman" w:cs="Times New Roman"/>
          <w:sz w:val="18"/>
          <w:szCs w:val="18"/>
        </w:rPr>
        <w:t>  4、材料价格波动风险：公司将一方面加强管理、提高效率进行成本控制，一方面充分发挥公司全产业链布局的优势，通过调节产品结构、生产高附加值产品、加快食品业务发展等方式，一定程度上化解了原材料价格波动对公司盈利能力带来的风险。</w:t>
      </w:r>
    </w:p>
    <w:p>
      <w:pPr>
        <w:pStyle w:val="8"/>
        <w:spacing w:before="0" w:beforeAutospacing="0" w:after="0" w:afterAutospacing="0"/>
        <w:rPr>
          <w:rFonts w:ascii="Times New Roman" w:hAnsi="Times New Roman" w:eastAsia="等线" w:cs="Times New Roman"/>
          <w:sz w:val="21"/>
          <w:szCs w:val="21"/>
        </w:rPr>
      </w:pPr>
      <w:r>
        <w:rPr>
          <w:rFonts w:ascii="Times New Roman" w:hAnsi="Times New Roman" w:cs="Times New Roman"/>
          <w:sz w:val="18"/>
          <w:szCs w:val="18"/>
        </w:rPr>
        <w:t>  5、不可抗力风险：公司制定了风险预警机制，做好风险预防和应急方案，针对自然灾害、突发公共卫生事件，一方面提前监控预防，另一方面能够及时、有效调配资源，将风险造成的不利影响和伤害降到最低。</w:t>
      </w:r>
    </w:p>
    <w:p>
      <w:pPr>
        <w:rPr>
          <w:rFonts w:ascii="Times New Roman" w:hAnsi="Times New Roman" w:cs="Times New Roman"/>
        </w:rPr>
      </w:pPr>
      <w:r>
        <w:rPr>
          <w:rFonts w:ascii="Times New Roman" w:hAnsi="Times New Roman" w:cs="Times New Roman"/>
        </w:rPr>
        <w:br w:type="page"/>
      </w:r>
    </w:p>
    <w:p>
      <w:pPr>
        <w:pStyle w:val="13"/>
        <w:spacing w:before="340" w:after="330" w:line="773" w:lineRule="exact"/>
        <w:jc w:val="center"/>
        <w:rPr>
          <w:rFonts w:ascii="Times New Roman" w:hAnsi="Times New Roman" w:eastAsia="宋体" w:cs="Times New Roman"/>
          <w:b/>
          <w:bCs/>
          <w:sz w:val="32"/>
          <w:szCs w:val="32"/>
        </w:rPr>
      </w:pPr>
      <w:bookmarkStart w:id="40" w:name="_Toc988929"/>
      <w:r>
        <w:rPr>
          <w:rFonts w:ascii="Times New Roman" w:hAnsi="Times New Roman" w:eastAsia="宋体" w:cs="Times New Roman"/>
          <w:b/>
          <w:bCs/>
          <w:sz w:val="32"/>
          <w:szCs w:val="32"/>
        </w:rPr>
        <w:t>第四节 公司治理</w:t>
      </w:r>
      <w:bookmarkEnd w:id="40"/>
    </w:p>
    <w:p>
      <w:pPr>
        <w:pStyle w:val="2"/>
        <w:spacing w:before="300" w:after="300" w:line="320" w:lineRule="exact"/>
        <w:rPr>
          <w:rFonts w:ascii="Times New Roman" w:hAnsi="Times New Roman" w:eastAsia="宋体" w:cs="Times New Roman"/>
          <w:b/>
          <w:bCs/>
          <w:sz w:val="24"/>
          <w:szCs w:val="24"/>
        </w:rPr>
      </w:pPr>
      <w:bookmarkStart w:id="41" w:name="_Toc988930"/>
      <w:r>
        <w:rPr>
          <w:rFonts w:ascii="Times New Roman" w:hAnsi="Times New Roman" w:eastAsia="宋体" w:cs="Times New Roman"/>
          <w:b/>
          <w:bCs/>
          <w:sz w:val="24"/>
          <w:szCs w:val="24"/>
        </w:rPr>
        <w:t>一、报告期内召开的年度股东大会和临时股东大会的有关情况</w:t>
      </w:r>
      <w:bookmarkEnd w:id="41"/>
    </w:p>
    <w:p>
      <w:pPr>
        <w:pStyle w:val="3"/>
        <w:spacing w:line="280" w:lineRule="exact"/>
        <w:jc w:val="left"/>
        <w:rPr>
          <w:rFonts w:ascii="Times New Roman" w:hAnsi="Times New Roman" w:cs="Times New Roman"/>
          <w:b/>
          <w:bCs/>
        </w:rPr>
      </w:pPr>
      <w:bookmarkStart w:id="42" w:name="_Toc988931"/>
      <w:r>
        <w:rPr>
          <w:rFonts w:ascii="Times New Roman" w:hAnsi="Times New Roman" w:cs="Times New Roman"/>
          <w:b/>
          <w:bCs/>
        </w:rPr>
        <w:t>1、本报告期股东大会情况</w:t>
      </w:r>
      <w:bookmarkEnd w:id="42"/>
    </w:p>
    <w:tbl>
      <w:tblPr>
        <w:tblStyle w:val="9"/>
        <w:tblW w:w="11392" w:type="dxa"/>
        <w:tblInd w:w="-736"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542"/>
        <w:gridCol w:w="1375"/>
        <w:gridCol w:w="1633"/>
        <w:gridCol w:w="1775"/>
        <w:gridCol w:w="1675"/>
        <w:gridCol w:w="239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54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会议届次</w:t>
            </w:r>
          </w:p>
        </w:tc>
        <w:tc>
          <w:tcPr>
            <w:tcW w:w="137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会议类型</w:t>
            </w:r>
          </w:p>
        </w:tc>
        <w:tc>
          <w:tcPr>
            <w:tcW w:w="163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投资者参与比例</w:t>
            </w:r>
          </w:p>
        </w:tc>
        <w:tc>
          <w:tcPr>
            <w:tcW w:w="177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召开日期</w:t>
            </w:r>
          </w:p>
        </w:tc>
        <w:tc>
          <w:tcPr>
            <w:tcW w:w="167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披露日期</w:t>
            </w:r>
          </w:p>
        </w:tc>
        <w:tc>
          <w:tcPr>
            <w:tcW w:w="239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会议决议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542"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2023年第一次临时股东大会</w:t>
            </w:r>
          </w:p>
        </w:tc>
        <w:tc>
          <w:tcPr>
            <w:tcW w:w="1375"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临时股东大会</w:t>
            </w:r>
          </w:p>
        </w:tc>
        <w:tc>
          <w:tcPr>
            <w:tcW w:w="1633"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43.01%</w:t>
            </w:r>
          </w:p>
        </w:tc>
        <w:tc>
          <w:tcPr>
            <w:tcW w:w="1775"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2023年01月12日</w:t>
            </w:r>
          </w:p>
        </w:tc>
        <w:tc>
          <w:tcPr>
            <w:tcW w:w="1675"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2023年01月13日</w:t>
            </w:r>
          </w:p>
        </w:tc>
        <w:tc>
          <w:tcPr>
            <w:tcW w:w="2392"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巨潮资讯网（http://www.cninfo.com.cn）《龙大美食：2023年第一次临时股东大会决议公告》（公告编号：2023-005）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542"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2022年年度股东大会</w:t>
            </w:r>
          </w:p>
        </w:tc>
        <w:tc>
          <w:tcPr>
            <w:tcW w:w="1375"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年度股东大会</w:t>
            </w:r>
          </w:p>
        </w:tc>
        <w:tc>
          <w:tcPr>
            <w:tcW w:w="1633"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43.08%</w:t>
            </w:r>
          </w:p>
        </w:tc>
        <w:tc>
          <w:tcPr>
            <w:tcW w:w="1775"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2023年05月25日</w:t>
            </w:r>
          </w:p>
        </w:tc>
        <w:tc>
          <w:tcPr>
            <w:tcW w:w="1675"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2023年05月26日</w:t>
            </w:r>
          </w:p>
        </w:tc>
        <w:tc>
          <w:tcPr>
            <w:tcW w:w="2392"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巨潮资讯网（http://www.cninfo.com.cn）《龙大美食：2022年年度股东大会决议公告》（公告编号：2023-038）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542"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2023年第二次临时股东大会</w:t>
            </w:r>
          </w:p>
        </w:tc>
        <w:tc>
          <w:tcPr>
            <w:tcW w:w="1375"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临时股东大会</w:t>
            </w:r>
          </w:p>
        </w:tc>
        <w:tc>
          <w:tcPr>
            <w:tcW w:w="1633"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43.11%</w:t>
            </w:r>
          </w:p>
        </w:tc>
        <w:tc>
          <w:tcPr>
            <w:tcW w:w="1775"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2023年06月05日</w:t>
            </w:r>
          </w:p>
        </w:tc>
        <w:tc>
          <w:tcPr>
            <w:tcW w:w="1675"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2023年06月06日</w:t>
            </w:r>
          </w:p>
        </w:tc>
        <w:tc>
          <w:tcPr>
            <w:tcW w:w="2392"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巨潮资讯网（http://www.cninfo.com.cn）《龙大美食：2023年第二次临时股东大会决议公告》（公告编号：2023-042）</w:t>
            </w:r>
          </w:p>
        </w:tc>
      </w:tr>
    </w:tbl>
    <w:p>
      <w:pPr>
        <w:pStyle w:val="3"/>
        <w:spacing w:line="280" w:lineRule="exact"/>
        <w:jc w:val="left"/>
        <w:rPr>
          <w:rFonts w:ascii="Times New Roman" w:hAnsi="Times New Roman" w:cs="Times New Roman"/>
          <w:b/>
          <w:bCs/>
        </w:rPr>
      </w:pPr>
      <w:bookmarkStart w:id="43" w:name="_Toc988932"/>
      <w:r>
        <w:rPr>
          <w:rFonts w:ascii="Times New Roman" w:hAnsi="Times New Roman" w:cs="Times New Roman"/>
          <w:b/>
          <w:bCs/>
        </w:rPr>
        <w:t>2、表决权恢复的优先股股东请求召开临时股东大会</w:t>
      </w:r>
      <w:bookmarkEnd w:id="43"/>
    </w:p>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 xml:space="preserve">□适用 </w:t>
      </w: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不适用</w:t>
      </w:r>
    </w:p>
    <w:p>
      <w:pPr>
        <w:pStyle w:val="2"/>
        <w:spacing w:before="300" w:after="300" w:line="320" w:lineRule="exact"/>
        <w:rPr>
          <w:rFonts w:ascii="Times New Roman" w:hAnsi="Times New Roman" w:eastAsia="宋体" w:cs="Times New Roman"/>
          <w:b/>
          <w:bCs/>
          <w:sz w:val="24"/>
          <w:szCs w:val="24"/>
        </w:rPr>
      </w:pPr>
      <w:bookmarkStart w:id="44" w:name="_Toc988933"/>
      <w:r>
        <w:rPr>
          <w:rFonts w:ascii="Times New Roman" w:hAnsi="Times New Roman" w:eastAsia="宋体" w:cs="Times New Roman"/>
          <w:b/>
          <w:bCs/>
          <w:sz w:val="24"/>
          <w:szCs w:val="24"/>
        </w:rPr>
        <w:t>二、公司董事、监事、高级管理人员变动情况</w:t>
      </w:r>
      <w:bookmarkEnd w:id="44"/>
    </w:p>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适用 □不适用</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7"/>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姓名</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担任的职务</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类型</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日期</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原因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杨晓初</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董事长</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被选举</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2023年06月05日</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董事会选举</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余宇</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原董事长</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离任</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2023年06月05日</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主动离职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刘婧</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副总经理</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聘任</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2023年01月17日</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被聘任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07"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何爽</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原副总经理</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离任</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2023年01月17日</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主动离职</w:t>
            </w:r>
          </w:p>
        </w:tc>
      </w:tr>
    </w:tbl>
    <w:p>
      <w:pPr>
        <w:pStyle w:val="2"/>
        <w:spacing w:before="300" w:after="300" w:line="320" w:lineRule="exact"/>
        <w:rPr>
          <w:rFonts w:ascii="Times New Roman" w:hAnsi="Times New Roman" w:eastAsia="宋体" w:cs="Times New Roman"/>
          <w:b/>
          <w:bCs/>
          <w:sz w:val="24"/>
          <w:szCs w:val="24"/>
        </w:rPr>
      </w:pPr>
      <w:bookmarkStart w:id="45" w:name="_Toc988934"/>
      <w:r>
        <w:rPr>
          <w:rFonts w:ascii="Times New Roman" w:hAnsi="Times New Roman" w:eastAsia="宋体" w:cs="Times New Roman"/>
          <w:b/>
          <w:bCs/>
          <w:sz w:val="24"/>
          <w:szCs w:val="24"/>
        </w:rPr>
        <w:t>三、本报告期利润分配及资本公积金转增股本情况</w:t>
      </w:r>
      <w:bookmarkEnd w:id="45"/>
    </w:p>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 xml:space="preserve">□适用 </w:t>
      </w: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不适用</w:t>
      </w:r>
    </w:p>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公司计划半年度不派发现金红利，不送红股，不以公积金转增股本。</w:t>
      </w:r>
    </w:p>
    <w:p>
      <w:pPr>
        <w:pStyle w:val="2"/>
        <w:spacing w:before="300" w:after="300" w:line="320" w:lineRule="exact"/>
        <w:rPr>
          <w:rFonts w:ascii="Times New Roman" w:hAnsi="Times New Roman" w:eastAsia="宋体" w:cs="Times New Roman"/>
          <w:b/>
          <w:bCs/>
          <w:sz w:val="24"/>
          <w:szCs w:val="24"/>
        </w:rPr>
      </w:pPr>
      <w:bookmarkStart w:id="46" w:name="_Toc988935"/>
      <w:r>
        <w:rPr>
          <w:rFonts w:ascii="Times New Roman" w:hAnsi="Times New Roman" w:eastAsia="宋体" w:cs="Times New Roman"/>
          <w:b/>
          <w:bCs/>
          <w:sz w:val="24"/>
          <w:szCs w:val="24"/>
        </w:rPr>
        <w:t>四、公司股权激励计划、员工持股计划或其他员工激励措施的实施情况</w:t>
      </w:r>
      <w:bookmarkEnd w:id="46"/>
    </w:p>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适用 □不适用</w:t>
      </w:r>
    </w:p>
    <w:p>
      <w:pPr>
        <w:pStyle w:val="3"/>
        <w:spacing w:line="280" w:lineRule="exact"/>
        <w:jc w:val="left"/>
        <w:rPr>
          <w:rFonts w:ascii="Times New Roman" w:hAnsi="Times New Roman" w:cs="Times New Roman"/>
          <w:b/>
          <w:bCs/>
        </w:rPr>
      </w:pPr>
      <w:bookmarkStart w:id="47" w:name="_Toc988936"/>
      <w:r>
        <w:rPr>
          <w:rFonts w:ascii="Times New Roman" w:hAnsi="Times New Roman" w:cs="Times New Roman"/>
          <w:b/>
          <w:bCs/>
        </w:rPr>
        <w:t>1、股权激励</w:t>
      </w:r>
      <w:bookmarkEnd w:id="47"/>
    </w:p>
    <w:p>
      <w:pPr>
        <w:pStyle w:val="8"/>
        <w:spacing w:before="0" w:beforeAutospacing="0" w:after="0" w:afterAutospacing="0"/>
        <w:ind w:firstLine="360"/>
        <w:rPr>
          <w:rFonts w:ascii="Times New Roman" w:hAnsi="Times New Roman" w:eastAsia="等线" w:cs="Times New Roman"/>
          <w:sz w:val="21"/>
          <w:szCs w:val="21"/>
        </w:rPr>
      </w:pPr>
      <w:r>
        <w:rPr>
          <w:rFonts w:ascii="Times New Roman" w:hAnsi="Times New Roman" w:cs="Times New Roman"/>
          <w:sz w:val="18"/>
          <w:szCs w:val="18"/>
        </w:rPr>
        <w:t>2019年9月25日，公司召开第四届董事会第六次会议，审议通过了《关于公司〈2019年股票期权与限制性股票激励计划(草案)〉及其摘要的议案》、《关于公司〈2019年股票期权与限制性股票激励计划实施考核管理办法〉的议案》以及《关于提请股东大会授权董事会办理公司2019年股票期权与限制性股票激励计划相关事宜的议案》。</w:t>
      </w:r>
    </w:p>
    <w:p>
      <w:pPr>
        <w:pStyle w:val="8"/>
        <w:spacing w:before="0" w:beforeAutospacing="0" w:after="0" w:afterAutospacing="0"/>
        <w:ind w:firstLine="360"/>
        <w:rPr>
          <w:rFonts w:ascii="Times New Roman" w:hAnsi="Times New Roman" w:eastAsia="等线" w:cs="Times New Roman"/>
          <w:sz w:val="21"/>
          <w:szCs w:val="21"/>
        </w:rPr>
      </w:pPr>
      <w:r>
        <w:rPr>
          <w:rFonts w:ascii="Times New Roman" w:hAnsi="Times New Roman" w:cs="Times New Roman"/>
          <w:sz w:val="18"/>
          <w:szCs w:val="18"/>
        </w:rPr>
        <w:t>2019年9月25日，公司召开第四届监事会第五次会议，审议通过了《关于公司〈2019年股票期权与限制性股票激励计划(草案)〉及其摘要的议案》、《关于公司〈2019年股票期权与限制性股票激励计划实施考核管理办法〉的议案》及《关于核查公司〈2019年股票期权与限制性股票激励计划激励对象名单〉的议案》。同时公司于2019年11月16日至2019年11月25日对名单进行了公示，公示期满后，监事会对本次股权激励计划授予激励对象名单进行了核查并对公示情况进行了说明。</w:t>
      </w:r>
    </w:p>
    <w:p>
      <w:pPr>
        <w:pStyle w:val="8"/>
        <w:spacing w:before="0" w:beforeAutospacing="0" w:after="0" w:afterAutospacing="0"/>
        <w:ind w:firstLine="360"/>
        <w:rPr>
          <w:rFonts w:ascii="Times New Roman" w:hAnsi="Times New Roman" w:eastAsia="等线" w:cs="Times New Roman"/>
          <w:sz w:val="21"/>
          <w:szCs w:val="21"/>
        </w:rPr>
      </w:pPr>
      <w:r>
        <w:rPr>
          <w:rFonts w:ascii="Times New Roman" w:hAnsi="Times New Roman" w:cs="Times New Roman"/>
          <w:sz w:val="18"/>
          <w:szCs w:val="18"/>
        </w:rPr>
        <w:t>2019年12月2日，公司2019年第七次临时股东大会审议并通过了《关于公司〈2019年股票期权与限制性股票激励计划(草案)〉及其摘要的议案》、《关于公司〈2019年股票期权与限制性股票激励计划实施考核管理办法〉的议案》以及《关于提请股东大会授权董事会办理公司2019年股票期权与限制性股票激励计划相关事宜的议案》。</w:t>
      </w:r>
    </w:p>
    <w:p>
      <w:pPr>
        <w:pStyle w:val="8"/>
        <w:spacing w:before="0" w:beforeAutospacing="0" w:after="0" w:afterAutospacing="0"/>
        <w:ind w:firstLine="360"/>
        <w:rPr>
          <w:rFonts w:ascii="Times New Roman" w:hAnsi="Times New Roman" w:eastAsia="等线" w:cs="Times New Roman"/>
          <w:sz w:val="21"/>
          <w:szCs w:val="21"/>
        </w:rPr>
      </w:pPr>
      <w:r>
        <w:rPr>
          <w:rFonts w:ascii="Times New Roman" w:hAnsi="Times New Roman" w:cs="Times New Roman"/>
          <w:sz w:val="18"/>
          <w:szCs w:val="18"/>
        </w:rPr>
        <w:t>2019年12月2日，公司第四届董事会第九次会议和第四届监事会第八次会议审议通过了《关于调整2019年股票期权与限制性股票激励计划激励对象名单、授予权益数量及价格的议案》、《关于向激励对象授予股票期权与限制性股票的议案》。公司独立董事对此发表了独立意见，认为激励对象主体资格合法、有效，确定的授予日符合相关规定。公司监事会对调整后的激励对象名单再次进行了核实。</w:t>
      </w:r>
    </w:p>
    <w:p>
      <w:pPr>
        <w:pStyle w:val="8"/>
        <w:spacing w:before="0" w:beforeAutospacing="0" w:after="0" w:afterAutospacing="0"/>
        <w:ind w:firstLine="360"/>
        <w:rPr>
          <w:rFonts w:ascii="Times New Roman" w:hAnsi="Times New Roman" w:eastAsia="等线" w:cs="Times New Roman"/>
          <w:sz w:val="21"/>
          <w:szCs w:val="21"/>
        </w:rPr>
      </w:pPr>
      <w:r>
        <w:rPr>
          <w:rFonts w:ascii="Times New Roman" w:hAnsi="Times New Roman" w:cs="Times New Roman"/>
          <w:sz w:val="18"/>
          <w:szCs w:val="18"/>
        </w:rPr>
        <w:t>2020年1月17日，公司披露了《关于2019年股票期权与限制性股票激励计划授予登记完成的公告》，公司董事会完成了股票期权与限制性股票的授予登记工作。激励计划向220名激励对象授予1665.17万份股票期权，向162名激励对象授予1658.93万股限制性股票，股票上市日期为2020年1月20日。</w:t>
      </w:r>
    </w:p>
    <w:p>
      <w:pPr>
        <w:pStyle w:val="8"/>
        <w:spacing w:before="0" w:beforeAutospacing="0" w:after="0" w:afterAutospacing="0"/>
        <w:ind w:firstLine="360"/>
        <w:rPr>
          <w:rFonts w:ascii="Times New Roman" w:hAnsi="Times New Roman" w:eastAsia="等线" w:cs="Times New Roman"/>
          <w:sz w:val="21"/>
          <w:szCs w:val="21"/>
        </w:rPr>
      </w:pPr>
      <w:r>
        <w:rPr>
          <w:rFonts w:ascii="Times New Roman" w:hAnsi="Times New Roman" w:cs="Times New Roman"/>
          <w:sz w:val="18"/>
          <w:szCs w:val="18"/>
        </w:rPr>
        <w:t>2020年4月27日，公司召开第四届董事会第十四次会议以及第四届监事会第十一次会议，审议通过了《关于注销部分股票期权和回购注销部分已授予但尚未解锁的限制性股票的议案》。公司原激励对象周树青因离职已不符合激励条件，公司决定回购注销其已授予但尚未解锁的限制性股票13万股、注销其持有的13万份股票期权。此议案已经公司2019年年度股东大会审议通过，于2020年12月11日在中国证券登记结算有限责任公司深圳分公司办理完成回购注销手续。公司独立董事对相关事项发表了独立意见。</w:t>
      </w:r>
    </w:p>
    <w:p>
      <w:pPr>
        <w:pStyle w:val="8"/>
        <w:spacing w:before="0" w:beforeAutospacing="0" w:after="0" w:afterAutospacing="0"/>
        <w:ind w:firstLine="360"/>
        <w:rPr>
          <w:rFonts w:ascii="Times New Roman" w:hAnsi="Times New Roman" w:eastAsia="等线" w:cs="Times New Roman"/>
          <w:sz w:val="21"/>
          <w:szCs w:val="21"/>
        </w:rPr>
      </w:pPr>
      <w:r>
        <w:rPr>
          <w:rFonts w:ascii="Times New Roman" w:hAnsi="Times New Roman" w:cs="Times New Roman"/>
          <w:sz w:val="18"/>
          <w:szCs w:val="18"/>
        </w:rPr>
        <w:t>2020年10月29日，公司召开第四届董事会第二十二次会议以及第四届监事会第十八次会议，审议通过了《关于注销部分股票期权和回购注销部分已授予但尚未解锁的限制性股票的议案》。公司原激励对象赵方胜、宋昱钢因离职已不符合激励条件，公司决定回购注销其二人已授予但尚未解锁的限制性股票222.04万股、注销宋昱钢持有的4.16万份股票期权。此议案已经公司2020年第五次临时股东大会审议通过，于2020年12月11日在中国证券登记结算有限责任公司深圳分公司办理完成回购注销手续。公司独立董事对相关事项发表了独立意见。</w:t>
      </w:r>
    </w:p>
    <w:p>
      <w:pPr>
        <w:pStyle w:val="8"/>
        <w:spacing w:before="0" w:beforeAutospacing="0" w:after="0" w:afterAutospacing="0"/>
        <w:ind w:firstLine="360"/>
        <w:rPr>
          <w:rFonts w:ascii="Times New Roman" w:hAnsi="Times New Roman" w:eastAsia="等线" w:cs="Times New Roman"/>
          <w:sz w:val="21"/>
          <w:szCs w:val="21"/>
        </w:rPr>
      </w:pPr>
      <w:r>
        <w:rPr>
          <w:rFonts w:ascii="Times New Roman" w:hAnsi="Times New Roman" w:cs="Times New Roman"/>
          <w:sz w:val="18"/>
          <w:szCs w:val="18"/>
        </w:rPr>
        <w:t>2021年1月20日，公司召开第四届董事会第二十五次会议以及第四届监事会第二十次会议，审议通过了《关于2019年限制性股票和股票期权激励计划第一个解锁期/行权期条件成就的议案》，董事会认为2019年激励计划设定的第一个解锁期/行权期条件已经成就，158名激励对象获授的567.996万股限制性股票于2021年2月3日上市流通，217名激励对象获授的652.964万份股票期权于2021年2月3日开始自主行权；审议通过了《关于注销部分股票期权和回购注销部分已授予但尚未解锁的限制性股票的议案》，公司原激励对象梁秀林因离职已不符合激励条件，公司决定回购注销其已授予但尚未解锁的限制性股票3.9万股、注销其持有的15.6万份股票期权，此议案已经公司2021年第二次临时股东大会审议通过。公司独立董事对相关事项发表了独立意见。截至本公告披露日，该部分股票期权的注销手续、限制性股票的回购注销手续已办理完成。</w:t>
      </w:r>
    </w:p>
    <w:p>
      <w:pPr>
        <w:pStyle w:val="8"/>
        <w:spacing w:before="0" w:beforeAutospacing="0" w:after="0" w:afterAutospacing="0"/>
        <w:ind w:firstLine="360"/>
        <w:rPr>
          <w:rFonts w:ascii="Times New Roman" w:hAnsi="Times New Roman" w:eastAsia="等线" w:cs="Times New Roman"/>
          <w:sz w:val="21"/>
          <w:szCs w:val="21"/>
        </w:rPr>
      </w:pPr>
      <w:r>
        <w:rPr>
          <w:rFonts w:ascii="Times New Roman" w:hAnsi="Times New Roman" w:cs="Times New Roman"/>
          <w:sz w:val="18"/>
          <w:szCs w:val="18"/>
        </w:rPr>
        <w:t>2021年1月25日，公司召开第四届董事会第二十六次会议以及第四届监事会第二十一次会议，审议通过了《关于调整2019年股票期权与限制性股票激励计划股票期权行权价格的议案》。根据公司《2019年股票期权与限制性股票激励计划（草案）》的规定，由于公司2019年度权益分派方案的实施完成，公司2019年股票期权与限制性股票激励计划股票期权的行权价格由7.4元调整至7.351元。公司独立董事发表了同意的独立意见。</w:t>
      </w:r>
    </w:p>
    <w:p>
      <w:pPr>
        <w:pStyle w:val="8"/>
        <w:spacing w:before="0" w:beforeAutospacing="0" w:after="0" w:afterAutospacing="0"/>
        <w:ind w:firstLine="360"/>
        <w:rPr>
          <w:rFonts w:ascii="Times New Roman" w:hAnsi="Times New Roman" w:eastAsia="等线" w:cs="Times New Roman"/>
          <w:sz w:val="21"/>
          <w:szCs w:val="21"/>
        </w:rPr>
      </w:pPr>
      <w:r>
        <w:rPr>
          <w:rFonts w:ascii="Times New Roman" w:hAnsi="Times New Roman" w:cs="Times New Roman"/>
          <w:sz w:val="18"/>
          <w:szCs w:val="18"/>
        </w:rPr>
        <w:t>2021年5月6日，公司召开第四届董事会第三十次会议以及第四届监事会第二十四次会议，审议通过了《关于调整2019年股票期权与限制性股票激励计划股票期权行权价格的议案》、《关于调整2019年股票期权与限制性股票激励计划限制性股票回购价格的议案》。根据公司《2019年股票期权与限制性股票激励计划（草案）》的规定，由于公司2020年度权益分派方案的实施完成，公司2019年股票期权与限制性股票激励计划股票期权的行权价格由7.351元调整至7.169元，限制性股票的回购价格由3.7元调整至3.518元。公司独立董事发表了同意的独立意见。</w:t>
      </w:r>
    </w:p>
    <w:p>
      <w:pPr>
        <w:pStyle w:val="8"/>
        <w:spacing w:before="0" w:beforeAutospacing="0" w:after="0" w:afterAutospacing="0"/>
        <w:ind w:firstLine="360"/>
        <w:rPr>
          <w:rFonts w:ascii="Times New Roman" w:hAnsi="Times New Roman" w:eastAsia="等线" w:cs="Times New Roman"/>
          <w:sz w:val="21"/>
          <w:szCs w:val="21"/>
        </w:rPr>
      </w:pPr>
      <w:r>
        <w:rPr>
          <w:rFonts w:ascii="Times New Roman" w:hAnsi="Times New Roman" w:cs="Times New Roman"/>
          <w:sz w:val="18"/>
          <w:szCs w:val="18"/>
        </w:rPr>
        <w:t>2021年7月12日，公司召开第四届董事会第三十一次会议以及第四届监事会第二十五次会议，审议通过了《关于注销部分股票期权和回购注销部分已授予但尚未解锁的限制性股票的议案》。公司原激励对象张锦林、马术峰因离职已不符合激励条件，公司决定回购注销其二人已授予但尚未解锁的限制性股票2.652万股，注销张锦林、马术峰持有的10.608万份股票期权。此议案已经公司2021年第二次临时股东大会审议通过。公司独立董事对相关事项发表了独立意见。截至本公告披露日，该部分股票期权的注销手续、限制性股票的回购注销手续已办理完成。</w:t>
      </w:r>
    </w:p>
    <w:p>
      <w:pPr>
        <w:pStyle w:val="8"/>
        <w:spacing w:before="0" w:beforeAutospacing="0" w:after="0" w:afterAutospacing="0"/>
        <w:ind w:firstLine="360"/>
        <w:rPr>
          <w:rFonts w:ascii="Times New Roman" w:hAnsi="Times New Roman" w:eastAsia="等线" w:cs="Times New Roman"/>
          <w:sz w:val="21"/>
          <w:szCs w:val="21"/>
        </w:rPr>
      </w:pPr>
      <w:r>
        <w:rPr>
          <w:rFonts w:ascii="Times New Roman" w:hAnsi="Times New Roman" w:cs="Times New Roman"/>
          <w:sz w:val="18"/>
          <w:szCs w:val="18"/>
        </w:rPr>
        <w:t>2022年1月7日，公司召开第四届董事会第四十三次会议以及第四届监事会第三十二次会议，审议通过了《关于2019年股票期权和限制性股票激励计划第二个行权期/解锁期条件成就的议案》、《关于注销部分股票期权和回购注销部分已授予但尚未解锁的限制性股票的议案》。2019年激励计划设定的第二个解锁期/行权期条件已经成就；部分激励对象离职、个人业绩考核不合格等，公司决定回购注销其已授予但尚未解锁的限制性股票15.1164万股，注销其持有的22.6356万份股票期权。此议案已经公司2022年第一次临时股东大会审议通过。公司独立董事对相关事项发表了独立意见。第二个解锁期/行权期的限制性股票于2022年2月18日上市流通、股票期权于2022年2月18日开始自主行权。该部分股票期权的注销手续、限制性股票的回购注销手续已办理完成。</w:t>
      </w:r>
    </w:p>
    <w:p>
      <w:pPr>
        <w:pStyle w:val="8"/>
        <w:spacing w:before="0" w:beforeAutospacing="0" w:after="0" w:afterAutospacing="0"/>
        <w:ind w:firstLine="360"/>
        <w:rPr>
          <w:rFonts w:ascii="Times New Roman" w:hAnsi="Times New Roman" w:eastAsia="等线" w:cs="Times New Roman"/>
          <w:sz w:val="21"/>
          <w:szCs w:val="21"/>
        </w:rPr>
      </w:pPr>
      <w:r>
        <w:rPr>
          <w:rFonts w:ascii="Times New Roman" w:hAnsi="Times New Roman" w:cs="Times New Roman"/>
          <w:sz w:val="18"/>
          <w:szCs w:val="18"/>
        </w:rPr>
        <w:t>2022年5月30日，公司召开第五届董事会第三次会议以及第五届监事会第三次会议，审议通过了《关于注销部分股票期权和回购注销部分已授予但尚未解锁的限制性股票的议案》。鉴于公司2021年度营业收入及利润总额均未达成公司层面业绩考核目标，公司决定回购注销其已授予但尚未解锁的限制性股票423.1890万股，注销其持有的469.5210万份股票期权。此议案已经公司2022年第三次临时股东大会审议通过。公司独立董事对相关事项发表了独立意见。截至本公告披露日，该部分股票期权的注销手续、限制性股票的回购注销手续已办理完成。</w:t>
      </w:r>
    </w:p>
    <w:p>
      <w:pPr>
        <w:pStyle w:val="8"/>
        <w:spacing w:before="0" w:beforeAutospacing="0" w:after="0" w:afterAutospacing="0"/>
        <w:ind w:firstLine="360"/>
        <w:rPr>
          <w:rFonts w:ascii="Times New Roman" w:hAnsi="Times New Roman" w:eastAsia="等线" w:cs="Times New Roman"/>
          <w:sz w:val="21"/>
          <w:szCs w:val="21"/>
        </w:rPr>
      </w:pPr>
      <w:r>
        <w:rPr>
          <w:rFonts w:ascii="Times New Roman" w:hAnsi="Times New Roman" w:cs="Times New Roman"/>
          <w:color w:val="000000"/>
          <w:sz w:val="18"/>
          <w:szCs w:val="18"/>
        </w:rPr>
        <w:t>2023年4月28日，公司召开第五届董事会第十一次会议以及第五届监事会第九次会议，审议通过了《关于注销部分股票期权的议案》。同意对未达到行权条件而不能申请行权股票期权74,100份以及行权期满尚未行权的股票期权2份进行注销，合计74,102份股票期权。公司独立董事对相关事项发表了独立意见。截至2023年5月10日，经中国证券登记结算有限责任公司深圳分公司审核确认，公司本次股票期权的注销手续已办理完成。本次注销完成后，公司2019年股票期权与限制性股票激励计划结束。</w:t>
      </w:r>
    </w:p>
    <w:p>
      <w:pPr>
        <w:pStyle w:val="3"/>
        <w:spacing w:line="280" w:lineRule="exact"/>
        <w:jc w:val="left"/>
        <w:rPr>
          <w:rFonts w:ascii="Times New Roman" w:hAnsi="Times New Roman" w:cs="Times New Roman"/>
          <w:b/>
          <w:bCs/>
        </w:rPr>
      </w:pPr>
      <w:bookmarkStart w:id="48" w:name="_Toc988937"/>
      <w:r>
        <w:rPr>
          <w:rFonts w:ascii="Times New Roman" w:hAnsi="Times New Roman" w:cs="Times New Roman"/>
          <w:b/>
          <w:bCs/>
        </w:rPr>
        <w:t>2、员工持股计划的实施情况</w:t>
      </w:r>
      <w:bookmarkEnd w:id="48"/>
    </w:p>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 xml:space="preserve">□适用 </w:t>
      </w: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不适用</w:t>
      </w:r>
    </w:p>
    <w:p>
      <w:pPr>
        <w:pStyle w:val="3"/>
        <w:spacing w:line="280" w:lineRule="exact"/>
        <w:jc w:val="left"/>
        <w:rPr>
          <w:rFonts w:ascii="Times New Roman" w:hAnsi="Times New Roman" w:cs="Times New Roman"/>
          <w:b/>
          <w:bCs/>
        </w:rPr>
      </w:pPr>
      <w:bookmarkStart w:id="49" w:name="_Toc988938"/>
      <w:r>
        <w:rPr>
          <w:rFonts w:ascii="Times New Roman" w:hAnsi="Times New Roman" w:cs="Times New Roman"/>
          <w:b/>
          <w:bCs/>
        </w:rPr>
        <w:t>3、其他员工激励措施</w:t>
      </w:r>
      <w:bookmarkEnd w:id="49"/>
    </w:p>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 xml:space="preserve">□适用 </w:t>
      </w: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不适用</w:t>
      </w:r>
    </w:p>
    <w:p>
      <w:pPr>
        <w:rPr>
          <w:rFonts w:ascii="Times New Roman" w:hAnsi="Times New Roman" w:cs="Times New Roman"/>
        </w:rPr>
      </w:pPr>
      <w:r>
        <w:rPr>
          <w:rFonts w:ascii="Times New Roman" w:hAnsi="Times New Roman" w:cs="Times New Roman"/>
        </w:rPr>
        <w:br w:type="page"/>
      </w:r>
    </w:p>
    <w:p>
      <w:pPr>
        <w:pStyle w:val="13"/>
        <w:spacing w:before="340" w:after="330" w:line="773" w:lineRule="exact"/>
        <w:jc w:val="center"/>
        <w:rPr>
          <w:rFonts w:ascii="Times New Roman" w:hAnsi="Times New Roman" w:eastAsia="宋体" w:cs="Times New Roman"/>
          <w:b/>
          <w:bCs/>
          <w:sz w:val="32"/>
          <w:szCs w:val="32"/>
        </w:rPr>
      </w:pPr>
      <w:bookmarkStart w:id="50" w:name="_Toc988939"/>
      <w:r>
        <w:rPr>
          <w:rFonts w:ascii="Times New Roman" w:hAnsi="Times New Roman" w:eastAsia="宋体" w:cs="Times New Roman"/>
          <w:b/>
          <w:bCs/>
          <w:sz w:val="32"/>
          <w:szCs w:val="32"/>
        </w:rPr>
        <w:t>第五节 环境和社会责任</w:t>
      </w:r>
      <w:bookmarkEnd w:id="50"/>
    </w:p>
    <w:p>
      <w:pPr>
        <w:pStyle w:val="2"/>
        <w:spacing w:before="300" w:after="300" w:line="320" w:lineRule="exact"/>
        <w:rPr>
          <w:rFonts w:ascii="Times New Roman" w:hAnsi="Times New Roman" w:eastAsia="宋体" w:cs="Times New Roman"/>
          <w:b/>
          <w:bCs/>
          <w:sz w:val="24"/>
          <w:szCs w:val="24"/>
        </w:rPr>
      </w:pPr>
      <w:bookmarkStart w:id="51" w:name="_Toc988940"/>
      <w:r>
        <w:rPr>
          <w:rFonts w:ascii="Times New Roman" w:hAnsi="Times New Roman" w:eastAsia="宋体" w:cs="Times New Roman"/>
          <w:b/>
          <w:bCs/>
          <w:sz w:val="24"/>
          <w:szCs w:val="24"/>
        </w:rPr>
        <w:t>一、重大环保问题情况</w:t>
      </w:r>
      <w:bookmarkEnd w:id="51"/>
    </w:p>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上市公司及其子公司是否属于环境保护部门公布的重点排污单位</w:t>
      </w:r>
    </w:p>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是 □否</w:t>
      </w: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环境保护相关政策和行业标准</w:t>
      </w:r>
    </w:p>
    <w:p>
      <w:pPr>
        <w:pStyle w:val="8"/>
        <w:rPr>
          <w:rFonts w:ascii="Times New Roman" w:hAnsi="Times New Roman" w:cs="Times New Roman"/>
        </w:rPr>
      </w:pPr>
      <w:r>
        <w:rPr>
          <w:rFonts w:ascii="Times New Roman" w:hAnsi="Times New Roman" w:cs="Times New Roman"/>
          <w:sz w:val="18"/>
          <w:szCs w:val="18"/>
        </w:rPr>
        <w:t>《中华人民共和国环境保护法》《中华人民共和国水污染防治法》《中华人民共和国大气污染物防治法》《肉类加工工业污染物排放标准》《山东省水污染物综合排放标准》《污水排入城市下水道水质标准》</w:t>
      </w: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环境保护行政许可情况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168"/>
        <w:gridCol w:w="858"/>
        <w:gridCol w:w="1179"/>
        <w:gridCol w:w="1092"/>
        <w:gridCol w:w="1676"/>
        <w:gridCol w:w="966"/>
        <w:gridCol w:w="13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4" w:hRule="atLeast"/>
        </w:trPr>
        <w:tc>
          <w:tcPr>
            <w:tcW w:w="2168" w:type="dxa"/>
            <w:shd w:val="clear" w:color="auto" w:fill="D9D9D9"/>
            <w:tcMar>
              <w:top w:w="10" w:type="dxa"/>
              <w:left w:w="10" w:type="dxa"/>
              <w:bottom w:w="10" w:type="dxa"/>
              <w:right w:w="10" w:type="dxa"/>
            </w:tcMar>
          </w:tcPr>
          <w:p>
            <w:pPr>
              <w:pStyle w:val="8"/>
              <w:spacing w:before="40" w:beforeAutospacing="0" w:after="40" w:afterAutospacing="0"/>
              <w:jc w:val="both"/>
              <w:rPr>
                <w:rFonts w:ascii="Times New Roman" w:hAnsi="Times New Roman" w:cs="Times New Roman"/>
              </w:rPr>
            </w:pPr>
            <w:r>
              <w:rPr>
                <w:rFonts w:ascii="Times New Roman" w:hAnsi="Times New Roman" w:cs="Times New Roman"/>
                <w:color w:val="000000"/>
                <w:sz w:val="18"/>
                <w:szCs w:val="18"/>
              </w:rPr>
              <w:t>项目名称</w:t>
            </w:r>
          </w:p>
        </w:tc>
        <w:tc>
          <w:tcPr>
            <w:tcW w:w="858" w:type="dxa"/>
            <w:shd w:val="clear" w:color="auto" w:fill="D9D9D9"/>
            <w:tcMar>
              <w:top w:w="10" w:type="dxa"/>
              <w:left w:w="10" w:type="dxa"/>
              <w:bottom w:w="10" w:type="dxa"/>
              <w:right w:w="10" w:type="dxa"/>
            </w:tcMar>
          </w:tcPr>
          <w:p>
            <w:pPr>
              <w:pStyle w:val="8"/>
              <w:spacing w:before="40" w:beforeAutospacing="0" w:after="40" w:afterAutospacing="0"/>
              <w:jc w:val="center"/>
              <w:rPr>
                <w:rFonts w:ascii="Times New Roman" w:hAnsi="Times New Roman" w:cs="Times New Roman"/>
              </w:rPr>
            </w:pPr>
            <w:r>
              <w:rPr>
                <w:rFonts w:ascii="Times New Roman" w:hAnsi="Times New Roman" w:cs="Times New Roman"/>
                <w:color w:val="000000"/>
                <w:sz w:val="18"/>
                <w:szCs w:val="18"/>
              </w:rPr>
              <w:t>环评批复文号</w:t>
            </w:r>
          </w:p>
        </w:tc>
        <w:tc>
          <w:tcPr>
            <w:tcW w:w="1179" w:type="dxa"/>
            <w:shd w:val="clear" w:color="auto" w:fill="D9D9D9"/>
            <w:tcMar>
              <w:top w:w="10" w:type="dxa"/>
              <w:left w:w="10" w:type="dxa"/>
              <w:bottom w:w="10" w:type="dxa"/>
              <w:right w:w="10" w:type="dxa"/>
            </w:tcMar>
          </w:tcPr>
          <w:p>
            <w:pPr>
              <w:pStyle w:val="8"/>
              <w:spacing w:before="40" w:beforeAutospacing="0" w:after="40" w:afterAutospacing="0"/>
              <w:jc w:val="center"/>
              <w:rPr>
                <w:rFonts w:ascii="Times New Roman" w:hAnsi="Times New Roman" w:cs="Times New Roman"/>
              </w:rPr>
            </w:pPr>
            <w:r>
              <w:rPr>
                <w:rFonts w:ascii="Times New Roman" w:hAnsi="Times New Roman" w:cs="Times New Roman"/>
                <w:color w:val="000000"/>
                <w:sz w:val="18"/>
                <w:szCs w:val="18"/>
              </w:rPr>
              <w:t>审批部门</w:t>
            </w:r>
          </w:p>
        </w:tc>
        <w:tc>
          <w:tcPr>
            <w:tcW w:w="1092" w:type="dxa"/>
            <w:shd w:val="clear" w:color="auto" w:fill="D9D9D9"/>
            <w:tcMar>
              <w:top w:w="10" w:type="dxa"/>
              <w:left w:w="10" w:type="dxa"/>
              <w:bottom w:w="10" w:type="dxa"/>
              <w:right w:w="10" w:type="dxa"/>
            </w:tcMar>
          </w:tcPr>
          <w:p>
            <w:pPr>
              <w:pStyle w:val="8"/>
              <w:spacing w:before="40" w:beforeAutospacing="0" w:after="40" w:afterAutospacing="0"/>
              <w:jc w:val="center"/>
              <w:rPr>
                <w:rFonts w:ascii="Times New Roman" w:hAnsi="Times New Roman" w:cs="Times New Roman"/>
              </w:rPr>
            </w:pPr>
            <w:r>
              <w:rPr>
                <w:rFonts w:ascii="Times New Roman" w:hAnsi="Times New Roman" w:cs="Times New Roman"/>
                <w:color w:val="000000"/>
                <w:sz w:val="18"/>
                <w:szCs w:val="18"/>
              </w:rPr>
              <w:t>批复时间</w:t>
            </w:r>
          </w:p>
        </w:tc>
        <w:tc>
          <w:tcPr>
            <w:tcW w:w="1676" w:type="dxa"/>
            <w:shd w:val="clear" w:color="auto" w:fill="D9D9D9"/>
            <w:tcMar>
              <w:top w:w="10" w:type="dxa"/>
              <w:left w:w="10" w:type="dxa"/>
              <w:bottom w:w="10" w:type="dxa"/>
              <w:right w:w="10" w:type="dxa"/>
            </w:tcMar>
          </w:tcPr>
          <w:p>
            <w:pPr>
              <w:pStyle w:val="8"/>
              <w:spacing w:before="40" w:beforeAutospacing="0" w:after="40" w:afterAutospacing="0"/>
              <w:jc w:val="center"/>
              <w:rPr>
                <w:rFonts w:ascii="Times New Roman" w:hAnsi="Times New Roman" w:cs="Times New Roman"/>
              </w:rPr>
            </w:pPr>
            <w:r>
              <w:rPr>
                <w:rFonts w:ascii="Times New Roman" w:hAnsi="Times New Roman" w:cs="Times New Roman"/>
                <w:color w:val="000000"/>
                <w:sz w:val="18"/>
                <w:szCs w:val="18"/>
              </w:rPr>
              <w:t>验收批复</w:t>
            </w:r>
          </w:p>
        </w:tc>
        <w:tc>
          <w:tcPr>
            <w:tcW w:w="966" w:type="dxa"/>
            <w:shd w:val="clear" w:color="auto" w:fill="D9D9D9"/>
            <w:tcMar>
              <w:top w:w="10" w:type="dxa"/>
              <w:left w:w="10" w:type="dxa"/>
              <w:bottom w:w="10" w:type="dxa"/>
              <w:right w:w="10" w:type="dxa"/>
            </w:tcMar>
          </w:tcPr>
          <w:p>
            <w:pPr>
              <w:pStyle w:val="8"/>
              <w:spacing w:before="40" w:beforeAutospacing="0" w:after="40" w:afterAutospacing="0"/>
              <w:jc w:val="center"/>
              <w:rPr>
                <w:rFonts w:ascii="Times New Roman" w:hAnsi="Times New Roman" w:cs="Times New Roman"/>
              </w:rPr>
            </w:pPr>
            <w:r>
              <w:rPr>
                <w:rFonts w:ascii="Times New Roman" w:hAnsi="Times New Roman" w:cs="Times New Roman"/>
                <w:color w:val="000000"/>
                <w:sz w:val="18"/>
                <w:szCs w:val="18"/>
              </w:rPr>
              <w:t>验收时间</w:t>
            </w:r>
          </w:p>
        </w:tc>
        <w:tc>
          <w:tcPr>
            <w:tcW w:w="1303" w:type="dxa"/>
            <w:shd w:val="clear" w:color="auto" w:fill="D9D9D9"/>
            <w:tcMar>
              <w:top w:w="10" w:type="dxa"/>
              <w:left w:w="10" w:type="dxa"/>
              <w:bottom w:w="10" w:type="dxa"/>
              <w:right w:w="10" w:type="dxa"/>
            </w:tcMar>
          </w:tcPr>
          <w:p>
            <w:pPr>
              <w:pStyle w:val="8"/>
              <w:spacing w:before="40" w:beforeAutospacing="0" w:after="40" w:afterAutospacing="0"/>
              <w:jc w:val="center"/>
              <w:rPr>
                <w:rFonts w:ascii="Times New Roman" w:hAnsi="Times New Roman" w:cs="Times New Roman"/>
              </w:rPr>
            </w:pPr>
            <w:r>
              <w:rPr>
                <w:rFonts w:ascii="Times New Roman" w:hAnsi="Times New Roman" w:cs="Times New Roman"/>
                <w:color w:val="000000"/>
                <w:sz w:val="18"/>
                <w:szCs w:val="18"/>
              </w:rPr>
              <w:t>验收部门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1" w:hRule="atLeast"/>
        </w:trPr>
        <w:tc>
          <w:tcPr>
            <w:tcW w:w="2168" w:type="dxa"/>
            <w:tcMar>
              <w:top w:w="10" w:type="dxa"/>
              <w:left w:w="10" w:type="dxa"/>
              <w:bottom w:w="10" w:type="dxa"/>
              <w:right w:w="10" w:type="dxa"/>
            </w:tcMar>
          </w:tcPr>
          <w:p>
            <w:pPr>
              <w:pStyle w:val="8"/>
              <w:spacing w:before="40" w:beforeAutospacing="0" w:after="40" w:afterAutospacing="0"/>
              <w:rPr>
                <w:rFonts w:ascii="Times New Roman" w:hAnsi="Times New Roman" w:cs="Times New Roman"/>
              </w:rPr>
            </w:pPr>
            <w:r>
              <w:rPr>
                <w:rFonts w:ascii="Times New Roman" w:hAnsi="Times New Roman" w:cs="Times New Roman"/>
                <w:sz w:val="18"/>
                <w:szCs w:val="18"/>
              </w:rPr>
              <w:t>山东龙大肉食品股份有限公司生猪屠宰、加工项目</w:t>
            </w:r>
          </w:p>
        </w:tc>
        <w:tc>
          <w:tcPr>
            <w:tcW w:w="858" w:type="dxa"/>
            <w:tcMar>
              <w:top w:w="10" w:type="dxa"/>
              <w:left w:w="10" w:type="dxa"/>
              <w:bottom w:w="10" w:type="dxa"/>
              <w:right w:w="10" w:type="dxa"/>
            </w:tcMar>
          </w:tcPr>
          <w:p>
            <w:pPr>
              <w:pStyle w:val="8"/>
              <w:spacing w:before="40" w:beforeAutospacing="0" w:after="40" w:afterAutospacing="0"/>
              <w:rPr>
                <w:rFonts w:ascii="Times New Roman" w:hAnsi="Times New Roman" w:cs="Times New Roman"/>
              </w:rPr>
            </w:pPr>
            <w:r>
              <w:rPr>
                <w:rFonts w:ascii="Times New Roman" w:hAnsi="Times New Roman" w:cs="Times New Roman"/>
                <w:sz w:val="18"/>
                <w:szCs w:val="18"/>
              </w:rPr>
              <w:t>莱环发[2006]10号</w:t>
            </w:r>
          </w:p>
        </w:tc>
        <w:tc>
          <w:tcPr>
            <w:tcW w:w="1179" w:type="dxa"/>
            <w:tcMar>
              <w:top w:w="10" w:type="dxa"/>
              <w:left w:w="10" w:type="dxa"/>
              <w:bottom w:w="10" w:type="dxa"/>
              <w:right w:w="10" w:type="dxa"/>
            </w:tcMar>
          </w:tcPr>
          <w:p>
            <w:pPr>
              <w:pStyle w:val="8"/>
              <w:spacing w:before="40" w:beforeAutospacing="0" w:after="40" w:afterAutospacing="0"/>
              <w:rPr>
                <w:rFonts w:ascii="Times New Roman" w:hAnsi="Times New Roman" w:cs="Times New Roman"/>
              </w:rPr>
            </w:pPr>
            <w:r>
              <w:rPr>
                <w:rFonts w:ascii="Times New Roman" w:hAnsi="Times New Roman" w:cs="Times New Roman"/>
                <w:sz w:val="18"/>
                <w:szCs w:val="18"/>
              </w:rPr>
              <w:t>莱阳市环境保护局</w:t>
            </w:r>
          </w:p>
        </w:tc>
        <w:tc>
          <w:tcPr>
            <w:tcW w:w="1092" w:type="dxa"/>
            <w:tcMar>
              <w:top w:w="10" w:type="dxa"/>
              <w:left w:w="10" w:type="dxa"/>
              <w:bottom w:w="10" w:type="dxa"/>
              <w:right w:w="10" w:type="dxa"/>
            </w:tcMar>
          </w:tcPr>
          <w:p>
            <w:pPr>
              <w:pStyle w:val="8"/>
              <w:spacing w:before="40" w:beforeAutospacing="0" w:after="40" w:afterAutospacing="0"/>
              <w:rPr>
                <w:rFonts w:ascii="Times New Roman" w:hAnsi="Times New Roman" w:cs="Times New Roman"/>
              </w:rPr>
            </w:pPr>
            <w:r>
              <w:rPr>
                <w:rFonts w:ascii="Times New Roman" w:hAnsi="Times New Roman" w:cs="Times New Roman"/>
                <w:sz w:val="18"/>
                <w:szCs w:val="18"/>
              </w:rPr>
              <w:t>2006年7月10日</w:t>
            </w:r>
          </w:p>
        </w:tc>
        <w:tc>
          <w:tcPr>
            <w:tcW w:w="1676" w:type="dxa"/>
            <w:tcMar>
              <w:top w:w="10" w:type="dxa"/>
              <w:left w:w="10" w:type="dxa"/>
              <w:bottom w:w="10" w:type="dxa"/>
              <w:right w:w="10" w:type="dxa"/>
            </w:tcMar>
          </w:tcPr>
          <w:p>
            <w:pPr>
              <w:pStyle w:val="8"/>
              <w:spacing w:before="40" w:beforeAutospacing="0" w:after="40" w:afterAutospacing="0"/>
              <w:rPr>
                <w:rFonts w:ascii="Times New Roman" w:hAnsi="Times New Roman" w:cs="Times New Roman"/>
              </w:rPr>
            </w:pPr>
            <w:r>
              <w:rPr>
                <w:rFonts w:ascii="Times New Roman" w:hAnsi="Times New Roman" w:cs="Times New Roman"/>
                <w:sz w:val="18"/>
                <w:szCs w:val="18"/>
              </w:rPr>
              <w:t>莱阳市环境保护局2007年5月25日验收批复</w:t>
            </w:r>
          </w:p>
        </w:tc>
        <w:tc>
          <w:tcPr>
            <w:tcW w:w="966" w:type="dxa"/>
            <w:tcMar>
              <w:top w:w="10" w:type="dxa"/>
              <w:left w:w="10" w:type="dxa"/>
              <w:bottom w:w="10" w:type="dxa"/>
              <w:right w:w="10" w:type="dxa"/>
            </w:tcMar>
          </w:tcPr>
          <w:p>
            <w:pPr>
              <w:pStyle w:val="8"/>
              <w:spacing w:before="40" w:beforeAutospacing="0" w:after="40" w:afterAutospacing="0"/>
              <w:rPr>
                <w:rFonts w:ascii="Times New Roman" w:hAnsi="Times New Roman" w:cs="Times New Roman"/>
              </w:rPr>
            </w:pPr>
            <w:r>
              <w:rPr>
                <w:rFonts w:ascii="Times New Roman" w:hAnsi="Times New Roman" w:cs="Times New Roman"/>
                <w:sz w:val="18"/>
                <w:szCs w:val="18"/>
              </w:rPr>
              <w:t>2007年5月25日</w:t>
            </w:r>
          </w:p>
        </w:tc>
        <w:tc>
          <w:tcPr>
            <w:tcW w:w="1303" w:type="dxa"/>
            <w:tcMar>
              <w:top w:w="10" w:type="dxa"/>
              <w:left w:w="10" w:type="dxa"/>
              <w:bottom w:w="10" w:type="dxa"/>
              <w:right w:w="10" w:type="dxa"/>
            </w:tcMar>
          </w:tcPr>
          <w:p>
            <w:pPr>
              <w:pStyle w:val="8"/>
              <w:spacing w:before="40" w:beforeAutospacing="0" w:after="40" w:afterAutospacing="0"/>
              <w:rPr>
                <w:rFonts w:ascii="Times New Roman" w:hAnsi="Times New Roman" w:cs="Times New Roman"/>
              </w:rPr>
            </w:pPr>
            <w:r>
              <w:rPr>
                <w:rFonts w:ascii="Times New Roman" w:hAnsi="Times New Roman" w:cs="Times New Roman"/>
                <w:sz w:val="18"/>
                <w:szCs w:val="18"/>
              </w:rPr>
              <w:t>莱阳市环境保护局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0" w:hRule="atLeast"/>
        </w:trPr>
        <w:tc>
          <w:tcPr>
            <w:tcW w:w="2168" w:type="dxa"/>
            <w:tcMar>
              <w:top w:w="10" w:type="dxa"/>
              <w:left w:w="10" w:type="dxa"/>
              <w:bottom w:w="10" w:type="dxa"/>
              <w:right w:w="10" w:type="dxa"/>
            </w:tcMar>
          </w:tcPr>
          <w:p>
            <w:pPr>
              <w:pStyle w:val="8"/>
              <w:spacing w:before="40" w:beforeAutospacing="0" w:after="40" w:afterAutospacing="0"/>
              <w:rPr>
                <w:rFonts w:ascii="Times New Roman" w:hAnsi="Times New Roman" w:cs="Times New Roman"/>
              </w:rPr>
            </w:pPr>
            <w:r>
              <w:rPr>
                <w:rFonts w:ascii="Times New Roman" w:hAnsi="Times New Roman" w:cs="Times New Roman"/>
                <w:sz w:val="18"/>
                <w:szCs w:val="18"/>
              </w:rPr>
              <w:t>潍坊振祥食品有限公司300万头/年生猪屠宰及肉制品深加工项目</w:t>
            </w:r>
          </w:p>
        </w:tc>
        <w:tc>
          <w:tcPr>
            <w:tcW w:w="858" w:type="dxa"/>
            <w:tcMar>
              <w:top w:w="10" w:type="dxa"/>
              <w:left w:w="10" w:type="dxa"/>
              <w:bottom w:w="10" w:type="dxa"/>
              <w:right w:w="10" w:type="dxa"/>
            </w:tcMar>
          </w:tcPr>
          <w:p>
            <w:pPr>
              <w:pStyle w:val="8"/>
              <w:spacing w:before="40" w:beforeAutospacing="0" w:after="40" w:afterAutospacing="0"/>
              <w:jc w:val="both"/>
              <w:rPr>
                <w:rFonts w:ascii="Times New Roman" w:hAnsi="Times New Roman" w:cs="Times New Roman"/>
              </w:rPr>
            </w:pPr>
            <w:r>
              <w:rPr>
                <w:rFonts w:ascii="Times New Roman" w:hAnsi="Times New Roman" w:cs="Times New Roman"/>
                <w:sz w:val="18"/>
                <w:szCs w:val="18"/>
              </w:rPr>
              <w:t>安环字[2014]46号</w:t>
            </w:r>
          </w:p>
        </w:tc>
        <w:tc>
          <w:tcPr>
            <w:tcW w:w="1179" w:type="dxa"/>
            <w:tcMar>
              <w:top w:w="10" w:type="dxa"/>
              <w:left w:w="10" w:type="dxa"/>
              <w:bottom w:w="10" w:type="dxa"/>
              <w:right w:w="10" w:type="dxa"/>
            </w:tcMar>
          </w:tcPr>
          <w:p>
            <w:pPr>
              <w:pStyle w:val="8"/>
              <w:spacing w:before="40" w:beforeAutospacing="0" w:after="40" w:afterAutospacing="0"/>
              <w:rPr>
                <w:rFonts w:ascii="Times New Roman" w:hAnsi="Times New Roman" w:cs="Times New Roman"/>
              </w:rPr>
            </w:pPr>
            <w:r>
              <w:rPr>
                <w:rFonts w:ascii="Times New Roman" w:hAnsi="Times New Roman" w:cs="Times New Roman"/>
                <w:sz w:val="18"/>
                <w:szCs w:val="18"/>
              </w:rPr>
              <w:t>安丘市环境保护局</w:t>
            </w:r>
          </w:p>
        </w:tc>
        <w:tc>
          <w:tcPr>
            <w:tcW w:w="1092" w:type="dxa"/>
            <w:tcMar>
              <w:top w:w="10" w:type="dxa"/>
              <w:left w:w="10" w:type="dxa"/>
              <w:bottom w:w="10" w:type="dxa"/>
              <w:right w:w="10" w:type="dxa"/>
            </w:tcMar>
          </w:tcPr>
          <w:p>
            <w:pPr>
              <w:pStyle w:val="8"/>
              <w:spacing w:before="40" w:beforeAutospacing="0" w:after="40" w:afterAutospacing="0"/>
              <w:rPr>
                <w:rFonts w:ascii="Times New Roman" w:hAnsi="Times New Roman" w:cs="Times New Roman"/>
              </w:rPr>
            </w:pPr>
            <w:r>
              <w:rPr>
                <w:rFonts w:ascii="Times New Roman" w:hAnsi="Times New Roman" w:cs="Times New Roman"/>
                <w:sz w:val="18"/>
                <w:szCs w:val="18"/>
              </w:rPr>
              <w:t>2014年7月23日</w:t>
            </w:r>
          </w:p>
        </w:tc>
        <w:tc>
          <w:tcPr>
            <w:tcW w:w="1676" w:type="dxa"/>
            <w:tcMar>
              <w:top w:w="10" w:type="dxa"/>
              <w:left w:w="10" w:type="dxa"/>
              <w:bottom w:w="10" w:type="dxa"/>
              <w:right w:w="10" w:type="dxa"/>
            </w:tcMar>
          </w:tcPr>
          <w:p>
            <w:pPr>
              <w:pStyle w:val="8"/>
              <w:spacing w:before="40" w:beforeAutospacing="0" w:after="40" w:afterAutospacing="0"/>
              <w:rPr>
                <w:rFonts w:ascii="Times New Roman" w:hAnsi="Times New Roman" w:cs="Times New Roman"/>
              </w:rPr>
            </w:pPr>
            <w:r>
              <w:rPr>
                <w:rFonts w:ascii="Times New Roman" w:hAnsi="Times New Roman" w:cs="Times New Roman"/>
                <w:sz w:val="18"/>
                <w:szCs w:val="18"/>
              </w:rPr>
              <w:t>自主验收</w:t>
            </w:r>
          </w:p>
        </w:tc>
        <w:tc>
          <w:tcPr>
            <w:tcW w:w="966" w:type="dxa"/>
            <w:tcMar>
              <w:top w:w="10" w:type="dxa"/>
              <w:left w:w="10" w:type="dxa"/>
              <w:bottom w:w="10" w:type="dxa"/>
              <w:right w:w="10" w:type="dxa"/>
            </w:tcMar>
          </w:tcPr>
          <w:p>
            <w:pPr>
              <w:pStyle w:val="8"/>
              <w:spacing w:before="40" w:beforeAutospacing="0" w:after="40" w:afterAutospacing="0"/>
              <w:rPr>
                <w:rFonts w:ascii="Times New Roman" w:hAnsi="Times New Roman" w:cs="Times New Roman"/>
              </w:rPr>
            </w:pPr>
            <w:r>
              <w:rPr>
                <w:rFonts w:ascii="Times New Roman" w:hAnsi="Times New Roman" w:cs="Times New Roman"/>
                <w:sz w:val="18"/>
                <w:szCs w:val="18"/>
              </w:rPr>
              <w:t>2017年12月25日</w:t>
            </w:r>
          </w:p>
        </w:tc>
        <w:tc>
          <w:tcPr>
            <w:tcW w:w="1303" w:type="dxa"/>
            <w:tcMar>
              <w:top w:w="10" w:type="dxa"/>
              <w:left w:w="10" w:type="dxa"/>
              <w:bottom w:w="10" w:type="dxa"/>
              <w:right w:w="10" w:type="dxa"/>
            </w:tcMar>
          </w:tcPr>
          <w:p>
            <w:pPr>
              <w:pStyle w:val="8"/>
              <w:spacing w:before="40" w:beforeAutospacing="0" w:after="40" w:afterAutospacing="0"/>
              <w:rPr>
                <w:rFonts w:ascii="Times New Roman" w:hAnsi="Times New Roman" w:cs="Times New Roman"/>
              </w:rPr>
            </w:pPr>
            <w:r>
              <w:rPr>
                <w:rFonts w:ascii="Times New Roman" w:hAnsi="Times New Roman" w:cs="Times New Roman"/>
                <w:sz w:val="18"/>
                <w:szCs w:val="18"/>
              </w:rPr>
              <w:t>自主验收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1" w:hRule="atLeast"/>
        </w:trPr>
        <w:tc>
          <w:tcPr>
            <w:tcW w:w="2168" w:type="dxa"/>
            <w:tcMar>
              <w:top w:w="10" w:type="dxa"/>
              <w:left w:w="10" w:type="dxa"/>
              <w:bottom w:w="10" w:type="dxa"/>
              <w:right w:w="10" w:type="dxa"/>
            </w:tcMar>
          </w:tcPr>
          <w:p>
            <w:pPr>
              <w:pStyle w:val="8"/>
              <w:spacing w:before="40" w:beforeAutospacing="0" w:after="40" w:afterAutospacing="0"/>
              <w:rPr>
                <w:rFonts w:ascii="Times New Roman" w:hAnsi="Times New Roman" w:cs="Times New Roman"/>
              </w:rPr>
            </w:pPr>
            <w:r>
              <w:rPr>
                <w:rFonts w:ascii="Times New Roman" w:hAnsi="Times New Roman" w:cs="Times New Roman"/>
                <w:sz w:val="18"/>
                <w:szCs w:val="18"/>
              </w:rPr>
              <w:t>河南龙大牧原肉食品有限公司年屠宰80万头肉食品加工项目</w:t>
            </w:r>
          </w:p>
        </w:tc>
        <w:tc>
          <w:tcPr>
            <w:tcW w:w="858" w:type="dxa"/>
            <w:tcMar>
              <w:top w:w="10" w:type="dxa"/>
              <w:left w:w="10" w:type="dxa"/>
              <w:bottom w:w="10" w:type="dxa"/>
              <w:right w:w="10" w:type="dxa"/>
            </w:tcMar>
          </w:tcPr>
          <w:p>
            <w:pPr>
              <w:pStyle w:val="8"/>
              <w:spacing w:before="40" w:beforeAutospacing="0" w:after="40" w:afterAutospacing="0"/>
              <w:rPr>
                <w:rFonts w:ascii="Times New Roman" w:hAnsi="Times New Roman" w:cs="Times New Roman"/>
              </w:rPr>
            </w:pPr>
            <w:r>
              <w:rPr>
                <w:rFonts w:ascii="Times New Roman" w:hAnsi="Times New Roman" w:cs="Times New Roman"/>
                <w:sz w:val="18"/>
                <w:szCs w:val="18"/>
              </w:rPr>
              <w:t>豫环审[2009]193号</w:t>
            </w:r>
          </w:p>
        </w:tc>
        <w:tc>
          <w:tcPr>
            <w:tcW w:w="1179" w:type="dxa"/>
            <w:tcMar>
              <w:top w:w="10" w:type="dxa"/>
              <w:left w:w="10" w:type="dxa"/>
              <w:bottom w:w="10" w:type="dxa"/>
              <w:right w:w="10" w:type="dxa"/>
            </w:tcMar>
          </w:tcPr>
          <w:p>
            <w:pPr>
              <w:pStyle w:val="8"/>
              <w:spacing w:before="40" w:beforeAutospacing="0" w:after="40" w:afterAutospacing="0"/>
              <w:rPr>
                <w:rFonts w:ascii="Times New Roman" w:hAnsi="Times New Roman" w:cs="Times New Roman"/>
              </w:rPr>
            </w:pPr>
            <w:r>
              <w:rPr>
                <w:rFonts w:ascii="Times New Roman" w:hAnsi="Times New Roman" w:cs="Times New Roman"/>
                <w:sz w:val="18"/>
                <w:szCs w:val="18"/>
              </w:rPr>
              <w:t>河南省环境保护厅</w:t>
            </w:r>
          </w:p>
        </w:tc>
        <w:tc>
          <w:tcPr>
            <w:tcW w:w="1092" w:type="dxa"/>
            <w:tcMar>
              <w:top w:w="10" w:type="dxa"/>
              <w:left w:w="10" w:type="dxa"/>
              <w:bottom w:w="10" w:type="dxa"/>
              <w:right w:w="10" w:type="dxa"/>
            </w:tcMar>
          </w:tcPr>
          <w:p>
            <w:pPr>
              <w:pStyle w:val="8"/>
              <w:spacing w:before="40" w:beforeAutospacing="0" w:after="40" w:afterAutospacing="0"/>
              <w:rPr>
                <w:rFonts w:ascii="Times New Roman" w:hAnsi="Times New Roman" w:cs="Times New Roman"/>
              </w:rPr>
            </w:pPr>
            <w:r>
              <w:rPr>
                <w:rFonts w:ascii="Times New Roman" w:hAnsi="Times New Roman" w:cs="Times New Roman"/>
                <w:sz w:val="18"/>
                <w:szCs w:val="18"/>
              </w:rPr>
              <w:t>2009年7月9日</w:t>
            </w:r>
          </w:p>
        </w:tc>
        <w:tc>
          <w:tcPr>
            <w:tcW w:w="1676" w:type="dxa"/>
            <w:tcMar>
              <w:top w:w="10" w:type="dxa"/>
              <w:left w:w="10" w:type="dxa"/>
              <w:bottom w:w="10" w:type="dxa"/>
              <w:right w:w="10" w:type="dxa"/>
            </w:tcMar>
          </w:tcPr>
          <w:p>
            <w:pPr>
              <w:pStyle w:val="8"/>
              <w:spacing w:before="40" w:beforeAutospacing="0" w:after="40" w:afterAutospacing="0"/>
              <w:rPr>
                <w:rFonts w:ascii="Times New Roman" w:hAnsi="Times New Roman" w:cs="Times New Roman"/>
              </w:rPr>
            </w:pPr>
            <w:r>
              <w:rPr>
                <w:rFonts w:ascii="Times New Roman" w:hAnsi="Times New Roman" w:cs="Times New Roman"/>
                <w:sz w:val="18"/>
                <w:szCs w:val="18"/>
              </w:rPr>
              <w:t>宛环审[2011]3号</w:t>
            </w:r>
          </w:p>
        </w:tc>
        <w:tc>
          <w:tcPr>
            <w:tcW w:w="966" w:type="dxa"/>
            <w:tcMar>
              <w:top w:w="10" w:type="dxa"/>
              <w:left w:w="10" w:type="dxa"/>
              <w:bottom w:w="10" w:type="dxa"/>
              <w:right w:w="10" w:type="dxa"/>
            </w:tcMar>
          </w:tcPr>
          <w:p>
            <w:pPr>
              <w:pStyle w:val="8"/>
              <w:spacing w:before="40" w:beforeAutospacing="0" w:after="40" w:afterAutospacing="0"/>
              <w:rPr>
                <w:rFonts w:ascii="Times New Roman" w:hAnsi="Times New Roman" w:cs="Times New Roman"/>
              </w:rPr>
            </w:pPr>
            <w:r>
              <w:rPr>
                <w:rFonts w:ascii="Times New Roman" w:hAnsi="Times New Roman" w:cs="Times New Roman"/>
                <w:sz w:val="18"/>
                <w:szCs w:val="18"/>
              </w:rPr>
              <w:t>2011年1月10日</w:t>
            </w:r>
          </w:p>
        </w:tc>
        <w:tc>
          <w:tcPr>
            <w:tcW w:w="1303" w:type="dxa"/>
            <w:tcMar>
              <w:top w:w="10" w:type="dxa"/>
              <w:left w:w="10" w:type="dxa"/>
              <w:bottom w:w="10" w:type="dxa"/>
              <w:right w:w="10" w:type="dxa"/>
            </w:tcMar>
          </w:tcPr>
          <w:p>
            <w:pPr>
              <w:pStyle w:val="8"/>
              <w:spacing w:before="40" w:beforeAutospacing="0" w:after="40" w:afterAutospacing="0"/>
              <w:rPr>
                <w:rFonts w:ascii="Times New Roman" w:hAnsi="Times New Roman" w:cs="Times New Roman"/>
              </w:rPr>
            </w:pPr>
            <w:r>
              <w:rPr>
                <w:rFonts w:ascii="Times New Roman" w:hAnsi="Times New Roman" w:cs="Times New Roman"/>
                <w:sz w:val="18"/>
                <w:szCs w:val="18"/>
              </w:rPr>
              <w:t>南阳市环境保护局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0" w:hRule="atLeast"/>
        </w:trPr>
        <w:tc>
          <w:tcPr>
            <w:tcW w:w="2168" w:type="dxa"/>
            <w:tcMar>
              <w:top w:w="10" w:type="dxa"/>
              <w:left w:w="10" w:type="dxa"/>
              <w:bottom w:w="10" w:type="dxa"/>
              <w:right w:w="10" w:type="dxa"/>
            </w:tcMar>
          </w:tcPr>
          <w:p>
            <w:pPr>
              <w:pStyle w:val="8"/>
              <w:spacing w:before="40" w:beforeAutospacing="0" w:after="40" w:afterAutospacing="0"/>
              <w:rPr>
                <w:rFonts w:ascii="Times New Roman" w:hAnsi="Times New Roman" w:cs="Times New Roman"/>
              </w:rPr>
            </w:pPr>
            <w:r>
              <w:rPr>
                <w:rFonts w:ascii="Times New Roman" w:hAnsi="Times New Roman" w:cs="Times New Roman"/>
                <w:sz w:val="18"/>
                <w:szCs w:val="18"/>
              </w:rPr>
              <w:t>聊城龙大肉食品有限公司30万头/年生猪屠宰深加工项目</w:t>
            </w:r>
          </w:p>
        </w:tc>
        <w:tc>
          <w:tcPr>
            <w:tcW w:w="858" w:type="dxa"/>
            <w:tcMar>
              <w:top w:w="10" w:type="dxa"/>
              <w:left w:w="10" w:type="dxa"/>
              <w:bottom w:w="10" w:type="dxa"/>
              <w:right w:w="10" w:type="dxa"/>
            </w:tcMar>
          </w:tcPr>
          <w:p>
            <w:pPr>
              <w:pStyle w:val="8"/>
              <w:spacing w:before="40" w:beforeAutospacing="0" w:after="40" w:afterAutospacing="0"/>
              <w:rPr>
                <w:rFonts w:ascii="Times New Roman" w:hAnsi="Times New Roman" w:cs="Times New Roman"/>
              </w:rPr>
            </w:pPr>
            <w:r>
              <w:rPr>
                <w:rFonts w:ascii="Times New Roman" w:hAnsi="Times New Roman" w:cs="Times New Roman"/>
                <w:sz w:val="18"/>
                <w:szCs w:val="18"/>
              </w:rPr>
              <w:t>聊环审【2007】39号</w:t>
            </w:r>
          </w:p>
        </w:tc>
        <w:tc>
          <w:tcPr>
            <w:tcW w:w="1179" w:type="dxa"/>
            <w:tcMar>
              <w:top w:w="10" w:type="dxa"/>
              <w:left w:w="10" w:type="dxa"/>
              <w:bottom w:w="10" w:type="dxa"/>
              <w:right w:w="10" w:type="dxa"/>
            </w:tcMar>
          </w:tcPr>
          <w:p>
            <w:pPr>
              <w:pStyle w:val="8"/>
              <w:spacing w:before="40" w:beforeAutospacing="0" w:after="40" w:afterAutospacing="0"/>
              <w:rPr>
                <w:rFonts w:ascii="Times New Roman" w:hAnsi="Times New Roman" w:cs="Times New Roman"/>
              </w:rPr>
            </w:pPr>
            <w:r>
              <w:rPr>
                <w:rFonts w:ascii="Times New Roman" w:hAnsi="Times New Roman" w:cs="Times New Roman"/>
                <w:sz w:val="18"/>
                <w:szCs w:val="18"/>
              </w:rPr>
              <w:t>聊城市环境保护局</w:t>
            </w:r>
          </w:p>
        </w:tc>
        <w:tc>
          <w:tcPr>
            <w:tcW w:w="1092" w:type="dxa"/>
            <w:tcMar>
              <w:top w:w="10" w:type="dxa"/>
              <w:left w:w="10" w:type="dxa"/>
              <w:bottom w:w="10" w:type="dxa"/>
              <w:right w:w="10" w:type="dxa"/>
            </w:tcMar>
          </w:tcPr>
          <w:p>
            <w:pPr>
              <w:pStyle w:val="8"/>
              <w:spacing w:before="40" w:beforeAutospacing="0" w:after="40" w:afterAutospacing="0"/>
              <w:rPr>
                <w:rFonts w:ascii="Times New Roman" w:hAnsi="Times New Roman" w:cs="Times New Roman"/>
              </w:rPr>
            </w:pPr>
            <w:r>
              <w:rPr>
                <w:rFonts w:ascii="Times New Roman" w:hAnsi="Times New Roman" w:cs="Times New Roman"/>
                <w:sz w:val="18"/>
                <w:szCs w:val="18"/>
              </w:rPr>
              <w:t>2007年11月10日</w:t>
            </w:r>
          </w:p>
        </w:tc>
        <w:tc>
          <w:tcPr>
            <w:tcW w:w="1676" w:type="dxa"/>
            <w:tcMar>
              <w:top w:w="10" w:type="dxa"/>
              <w:left w:w="10" w:type="dxa"/>
              <w:bottom w:w="10" w:type="dxa"/>
              <w:right w:w="10" w:type="dxa"/>
            </w:tcMar>
          </w:tcPr>
          <w:p>
            <w:pPr>
              <w:pStyle w:val="8"/>
              <w:spacing w:before="40" w:beforeAutospacing="0" w:after="40" w:afterAutospacing="0"/>
              <w:rPr>
                <w:rFonts w:ascii="Times New Roman" w:hAnsi="Times New Roman" w:cs="Times New Roman"/>
              </w:rPr>
            </w:pPr>
            <w:r>
              <w:rPr>
                <w:rFonts w:ascii="Times New Roman" w:hAnsi="Times New Roman" w:cs="Times New Roman"/>
                <w:sz w:val="18"/>
                <w:szCs w:val="18"/>
              </w:rPr>
              <w:t>聊环验【2010】10号</w:t>
            </w:r>
          </w:p>
        </w:tc>
        <w:tc>
          <w:tcPr>
            <w:tcW w:w="966" w:type="dxa"/>
            <w:tcMar>
              <w:top w:w="10" w:type="dxa"/>
              <w:left w:w="10" w:type="dxa"/>
              <w:bottom w:w="10" w:type="dxa"/>
              <w:right w:w="10" w:type="dxa"/>
            </w:tcMar>
          </w:tcPr>
          <w:p>
            <w:pPr>
              <w:pStyle w:val="8"/>
              <w:spacing w:before="40" w:beforeAutospacing="0" w:after="40" w:afterAutospacing="0"/>
              <w:rPr>
                <w:rFonts w:ascii="Times New Roman" w:hAnsi="Times New Roman" w:cs="Times New Roman"/>
              </w:rPr>
            </w:pPr>
            <w:r>
              <w:rPr>
                <w:rFonts w:ascii="Times New Roman" w:hAnsi="Times New Roman" w:cs="Times New Roman"/>
                <w:sz w:val="18"/>
                <w:szCs w:val="18"/>
              </w:rPr>
              <w:t>2010年5月15日</w:t>
            </w:r>
          </w:p>
        </w:tc>
        <w:tc>
          <w:tcPr>
            <w:tcW w:w="1303" w:type="dxa"/>
            <w:tcMar>
              <w:top w:w="10" w:type="dxa"/>
              <w:left w:w="10" w:type="dxa"/>
              <w:bottom w:w="10" w:type="dxa"/>
              <w:right w:w="10" w:type="dxa"/>
            </w:tcMar>
          </w:tcPr>
          <w:p>
            <w:pPr>
              <w:pStyle w:val="8"/>
              <w:spacing w:before="40" w:beforeAutospacing="0" w:after="40" w:afterAutospacing="0"/>
              <w:rPr>
                <w:rFonts w:ascii="Times New Roman" w:hAnsi="Times New Roman" w:cs="Times New Roman"/>
              </w:rPr>
            </w:pPr>
            <w:r>
              <w:rPr>
                <w:rFonts w:ascii="Times New Roman" w:hAnsi="Times New Roman" w:cs="Times New Roman"/>
                <w:sz w:val="18"/>
                <w:szCs w:val="18"/>
              </w:rPr>
              <w:t>聊城市环境保护局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6" w:hRule="atLeast"/>
        </w:trPr>
        <w:tc>
          <w:tcPr>
            <w:tcW w:w="2168" w:type="dxa"/>
            <w:tcMar>
              <w:top w:w="10" w:type="dxa"/>
              <w:left w:w="10" w:type="dxa"/>
              <w:bottom w:w="10" w:type="dxa"/>
              <w:right w:w="10" w:type="dxa"/>
            </w:tcMar>
          </w:tcPr>
          <w:p>
            <w:pPr>
              <w:pStyle w:val="8"/>
              <w:spacing w:before="40" w:beforeAutospacing="0" w:after="40" w:afterAutospacing="0"/>
              <w:rPr>
                <w:rFonts w:ascii="Times New Roman" w:hAnsi="Times New Roman" w:cs="Times New Roman"/>
              </w:rPr>
            </w:pPr>
            <w:r>
              <w:rPr>
                <w:rFonts w:ascii="Times New Roman" w:hAnsi="Times New Roman" w:cs="Times New Roman"/>
                <w:sz w:val="18"/>
                <w:szCs w:val="18"/>
              </w:rPr>
              <w:t>蓬莱富龙肉食品有限公司</w:t>
            </w:r>
          </w:p>
          <w:p>
            <w:pPr>
              <w:pStyle w:val="8"/>
              <w:spacing w:before="40" w:beforeAutospacing="0" w:after="40" w:afterAutospacing="0"/>
              <w:rPr>
                <w:rFonts w:ascii="Times New Roman" w:hAnsi="Times New Roman" w:cs="Times New Roman"/>
              </w:rPr>
            </w:pPr>
            <w:r>
              <w:rPr>
                <w:rFonts w:ascii="Times New Roman" w:hAnsi="Times New Roman" w:cs="Times New Roman"/>
                <w:sz w:val="18"/>
                <w:szCs w:val="18"/>
              </w:rPr>
              <w:t>16万头/年生猪屠宰项目</w:t>
            </w:r>
          </w:p>
        </w:tc>
        <w:tc>
          <w:tcPr>
            <w:tcW w:w="858" w:type="dxa"/>
            <w:tcMar>
              <w:top w:w="10" w:type="dxa"/>
              <w:left w:w="10" w:type="dxa"/>
              <w:bottom w:w="10" w:type="dxa"/>
              <w:right w:w="10" w:type="dxa"/>
            </w:tcMar>
          </w:tcPr>
          <w:p>
            <w:pPr>
              <w:pStyle w:val="8"/>
              <w:spacing w:before="40" w:beforeAutospacing="0" w:after="40" w:afterAutospacing="0"/>
              <w:rPr>
                <w:rFonts w:ascii="Times New Roman" w:hAnsi="Times New Roman" w:cs="Times New Roman"/>
              </w:rPr>
            </w:pPr>
            <w:r>
              <w:rPr>
                <w:rFonts w:ascii="Times New Roman" w:hAnsi="Times New Roman" w:cs="Times New Roman"/>
                <w:sz w:val="18"/>
                <w:szCs w:val="18"/>
              </w:rPr>
              <w:t>蓬环审[2015]4号</w:t>
            </w:r>
          </w:p>
        </w:tc>
        <w:tc>
          <w:tcPr>
            <w:tcW w:w="1179" w:type="dxa"/>
            <w:tcMar>
              <w:top w:w="10" w:type="dxa"/>
              <w:left w:w="10" w:type="dxa"/>
              <w:bottom w:w="10" w:type="dxa"/>
              <w:right w:w="10" w:type="dxa"/>
            </w:tcMar>
          </w:tcPr>
          <w:p>
            <w:pPr>
              <w:pStyle w:val="8"/>
              <w:spacing w:before="40" w:beforeAutospacing="0" w:after="40" w:afterAutospacing="0"/>
              <w:rPr>
                <w:rFonts w:ascii="Times New Roman" w:hAnsi="Times New Roman" w:cs="Times New Roman"/>
              </w:rPr>
            </w:pPr>
            <w:r>
              <w:rPr>
                <w:rFonts w:ascii="Times New Roman" w:hAnsi="Times New Roman" w:cs="Times New Roman"/>
                <w:sz w:val="18"/>
                <w:szCs w:val="18"/>
              </w:rPr>
              <w:t>蓬莱市环境保护局</w:t>
            </w:r>
          </w:p>
        </w:tc>
        <w:tc>
          <w:tcPr>
            <w:tcW w:w="1092" w:type="dxa"/>
            <w:tcMar>
              <w:top w:w="10" w:type="dxa"/>
              <w:left w:w="10" w:type="dxa"/>
              <w:bottom w:w="10" w:type="dxa"/>
              <w:right w:w="10" w:type="dxa"/>
            </w:tcMar>
          </w:tcPr>
          <w:p>
            <w:pPr>
              <w:pStyle w:val="8"/>
              <w:spacing w:before="40" w:beforeAutospacing="0" w:after="40" w:afterAutospacing="0"/>
              <w:rPr>
                <w:rFonts w:ascii="Times New Roman" w:hAnsi="Times New Roman" w:cs="Times New Roman"/>
              </w:rPr>
            </w:pPr>
            <w:r>
              <w:rPr>
                <w:rFonts w:ascii="Times New Roman" w:hAnsi="Times New Roman" w:cs="Times New Roman"/>
                <w:sz w:val="18"/>
                <w:szCs w:val="18"/>
              </w:rPr>
              <w:t>2015年5月25日</w:t>
            </w:r>
          </w:p>
        </w:tc>
        <w:tc>
          <w:tcPr>
            <w:tcW w:w="1676" w:type="dxa"/>
            <w:tcMar>
              <w:top w:w="10" w:type="dxa"/>
              <w:left w:w="10" w:type="dxa"/>
              <w:bottom w:w="10" w:type="dxa"/>
              <w:right w:w="10" w:type="dxa"/>
            </w:tcMar>
          </w:tcPr>
          <w:p>
            <w:pPr>
              <w:pStyle w:val="8"/>
              <w:spacing w:before="40" w:beforeAutospacing="0" w:after="40" w:afterAutospacing="0"/>
              <w:rPr>
                <w:rFonts w:ascii="Times New Roman" w:hAnsi="Times New Roman" w:cs="Times New Roman"/>
              </w:rPr>
            </w:pPr>
            <w:r>
              <w:rPr>
                <w:rFonts w:ascii="Times New Roman" w:hAnsi="Times New Roman" w:cs="Times New Roman"/>
                <w:sz w:val="18"/>
                <w:szCs w:val="18"/>
              </w:rPr>
              <w:t>烟台市生态环境局蓬莱分局2019年12月24日验收批复</w:t>
            </w:r>
          </w:p>
        </w:tc>
        <w:tc>
          <w:tcPr>
            <w:tcW w:w="966" w:type="dxa"/>
            <w:tcMar>
              <w:top w:w="10" w:type="dxa"/>
              <w:left w:w="10" w:type="dxa"/>
              <w:bottom w:w="10" w:type="dxa"/>
              <w:right w:w="10" w:type="dxa"/>
            </w:tcMar>
          </w:tcPr>
          <w:p>
            <w:pPr>
              <w:pStyle w:val="8"/>
              <w:spacing w:before="40" w:beforeAutospacing="0" w:after="40" w:afterAutospacing="0"/>
              <w:rPr>
                <w:rFonts w:ascii="Times New Roman" w:hAnsi="Times New Roman" w:cs="Times New Roman"/>
              </w:rPr>
            </w:pPr>
            <w:r>
              <w:rPr>
                <w:rFonts w:ascii="Times New Roman" w:hAnsi="Times New Roman" w:cs="Times New Roman"/>
                <w:sz w:val="18"/>
                <w:szCs w:val="18"/>
              </w:rPr>
              <w:t>2019年12月24日</w:t>
            </w:r>
          </w:p>
        </w:tc>
        <w:tc>
          <w:tcPr>
            <w:tcW w:w="1303" w:type="dxa"/>
            <w:tcMar>
              <w:top w:w="10" w:type="dxa"/>
              <w:left w:w="10" w:type="dxa"/>
              <w:bottom w:w="10" w:type="dxa"/>
              <w:right w:w="10" w:type="dxa"/>
            </w:tcMar>
          </w:tcPr>
          <w:p>
            <w:pPr>
              <w:pStyle w:val="8"/>
              <w:spacing w:before="40" w:beforeAutospacing="0" w:after="40" w:afterAutospacing="0"/>
              <w:rPr>
                <w:rFonts w:ascii="Times New Roman" w:hAnsi="Times New Roman" w:cs="Times New Roman"/>
              </w:rPr>
            </w:pPr>
            <w:r>
              <w:rPr>
                <w:rFonts w:ascii="Times New Roman" w:hAnsi="Times New Roman" w:cs="Times New Roman"/>
                <w:sz w:val="18"/>
                <w:szCs w:val="18"/>
              </w:rPr>
              <w:t>烟台市生态环境局蓬莱分局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0" w:hRule="atLeast"/>
        </w:trPr>
        <w:tc>
          <w:tcPr>
            <w:tcW w:w="2168" w:type="dxa"/>
            <w:tcMar>
              <w:top w:w="10" w:type="dxa"/>
              <w:left w:w="10" w:type="dxa"/>
              <w:bottom w:w="10" w:type="dxa"/>
              <w:right w:w="10" w:type="dxa"/>
            </w:tcMar>
          </w:tcPr>
          <w:p>
            <w:pPr>
              <w:pStyle w:val="8"/>
              <w:spacing w:before="40" w:beforeAutospacing="0" w:after="40" w:afterAutospacing="0"/>
              <w:rPr>
                <w:rFonts w:ascii="Times New Roman" w:hAnsi="Times New Roman" w:cs="Times New Roman"/>
              </w:rPr>
            </w:pPr>
            <w:r>
              <w:rPr>
                <w:rFonts w:ascii="Times New Roman" w:hAnsi="Times New Roman" w:cs="Times New Roman"/>
                <w:sz w:val="18"/>
                <w:szCs w:val="18"/>
              </w:rPr>
              <w:t>黑龙江龙大肉食品有限公司</w:t>
            </w:r>
          </w:p>
        </w:tc>
        <w:tc>
          <w:tcPr>
            <w:tcW w:w="858" w:type="dxa"/>
            <w:tcMar>
              <w:top w:w="10" w:type="dxa"/>
              <w:left w:w="10" w:type="dxa"/>
              <w:bottom w:w="10" w:type="dxa"/>
              <w:right w:w="10" w:type="dxa"/>
            </w:tcMar>
          </w:tcPr>
          <w:p>
            <w:pPr>
              <w:pStyle w:val="8"/>
              <w:spacing w:before="40" w:beforeAutospacing="0" w:after="40" w:afterAutospacing="0"/>
              <w:rPr>
                <w:rFonts w:ascii="Times New Roman" w:hAnsi="Times New Roman" w:cs="Times New Roman"/>
              </w:rPr>
            </w:pPr>
            <w:r>
              <w:rPr>
                <w:rFonts w:ascii="Times New Roman" w:hAnsi="Times New Roman" w:cs="Times New Roman"/>
                <w:sz w:val="18"/>
                <w:szCs w:val="18"/>
              </w:rPr>
              <w:t>绥环审【2022】60号</w:t>
            </w:r>
          </w:p>
        </w:tc>
        <w:tc>
          <w:tcPr>
            <w:tcW w:w="1179" w:type="dxa"/>
            <w:tcMar>
              <w:top w:w="10" w:type="dxa"/>
              <w:left w:w="10" w:type="dxa"/>
              <w:bottom w:w="10" w:type="dxa"/>
              <w:right w:w="10" w:type="dxa"/>
            </w:tcMar>
          </w:tcPr>
          <w:p>
            <w:pPr>
              <w:pStyle w:val="8"/>
              <w:spacing w:before="40" w:beforeAutospacing="0" w:after="40" w:afterAutospacing="0"/>
              <w:rPr>
                <w:rFonts w:ascii="Times New Roman" w:hAnsi="Times New Roman" w:cs="Times New Roman"/>
              </w:rPr>
            </w:pPr>
            <w:r>
              <w:rPr>
                <w:rFonts w:ascii="Times New Roman" w:hAnsi="Times New Roman" w:cs="Times New Roman"/>
                <w:sz w:val="18"/>
                <w:szCs w:val="18"/>
              </w:rPr>
              <w:t>绥化市生态环境局</w:t>
            </w:r>
          </w:p>
        </w:tc>
        <w:tc>
          <w:tcPr>
            <w:tcW w:w="1092" w:type="dxa"/>
            <w:tcMar>
              <w:top w:w="10" w:type="dxa"/>
              <w:left w:w="10" w:type="dxa"/>
              <w:bottom w:w="10" w:type="dxa"/>
              <w:right w:w="10" w:type="dxa"/>
            </w:tcMar>
          </w:tcPr>
          <w:p>
            <w:pPr>
              <w:pStyle w:val="8"/>
              <w:spacing w:before="40" w:beforeAutospacing="0" w:after="40" w:afterAutospacing="0"/>
              <w:rPr>
                <w:rFonts w:ascii="Times New Roman" w:hAnsi="Times New Roman" w:cs="Times New Roman"/>
              </w:rPr>
            </w:pPr>
            <w:r>
              <w:rPr>
                <w:rFonts w:ascii="Times New Roman" w:hAnsi="Times New Roman" w:cs="Times New Roman"/>
                <w:sz w:val="18"/>
                <w:szCs w:val="18"/>
              </w:rPr>
              <w:t>2022</w:t>
            </w:r>
            <w:r>
              <w:rPr>
                <w:rFonts w:ascii="Times New Roman" w:hAnsi="Times New Roman" w:eastAsia="等线" w:cs="Times New Roman"/>
                <w:sz w:val="18"/>
                <w:szCs w:val="18"/>
              </w:rPr>
              <w:t>年</w:t>
            </w:r>
            <w:r>
              <w:rPr>
                <w:rFonts w:ascii="Times New Roman" w:hAnsi="Times New Roman" w:cs="Times New Roman"/>
                <w:sz w:val="18"/>
                <w:szCs w:val="18"/>
              </w:rPr>
              <w:t>9</w:t>
            </w:r>
            <w:r>
              <w:rPr>
                <w:rFonts w:ascii="Times New Roman" w:hAnsi="Times New Roman" w:eastAsia="等线" w:cs="Times New Roman"/>
                <w:sz w:val="18"/>
                <w:szCs w:val="18"/>
              </w:rPr>
              <w:t>月</w:t>
            </w:r>
            <w:r>
              <w:rPr>
                <w:rFonts w:ascii="Times New Roman" w:hAnsi="Times New Roman" w:cs="Times New Roman"/>
                <w:sz w:val="18"/>
                <w:szCs w:val="18"/>
              </w:rPr>
              <w:t>9</w:t>
            </w:r>
            <w:r>
              <w:rPr>
                <w:rFonts w:ascii="Times New Roman" w:hAnsi="Times New Roman" w:eastAsia="等线" w:cs="Times New Roman"/>
                <w:sz w:val="18"/>
                <w:szCs w:val="18"/>
              </w:rPr>
              <w:t>日</w:t>
            </w:r>
          </w:p>
        </w:tc>
        <w:tc>
          <w:tcPr>
            <w:tcW w:w="1676" w:type="dxa"/>
            <w:tcMar>
              <w:top w:w="10" w:type="dxa"/>
              <w:left w:w="10" w:type="dxa"/>
              <w:bottom w:w="10" w:type="dxa"/>
              <w:right w:w="10" w:type="dxa"/>
            </w:tcMar>
          </w:tcPr>
          <w:p>
            <w:pPr>
              <w:pStyle w:val="8"/>
              <w:spacing w:before="40" w:beforeAutospacing="0" w:after="40" w:afterAutospacing="0"/>
              <w:rPr>
                <w:rFonts w:ascii="Times New Roman" w:hAnsi="Times New Roman" w:cs="Times New Roman"/>
              </w:rPr>
            </w:pPr>
            <w:r>
              <w:rPr>
                <w:rFonts w:ascii="Times New Roman" w:hAnsi="Times New Roman" w:cs="Times New Roman"/>
                <w:sz w:val="18"/>
                <w:szCs w:val="18"/>
              </w:rPr>
              <w:t> </w:t>
            </w:r>
          </w:p>
        </w:tc>
        <w:tc>
          <w:tcPr>
            <w:tcW w:w="966" w:type="dxa"/>
            <w:tcMar>
              <w:top w:w="10" w:type="dxa"/>
              <w:left w:w="10" w:type="dxa"/>
              <w:bottom w:w="10" w:type="dxa"/>
              <w:right w:w="10" w:type="dxa"/>
            </w:tcMar>
          </w:tcPr>
          <w:p>
            <w:pPr>
              <w:pStyle w:val="8"/>
              <w:spacing w:before="40" w:beforeAutospacing="0" w:after="40" w:afterAutospacing="0"/>
              <w:rPr>
                <w:rFonts w:ascii="Times New Roman" w:hAnsi="Times New Roman" w:cs="Times New Roman"/>
              </w:rPr>
            </w:pPr>
            <w:r>
              <w:rPr>
                <w:rFonts w:ascii="Times New Roman" w:hAnsi="Times New Roman" w:cs="Times New Roman"/>
                <w:sz w:val="18"/>
                <w:szCs w:val="18"/>
              </w:rPr>
              <w:t> </w:t>
            </w:r>
          </w:p>
        </w:tc>
        <w:tc>
          <w:tcPr>
            <w:tcW w:w="1303" w:type="dxa"/>
            <w:tcMar>
              <w:top w:w="10" w:type="dxa"/>
              <w:left w:w="10" w:type="dxa"/>
              <w:bottom w:w="10" w:type="dxa"/>
              <w:right w:w="10" w:type="dxa"/>
            </w:tcMar>
          </w:tcPr>
          <w:p>
            <w:pPr>
              <w:pStyle w:val="8"/>
              <w:spacing w:before="40" w:beforeAutospacing="0" w:after="40" w:afterAutospacing="0"/>
              <w:rPr>
                <w:rFonts w:ascii="Times New Roman" w:hAnsi="Times New Roman" w:cs="Times New Roman"/>
              </w:rPr>
            </w:pPr>
            <w:r>
              <w:rPr>
                <w:rFonts w:ascii="Times New Roman" w:hAnsi="Times New Roman" w:cs="Times New Roman"/>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1" w:hRule="atLeast"/>
        </w:trPr>
        <w:tc>
          <w:tcPr>
            <w:tcW w:w="2168" w:type="dxa"/>
            <w:tcMar>
              <w:top w:w="10" w:type="dxa"/>
              <w:left w:w="10" w:type="dxa"/>
              <w:bottom w:w="10" w:type="dxa"/>
              <w:right w:w="10" w:type="dxa"/>
            </w:tcMar>
          </w:tcPr>
          <w:p>
            <w:pPr>
              <w:pStyle w:val="8"/>
              <w:spacing w:before="40" w:beforeAutospacing="0" w:after="40" w:afterAutospacing="0"/>
              <w:rPr>
                <w:rFonts w:ascii="Times New Roman" w:hAnsi="Times New Roman" w:cs="Times New Roman"/>
              </w:rPr>
            </w:pPr>
            <w:r>
              <w:rPr>
                <w:rFonts w:ascii="Times New Roman" w:hAnsi="Times New Roman" w:cs="Times New Roman"/>
                <w:sz w:val="18"/>
                <w:szCs w:val="18"/>
              </w:rPr>
              <w:t>江苏龙大沁侬食品有限公司灌云生猪屠宰项目</w:t>
            </w:r>
          </w:p>
        </w:tc>
        <w:tc>
          <w:tcPr>
            <w:tcW w:w="858" w:type="dxa"/>
            <w:tcMar>
              <w:top w:w="10" w:type="dxa"/>
              <w:left w:w="10" w:type="dxa"/>
              <w:bottom w:w="10" w:type="dxa"/>
              <w:right w:w="10" w:type="dxa"/>
            </w:tcMar>
          </w:tcPr>
          <w:p>
            <w:pPr>
              <w:pStyle w:val="8"/>
              <w:spacing w:before="40" w:beforeAutospacing="0" w:after="40" w:afterAutospacing="0"/>
              <w:rPr>
                <w:rFonts w:ascii="Times New Roman" w:hAnsi="Times New Roman" w:cs="Times New Roman"/>
              </w:rPr>
            </w:pPr>
            <w:r>
              <w:rPr>
                <w:rFonts w:ascii="Times New Roman" w:hAnsi="Times New Roman" w:cs="Times New Roman"/>
                <w:sz w:val="18"/>
                <w:szCs w:val="18"/>
              </w:rPr>
              <w:t>连环审【2022】2022号</w:t>
            </w:r>
          </w:p>
        </w:tc>
        <w:tc>
          <w:tcPr>
            <w:tcW w:w="1179" w:type="dxa"/>
            <w:tcMar>
              <w:top w:w="10" w:type="dxa"/>
              <w:left w:w="10" w:type="dxa"/>
              <w:bottom w:w="10" w:type="dxa"/>
              <w:right w:w="10" w:type="dxa"/>
            </w:tcMar>
          </w:tcPr>
          <w:p>
            <w:pPr>
              <w:pStyle w:val="8"/>
              <w:spacing w:before="40" w:beforeAutospacing="0" w:after="40" w:afterAutospacing="0"/>
              <w:rPr>
                <w:rFonts w:ascii="Times New Roman" w:hAnsi="Times New Roman" w:cs="Times New Roman"/>
              </w:rPr>
            </w:pPr>
            <w:r>
              <w:rPr>
                <w:rFonts w:ascii="Times New Roman" w:hAnsi="Times New Roman" w:cs="Times New Roman"/>
                <w:sz w:val="18"/>
                <w:szCs w:val="18"/>
              </w:rPr>
              <w:t>连云港市生态环境局</w:t>
            </w:r>
          </w:p>
        </w:tc>
        <w:tc>
          <w:tcPr>
            <w:tcW w:w="1092" w:type="dxa"/>
            <w:tcMar>
              <w:top w:w="10" w:type="dxa"/>
              <w:left w:w="10" w:type="dxa"/>
              <w:bottom w:w="10" w:type="dxa"/>
              <w:right w:w="10" w:type="dxa"/>
            </w:tcMar>
          </w:tcPr>
          <w:p>
            <w:pPr>
              <w:pStyle w:val="8"/>
              <w:spacing w:before="40" w:beforeAutospacing="0" w:after="40" w:afterAutospacing="0"/>
              <w:rPr>
                <w:rFonts w:ascii="Times New Roman" w:hAnsi="Times New Roman" w:cs="Times New Roman"/>
              </w:rPr>
            </w:pPr>
            <w:r>
              <w:rPr>
                <w:rFonts w:ascii="Times New Roman" w:hAnsi="Times New Roman" w:cs="Times New Roman"/>
                <w:sz w:val="18"/>
                <w:szCs w:val="18"/>
              </w:rPr>
              <w:t>2022</w:t>
            </w:r>
            <w:r>
              <w:rPr>
                <w:rFonts w:ascii="Times New Roman" w:hAnsi="Times New Roman" w:eastAsia="等线" w:cs="Times New Roman"/>
                <w:sz w:val="18"/>
                <w:szCs w:val="18"/>
              </w:rPr>
              <w:t>年</w:t>
            </w:r>
            <w:r>
              <w:rPr>
                <w:rFonts w:ascii="Times New Roman" w:hAnsi="Times New Roman" w:cs="Times New Roman"/>
                <w:sz w:val="18"/>
                <w:szCs w:val="18"/>
              </w:rPr>
              <w:t>9</w:t>
            </w:r>
            <w:r>
              <w:rPr>
                <w:rFonts w:ascii="Times New Roman" w:hAnsi="Times New Roman" w:eastAsia="等线" w:cs="Times New Roman"/>
                <w:sz w:val="18"/>
                <w:szCs w:val="18"/>
              </w:rPr>
              <w:t>月</w:t>
            </w:r>
            <w:r>
              <w:rPr>
                <w:rFonts w:ascii="Times New Roman" w:hAnsi="Times New Roman" w:cs="Times New Roman"/>
                <w:sz w:val="18"/>
                <w:szCs w:val="18"/>
              </w:rPr>
              <w:t>14</w:t>
            </w:r>
            <w:r>
              <w:rPr>
                <w:rFonts w:ascii="Times New Roman" w:hAnsi="Times New Roman" w:eastAsia="等线" w:cs="Times New Roman"/>
                <w:sz w:val="18"/>
                <w:szCs w:val="18"/>
              </w:rPr>
              <w:t>日</w:t>
            </w:r>
          </w:p>
        </w:tc>
        <w:tc>
          <w:tcPr>
            <w:tcW w:w="1676" w:type="dxa"/>
            <w:tcMar>
              <w:top w:w="10" w:type="dxa"/>
              <w:left w:w="10" w:type="dxa"/>
              <w:bottom w:w="10" w:type="dxa"/>
              <w:right w:w="10" w:type="dxa"/>
            </w:tcMar>
          </w:tcPr>
          <w:p>
            <w:pPr>
              <w:pStyle w:val="8"/>
              <w:spacing w:before="40" w:beforeAutospacing="0" w:after="40" w:afterAutospacing="0"/>
              <w:rPr>
                <w:rFonts w:ascii="Times New Roman" w:hAnsi="Times New Roman" w:cs="Times New Roman"/>
              </w:rPr>
            </w:pPr>
            <w:r>
              <w:rPr>
                <w:rFonts w:ascii="Times New Roman" w:hAnsi="Times New Roman" w:cs="Times New Roman"/>
                <w:sz w:val="18"/>
                <w:szCs w:val="18"/>
              </w:rPr>
              <w:t> </w:t>
            </w:r>
          </w:p>
        </w:tc>
        <w:tc>
          <w:tcPr>
            <w:tcW w:w="966" w:type="dxa"/>
            <w:tcMar>
              <w:top w:w="10" w:type="dxa"/>
              <w:left w:w="10" w:type="dxa"/>
              <w:bottom w:w="10" w:type="dxa"/>
              <w:right w:w="10" w:type="dxa"/>
            </w:tcMar>
          </w:tcPr>
          <w:p>
            <w:pPr>
              <w:pStyle w:val="8"/>
              <w:spacing w:before="40" w:beforeAutospacing="0" w:after="40" w:afterAutospacing="0"/>
              <w:rPr>
                <w:rFonts w:ascii="Times New Roman" w:hAnsi="Times New Roman" w:cs="Times New Roman"/>
              </w:rPr>
            </w:pPr>
            <w:r>
              <w:rPr>
                <w:rFonts w:ascii="Times New Roman" w:hAnsi="Times New Roman" w:cs="Times New Roman"/>
                <w:sz w:val="18"/>
                <w:szCs w:val="18"/>
              </w:rPr>
              <w:t> </w:t>
            </w:r>
          </w:p>
        </w:tc>
        <w:tc>
          <w:tcPr>
            <w:tcW w:w="1303" w:type="dxa"/>
            <w:tcMar>
              <w:top w:w="10" w:type="dxa"/>
              <w:left w:w="10" w:type="dxa"/>
              <w:bottom w:w="10" w:type="dxa"/>
              <w:right w:w="10" w:type="dxa"/>
            </w:tcMar>
          </w:tcPr>
          <w:p>
            <w:pPr>
              <w:pStyle w:val="8"/>
              <w:spacing w:before="40" w:beforeAutospacing="0" w:after="40" w:afterAutospacing="0"/>
              <w:rPr>
                <w:rFonts w:ascii="Times New Roman" w:hAnsi="Times New Roman" w:cs="Times New Roman"/>
              </w:rPr>
            </w:pPr>
            <w:r>
              <w:rPr>
                <w:rFonts w:ascii="Times New Roman" w:hAnsi="Times New Roman" w:cs="Times New Roman"/>
                <w:sz w:val="18"/>
                <w:szCs w:val="18"/>
              </w:rPr>
              <w:t> </w:t>
            </w:r>
          </w:p>
        </w:tc>
      </w:tr>
    </w:tbl>
    <w:p>
      <w:pPr>
        <w:rPr>
          <w:rFonts w:ascii="Times New Roman" w:hAnsi="Times New Roman" w:cs="Times New Roman"/>
        </w:rPr>
      </w:pP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行业排放标准及生产经营活动中涉及的污染物排放的具体情况</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77"/>
        <w:gridCol w:w="877"/>
        <w:gridCol w:w="877"/>
        <w:gridCol w:w="876"/>
        <w:gridCol w:w="876"/>
        <w:gridCol w:w="876"/>
        <w:gridCol w:w="876"/>
        <w:gridCol w:w="876"/>
        <w:gridCol w:w="876"/>
        <w:gridCol w:w="876"/>
        <w:gridCol w:w="8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公司或子公司名称</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主要污染物及特征污染物的种类</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主要污染物及特征污染物的名称</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排放方式</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排放口数量</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排放口分布情况</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排放浓度/强度</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执行的污染物排放标准</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排放总量</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核定的排放总量</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超标排放情况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山东龙大美食股份有限公司</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CODcrNH3-NTN</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pH值、化学需氧量、氨氮（NH3-N）、悬浮物、动植物油、总氮（以N计）、五日生化需氧量、大肠菌群数</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间接排放</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1</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总排口位于厂区西南角</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COD：31.8mg/L、NH3-N ：5.78mg/L</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肉类加工工业水污染物排放标准GB 13457-92，污水排入城镇下水道水质标准GB/T 31962-2015中B级标准</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COD：13.8吨、NH3-N ：2.28吨</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COD：133.12吨、NH3-N ：6.58吨、总氮：70.917吨</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潍坊振祥食品有限公司</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CODcrNH3-NTN</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化学需氧量、氨氮（NH3-N）、总氮（以N计）、总磷</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间接排放</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1</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总排口位于厂区东南角</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COD：20.1mg/L、NH3-N ：2.70mg/L、总氮：29.10mg/L总磷：0.181mg/L</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肉类加工工业水污染物排放标准GB 13457-92</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COD：4.32吨NH3-N ：0.716吨、总氮：6.24吨总磷0.0347吨</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COD：148.5吨、NH3-N ：13.365吨、总氮：20.79吨</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河南龙大牧原肉食品有限公司</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CODcrNH3-NTN</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化学需氧量、氨氮（NH3-N）</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直接排放</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1</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总排口位于厂区西南角</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COD：38mg/L、NH3-N ：0.912 mg/L、总磷：0.3mg/L</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肉类加工工业水污染物排放标准表3二级排放标准</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COD：4.8466吨、NH3-N ：0.0773吨</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COD：16.89吨、NH3-N ：3.9吨</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聊城龙大肉食品有限公司</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CODcrNH3-NTN</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化学需氧量、氨氮（NH3-N）</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间接排放</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1</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总排口位于厂区东南角</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COD：23.3mg/L、NH3-N ：1.54mg/L总磷：0.811mg/L总氮：12.5mg/L</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肉类加工工业水污染物排放标准GB 13457-92，污水排入城镇下水道水质标准GB/T 31962-2015</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COD：5.476吨、NH3-N ：0.33吨、总磷：0.224吨、总氮：3.02吨</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COD：40吨、NH3-N ：8.775吨</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蓬莱富龙肉食品有限公司</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CODcrNH3-NTN</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化学需氧量、氨氮（NH3-N）、总氮、总磷</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直接排放</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1</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总排口位于厂区南部</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化学需氧量：12.9 mg/L、氨氮：0.305 mg/L、总氮：8.95mg/L总磷：0.112mg/L</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流域水污染物综合排放标准 第 5 部分：半岛流域DB37/3416.5-2018</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化学需氧量：0.452吨、氨氮：0.00939吨、总氮：0.315吨、总磷：0.00389吨</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化学需氧量：3.89吨、氨氮：0.39 吨、总氮：1.716吨</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黑龙江龙大肉食品有限公司</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CODcrNH3-NTN</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化学需氧量、氨氮（NH3-N）、总氮、总磷</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间接排放</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1</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总排口位于厂区东北角</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BOD:18.2mg/L、COD：32.551mg/L、NH3-N ：0.034mg/L</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肉类加工工业水污染物排放标准GB 13457-92</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BOD:0.011603吨、COD：0.079464吨、NH3-N：0.00142吨</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五日生化需氧量：128.7吨化学需氧量227.5吨、氨氮（NH3-N）22.75吨</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无</w:t>
            </w:r>
          </w:p>
        </w:tc>
      </w:tr>
    </w:tbl>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对污染物的处理</w:t>
      </w:r>
    </w:p>
    <w:p>
      <w:pPr>
        <w:pStyle w:val="8"/>
        <w:spacing w:beforeAutospacing="0" w:afterAutospacing="0"/>
        <w:ind w:firstLine="360"/>
        <w:jc w:val="both"/>
        <w:rPr>
          <w:rFonts w:ascii="Times New Roman" w:hAnsi="Times New Roman" w:cs="Times New Roman"/>
        </w:rPr>
      </w:pPr>
      <w:r>
        <w:rPr>
          <w:rFonts w:ascii="Times New Roman" w:hAnsi="Times New Roman" w:cs="Times New Roman"/>
          <w:sz w:val="18"/>
          <w:szCs w:val="18"/>
        </w:rPr>
        <w:t>山东龙大美食股份有限公司主要污染物为废水，对于废水处理，按照“雨污分流”原则，污水进入污水站经预处理系统、气浮、A/O工艺处理后，经排口排入莱阳市食品工业园污水处理厂。山东龙大美食股份有限公司废水排放口安装在线监测设施，2023年上半年山东龙大肉食品股份有限公司环保设施运行稳定。</w:t>
      </w:r>
    </w:p>
    <w:p>
      <w:pPr>
        <w:pStyle w:val="8"/>
        <w:spacing w:beforeAutospacing="0" w:afterAutospacing="0"/>
        <w:ind w:firstLine="360"/>
        <w:jc w:val="both"/>
        <w:rPr>
          <w:rFonts w:ascii="Times New Roman" w:hAnsi="Times New Roman" w:cs="Times New Roman"/>
        </w:rPr>
      </w:pPr>
      <w:r>
        <w:rPr>
          <w:rFonts w:ascii="Times New Roman" w:hAnsi="Times New Roman" w:cs="Times New Roman"/>
          <w:sz w:val="18"/>
          <w:szCs w:val="18"/>
        </w:rPr>
        <w:t>潍坊振祥食品有限公司主要污染物为废水，废水经预处理系统、气浮、SBR工艺处理后经污水管网进入安丘市景芝镇污水处理厂（潍坊安凯节能环保科技有限公司）。潍坊振祥食品有限公司废水排放口安装在线监测设施，2023年上半年环保设施运行稳定。</w:t>
      </w:r>
    </w:p>
    <w:p>
      <w:pPr>
        <w:pStyle w:val="8"/>
        <w:spacing w:beforeAutospacing="0" w:afterAutospacing="0"/>
        <w:ind w:firstLine="360"/>
        <w:jc w:val="both"/>
        <w:rPr>
          <w:rFonts w:ascii="Times New Roman" w:hAnsi="Times New Roman" w:cs="Times New Roman"/>
        </w:rPr>
      </w:pPr>
      <w:r>
        <w:rPr>
          <w:rFonts w:ascii="Times New Roman" w:hAnsi="Times New Roman" w:cs="Times New Roman"/>
          <w:sz w:val="18"/>
          <w:szCs w:val="18"/>
        </w:rPr>
        <w:t>河南龙大牧原肉食品有限公司主要污染物为废水，生产生活废水经厂内污水处理站采用“预处理+水解酸化+气浮+SBR+深度处理”处理工艺处理后直接排放，河南龙大牧原肉食品有限公司废水排放口安装在线监测设施，2023年上半年环保设施运行稳定。</w:t>
      </w:r>
    </w:p>
    <w:p>
      <w:pPr>
        <w:pStyle w:val="8"/>
        <w:spacing w:beforeAutospacing="0" w:afterAutospacing="0"/>
        <w:ind w:firstLine="360"/>
        <w:jc w:val="both"/>
        <w:rPr>
          <w:rFonts w:ascii="Times New Roman" w:hAnsi="Times New Roman" w:cs="Times New Roman"/>
        </w:rPr>
      </w:pPr>
      <w:r>
        <w:rPr>
          <w:rFonts w:ascii="Times New Roman" w:hAnsi="Times New Roman" w:cs="Times New Roman"/>
          <w:sz w:val="18"/>
          <w:szCs w:val="18"/>
        </w:rPr>
        <w:t>聊城龙大肉食品有限公司主要污染物为废水，对于废水处理，按照“雨污分流”原则，污水接入聊城龙大肉食品有限公司污水站经预处理系统、气浮、SBR工艺处理后，经排口接入市政管网，排入东昌府区嘉明污水处理厂。聊城龙大肉食品有限公司废水排放口安装在线监测设施。2023年上半年聊城龙大肉食品有限公司环保设施运行稳定。</w:t>
      </w:r>
    </w:p>
    <w:p>
      <w:pPr>
        <w:pStyle w:val="8"/>
        <w:spacing w:beforeAutospacing="0" w:afterAutospacing="0"/>
        <w:ind w:firstLine="360"/>
        <w:jc w:val="both"/>
        <w:rPr>
          <w:rFonts w:ascii="Times New Roman" w:hAnsi="Times New Roman" w:cs="Times New Roman"/>
        </w:rPr>
      </w:pPr>
      <w:r>
        <w:rPr>
          <w:rFonts w:ascii="Times New Roman" w:hAnsi="Times New Roman" w:cs="Times New Roman"/>
          <w:sz w:val="18"/>
          <w:szCs w:val="18"/>
        </w:rPr>
        <w:t>蓬莱富龙肉食品有限公司主要污染物为废水，按照“雨污分流”原则，污水进入污水站经预处理系统、气浮+A2O+过滤工艺处理后，经排口排入蓬莱市小门家镇政府建设的人工湿地。蓬莱富龙肉食品有限公司废水排放口安装在线监测设施，2023年上半年蓬莱富龙肉食品有限公司环保设施运行稳定。</w:t>
      </w:r>
    </w:p>
    <w:p>
      <w:pPr>
        <w:pStyle w:val="8"/>
        <w:spacing w:beforeAutospacing="0" w:afterAutospacing="0"/>
        <w:ind w:firstLine="360"/>
        <w:jc w:val="both"/>
        <w:rPr>
          <w:rFonts w:ascii="Times New Roman" w:hAnsi="Times New Roman" w:cs="Times New Roman"/>
        </w:rPr>
      </w:pPr>
      <w:r>
        <w:rPr>
          <w:rFonts w:ascii="Times New Roman" w:hAnsi="Times New Roman" w:cs="Times New Roman"/>
          <w:sz w:val="18"/>
          <w:szCs w:val="18"/>
        </w:rPr>
        <w:t>黑龙江龙大肉食品有限公司主要污染物为废水，废水经气浮+AO工艺处理后，排口接入市政管网，排入安达市污水处理厂。黑龙江龙大肉食品有限公司废水排放口安装在线监测设施，2023年上半年黑龙江龙大肉食品有限公司环保设施运行稳定。</w:t>
      </w: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突发环境事件应急预案</w:t>
      </w:r>
    </w:p>
    <w:p>
      <w:pPr>
        <w:pStyle w:val="8"/>
        <w:spacing w:beforeAutospacing="0" w:afterAutospacing="0"/>
        <w:ind w:firstLine="360"/>
        <w:jc w:val="both"/>
        <w:rPr>
          <w:rFonts w:ascii="Times New Roman" w:hAnsi="Times New Roman" w:cs="Times New Roman"/>
        </w:rPr>
      </w:pPr>
      <w:r>
        <w:rPr>
          <w:rFonts w:ascii="Times New Roman" w:hAnsi="Times New Roman" w:cs="Times New Roman"/>
          <w:sz w:val="18"/>
          <w:szCs w:val="18"/>
        </w:rPr>
        <w:t>山东龙大美食股份有限公司、潍坊振祥食品有限公司、聊城龙大肉食品有限公司、河南龙大牧原肉食品有限公司、蓬莱富龙肉食品有限公司、黑龙江龙大肉食品有限公司均编制了《突发环境事件应急预案》，对突发环境事件的应急措施进行了详细的表述，并定期组织开展预案的培训和演练，切实提高了企业应对突发环境污染事件的应急响应能力和处置能力。均已备案。</w:t>
      </w: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环境治理和保护的投入及缴纳环境保护税的相关情况</w:t>
      </w:r>
    </w:p>
    <w:p>
      <w:pPr>
        <w:pStyle w:val="8"/>
        <w:spacing w:beforeAutospacing="0" w:afterAutospacing="0"/>
        <w:ind w:firstLine="360"/>
        <w:jc w:val="both"/>
        <w:rPr>
          <w:rFonts w:ascii="Times New Roman" w:hAnsi="Times New Roman" w:cs="Times New Roman"/>
        </w:rPr>
      </w:pPr>
      <w:r>
        <w:rPr>
          <w:rFonts w:ascii="Times New Roman" w:hAnsi="Times New Roman" w:cs="Times New Roman"/>
          <w:sz w:val="18"/>
          <w:szCs w:val="18"/>
        </w:rPr>
        <w:t>黑龙江龙大肉食品有限公司，投资1200万元，建设日处理能力1500m³污水站一座，废气处理设施一座，投资180万元。除河南龙大牧原肉食品、蓬莱富龙肉食品有限公司外，其他公司污水均排入城市下水道，不缴纳环境税。</w:t>
      </w:r>
    </w:p>
    <w:p>
      <w:pPr>
        <w:pStyle w:val="8"/>
        <w:spacing w:beforeAutospacing="0" w:afterAutospacing="0"/>
        <w:ind w:firstLine="360"/>
        <w:jc w:val="both"/>
        <w:rPr>
          <w:rFonts w:ascii="Times New Roman" w:hAnsi="Times New Roman" w:cs="Times New Roman"/>
        </w:rPr>
      </w:pPr>
      <w:r>
        <w:rPr>
          <w:rFonts w:ascii="Times New Roman" w:hAnsi="Times New Roman" w:cs="Times New Roman"/>
          <w:sz w:val="18"/>
          <w:szCs w:val="18"/>
        </w:rPr>
        <w:t>河南龙大牧原肉食品有限公司、聊城龙大肉食品有限公司和潍坊振祥食品有限公司2023年上半年均已按相关规定足额缴纳环境保护税。</w:t>
      </w: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环境自行监测方案</w:t>
      </w:r>
    </w:p>
    <w:p>
      <w:pPr>
        <w:pStyle w:val="8"/>
        <w:spacing w:beforeAutospacing="0" w:afterAutospacing="0"/>
        <w:ind w:firstLine="360"/>
        <w:jc w:val="both"/>
        <w:rPr>
          <w:rFonts w:ascii="Times New Roman" w:hAnsi="Times New Roman" w:cs="Times New Roman"/>
        </w:rPr>
      </w:pPr>
      <w:r>
        <w:rPr>
          <w:rFonts w:ascii="Times New Roman" w:hAnsi="Times New Roman" w:cs="Times New Roman"/>
          <w:sz w:val="18"/>
          <w:szCs w:val="18"/>
        </w:rPr>
        <w:t>山东龙大美食股份有限公司、潍坊振祥食品有限公司、聊城龙大肉食品有限公司、河南龙大牧原肉食品有限公司、蓬莱富龙肉食品有限公司、黑龙江龙大肉食品有限公司均严格遵守国家及地方法律、法规和相关规定，并由公司委托第三方定期对公司排放污染物进行监测，均设置有污水排口污染源在线监测监控系统。</w:t>
      </w: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报告期内因环境问题受到行政处罚的情况</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7"/>
        <w:gridCol w:w="1607"/>
        <w:gridCol w:w="160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公司或子公司名称</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处罚原因</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违规情形</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处罚结果</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对上市公司生产经营的影响</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公司的整改措施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无</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无</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无</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无</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无</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无</w:t>
            </w:r>
          </w:p>
        </w:tc>
      </w:tr>
    </w:tbl>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其他应当公开的环境信息</w:t>
      </w:r>
    </w:p>
    <w:p>
      <w:pPr>
        <w:pStyle w:val="8"/>
        <w:rPr>
          <w:rFonts w:ascii="Times New Roman" w:hAnsi="Times New Roman" w:cs="Times New Roman"/>
          <w:sz w:val="18"/>
          <w:szCs w:val="18"/>
        </w:rPr>
      </w:pPr>
      <w:r>
        <w:rPr>
          <w:rFonts w:ascii="Times New Roman" w:hAnsi="Times New Roman" w:cs="Times New Roman"/>
          <w:sz w:val="18"/>
          <w:szCs w:val="18"/>
        </w:rPr>
        <w:t>无</w:t>
      </w: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在报告期内为减少其碳排放所采取的措施及效果</w:t>
      </w:r>
    </w:p>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适用 □不适用</w:t>
      </w:r>
    </w:p>
    <w:p>
      <w:pPr>
        <w:pStyle w:val="8"/>
        <w:spacing w:beforeAutospacing="0" w:afterAutospacing="0"/>
        <w:ind w:firstLine="360"/>
        <w:jc w:val="both"/>
        <w:rPr>
          <w:rFonts w:ascii="Times New Roman" w:hAnsi="Times New Roman" w:cs="Times New Roman"/>
        </w:rPr>
      </w:pPr>
      <w:r>
        <w:rPr>
          <w:rFonts w:ascii="Times New Roman" w:hAnsi="Times New Roman" w:cs="Times New Roman"/>
          <w:sz w:val="18"/>
          <w:szCs w:val="18"/>
        </w:rPr>
        <w:t>潍坊振祥食品有限公司利用车间屋面等安装光伏发电设备，装机容量520kW，2023年光伏发电量250278kwh；河南龙大牧原肉食品有限公司光伏发电装机容量2,290kW，2023年上半年光伏发电量6021236kWh,减少二氧化碳排放量548.865t。</w:t>
      </w: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其他环保相关信息</w:t>
      </w:r>
    </w:p>
    <w:p>
      <w:pPr>
        <w:pStyle w:val="8"/>
        <w:rPr>
          <w:rFonts w:ascii="Times New Roman" w:hAnsi="Times New Roman" w:cs="Times New Roman"/>
          <w:sz w:val="18"/>
          <w:szCs w:val="18"/>
        </w:rPr>
      </w:pPr>
      <w:r>
        <w:rPr>
          <w:rFonts w:ascii="Times New Roman" w:hAnsi="Times New Roman" w:cs="Times New Roman"/>
          <w:sz w:val="18"/>
          <w:szCs w:val="18"/>
        </w:rPr>
        <w:t>无</w:t>
      </w:r>
    </w:p>
    <w:p>
      <w:pPr>
        <w:pStyle w:val="2"/>
        <w:spacing w:before="300" w:after="300" w:line="320" w:lineRule="exact"/>
        <w:rPr>
          <w:rFonts w:ascii="Times New Roman" w:hAnsi="Times New Roman" w:eastAsia="宋体" w:cs="Times New Roman"/>
          <w:b/>
          <w:bCs/>
          <w:sz w:val="24"/>
          <w:szCs w:val="24"/>
        </w:rPr>
      </w:pPr>
      <w:bookmarkStart w:id="52" w:name="_Toc988941"/>
      <w:r>
        <w:rPr>
          <w:rFonts w:ascii="Times New Roman" w:hAnsi="Times New Roman" w:eastAsia="宋体" w:cs="Times New Roman"/>
          <w:b/>
          <w:bCs/>
          <w:sz w:val="24"/>
          <w:szCs w:val="24"/>
        </w:rPr>
        <w:t>二、社会责任情况</w:t>
      </w:r>
      <w:bookmarkEnd w:id="52"/>
    </w:p>
    <w:p>
      <w:pPr>
        <w:pStyle w:val="8"/>
        <w:spacing w:before="0" w:beforeAutospacing="0" w:after="0" w:afterAutospacing="0"/>
        <w:ind w:firstLine="360"/>
        <w:rPr>
          <w:rFonts w:ascii="Times New Roman" w:hAnsi="Times New Roman" w:eastAsia="等线" w:cs="Times New Roman"/>
          <w:sz w:val="21"/>
          <w:szCs w:val="21"/>
        </w:rPr>
      </w:pPr>
      <w:r>
        <w:rPr>
          <w:rFonts w:ascii="Times New Roman" w:hAnsi="Times New Roman" w:cs="Times New Roman"/>
          <w:sz w:val="18"/>
          <w:szCs w:val="18"/>
        </w:rPr>
        <w:t>报告期内，公司不断优化生产经营管理，积极开拓市场，在公司发展壮大的同时，积极履行社会责任。</w:t>
      </w:r>
    </w:p>
    <w:p>
      <w:pPr>
        <w:pStyle w:val="8"/>
        <w:spacing w:before="0" w:beforeAutospacing="0" w:after="0" w:afterAutospacing="0"/>
        <w:ind w:firstLine="360"/>
        <w:rPr>
          <w:rFonts w:ascii="Times New Roman" w:hAnsi="Times New Roman" w:eastAsia="等线" w:cs="Times New Roman"/>
          <w:sz w:val="21"/>
          <w:szCs w:val="21"/>
        </w:rPr>
      </w:pPr>
      <w:r>
        <w:rPr>
          <w:rFonts w:ascii="Times New Roman" w:hAnsi="Times New Roman" w:cs="Times New Roman"/>
          <w:sz w:val="18"/>
          <w:szCs w:val="18"/>
        </w:rPr>
        <w:t> 1、公司治理</w:t>
      </w:r>
    </w:p>
    <w:p>
      <w:pPr>
        <w:pStyle w:val="8"/>
        <w:spacing w:before="0" w:beforeAutospacing="0" w:after="0" w:afterAutospacing="0"/>
        <w:ind w:firstLine="360"/>
        <w:rPr>
          <w:rFonts w:ascii="Times New Roman" w:hAnsi="Times New Roman" w:eastAsia="等线" w:cs="Times New Roman"/>
          <w:sz w:val="21"/>
          <w:szCs w:val="21"/>
        </w:rPr>
      </w:pPr>
      <w:r>
        <w:rPr>
          <w:rFonts w:ascii="Times New Roman" w:hAnsi="Times New Roman" w:cs="Times New Roman"/>
          <w:sz w:val="18"/>
          <w:szCs w:val="18"/>
        </w:rPr>
        <w:t>公司按照《中华人民共和国公司法》、《中华人民共和国证券法》、《上市公司治理准则》和《深圳证券交易所股票上市规则》等法律、法规和规章的要求，建立了规范的公司治理结构，制定了符合公司发展的规则和制度，明确决策、执行、监督等方面的职责权限，形成了有效的职责分工和制衡机制，并不断完善和优化公司治理结构。股东大会、董事会和监事会，以及董事会下设的战略委员会、审计委员会、薪酬与考核委员会、提名委员会分别按其职责行使决策权、执行权和监督权。</w:t>
      </w:r>
    </w:p>
    <w:p>
      <w:pPr>
        <w:pStyle w:val="8"/>
        <w:spacing w:before="0" w:beforeAutospacing="0" w:after="0" w:afterAutospacing="0"/>
        <w:ind w:firstLine="360"/>
        <w:rPr>
          <w:rFonts w:ascii="Times New Roman" w:hAnsi="Times New Roman" w:eastAsia="等线" w:cs="Times New Roman"/>
          <w:sz w:val="21"/>
          <w:szCs w:val="21"/>
        </w:rPr>
      </w:pPr>
      <w:r>
        <w:rPr>
          <w:rFonts w:ascii="Times New Roman" w:hAnsi="Times New Roman" w:cs="Times New Roman"/>
          <w:sz w:val="18"/>
          <w:szCs w:val="18"/>
        </w:rPr>
        <w:t>加强内部控制体系建设，积极推进内控管理变革，推动公司各领域的关键内控点建设工作，优化了公司管理流程，完善了风险机制，提升了风险防范能力，为公司经营管理合法合规、资产安全、财务报告及相关信息的真实、完整提供了合理保障。</w:t>
      </w:r>
    </w:p>
    <w:p>
      <w:pPr>
        <w:pStyle w:val="8"/>
        <w:spacing w:before="0" w:beforeAutospacing="0" w:after="0" w:afterAutospacing="0"/>
        <w:ind w:firstLine="360"/>
        <w:rPr>
          <w:rFonts w:ascii="Times New Roman" w:hAnsi="Times New Roman" w:eastAsia="等线" w:cs="Times New Roman"/>
          <w:sz w:val="21"/>
          <w:szCs w:val="21"/>
        </w:rPr>
      </w:pPr>
      <w:r>
        <w:rPr>
          <w:rFonts w:ascii="Times New Roman" w:hAnsi="Times New Roman" w:cs="Times New Roman"/>
          <w:sz w:val="18"/>
          <w:szCs w:val="18"/>
        </w:rPr>
        <w:t>公司制定了信息披露基本制度，切实履行信息披露义务，严格按照公平、公正、及时的信息披露原则，通过业绩说明会、投资者互动平台、路演等方式，与投资者保持良好沟通，并根据中国证监会和深圳证券交易所的有关要求不断完善信息披露制度，更好地履行信息披露义务。</w:t>
      </w:r>
    </w:p>
    <w:p>
      <w:pPr>
        <w:pStyle w:val="8"/>
        <w:spacing w:before="0" w:beforeAutospacing="0" w:after="0" w:afterAutospacing="0"/>
        <w:ind w:firstLine="360"/>
        <w:rPr>
          <w:rFonts w:ascii="Times New Roman" w:hAnsi="Times New Roman" w:eastAsia="等线" w:cs="Times New Roman"/>
          <w:sz w:val="21"/>
          <w:szCs w:val="21"/>
        </w:rPr>
      </w:pPr>
      <w:r>
        <w:rPr>
          <w:rFonts w:ascii="Times New Roman" w:hAnsi="Times New Roman" w:cs="Times New Roman"/>
          <w:sz w:val="18"/>
          <w:szCs w:val="18"/>
        </w:rPr>
        <w:t> 2、安全生产</w:t>
      </w:r>
    </w:p>
    <w:p>
      <w:pPr>
        <w:pStyle w:val="8"/>
        <w:spacing w:before="0" w:beforeAutospacing="0" w:after="0" w:afterAutospacing="0"/>
        <w:ind w:firstLine="360"/>
        <w:rPr>
          <w:rFonts w:ascii="Times New Roman" w:hAnsi="Times New Roman" w:eastAsia="等线" w:cs="Times New Roman"/>
          <w:sz w:val="21"/>
          <w:szCs w:val="21"/>
        </w:rPr>
      </w:pPr>
      <w:r>
        <w:rPr>
          <w:rFonts w:ascii="Times New Roman" w:hAnsi="Times New Roman" w:cs="Times New Roman"/>
          <w:sz w:val="18"/>
          <w:szCs w:val="18"/>
        </w:rPr>
        <w:t>报告期内，公司未发生重大生产安全事故。公司对生产岗位新进员工进行安全培训，帮助员工树立安全意识，并制定了一系列安全生产管理方面规章制度，重点要求员工在工作期间必须穿戴好劳动防护用品；公司成立安全管理委员会，实行信息报告制度，要求各单位安全管理机构须每天、每月向安全管理委员会汇报安全管理工作开展情况，对工作中发现的安全隐患，必须同时向各单位负责人和安全管理委员会反馈，确保以合理的方案快速解决。设备安全管理方面，公司采取多种形式对生产设备进行保护，并及时维修设备，排除安全生产隐患；消防安全方面，定期组织消防值班人员及员工进行消防器械操练实训以及紧急应急演练，确保厂区紧急事件能及时快速处理；同时，不定期组织公司员工进行消防紧急疏散、自救逃生等应急培训及演练，提升员工的消防应急处置能力，维护员工的健康安全权利。</w:t>
      </w:r>
    </w:p>
    <w:p>
      <w:pPr>
        <w:pStyle w:val="8"/>
        <w:spacing w:before="0" w:beforeAutospacing="0" w:after="0" w:afterAutospacing="0"/>
        <w:ind w:firstLine="360"/>
        <w:rPr>
          <w:rFonts w:ascii="Times New Roman" w:hAnsi="Times New Roman" w:eastAsia="等线" w:cs="Times New Roman"/>
          <w:sz w:val="21"/>
          <w:szCs w:val="21"/>
        </w:rPr>
      </w:pPr>
      <w:r>
        <w:rPr>
          <w:rFonts w:ascii="Times New Roman" w:hAnsi="Times New Roman" w:cs="Times New Roman"/>
          <w:sz w:val="18"/>
          <w:szCs w:val="18"/>
        </w:rPr>
        <w:t>3、环境保护</w:t>
      </w:r>
    </w:p>
    <w:p>
      <w:pPr>
        <w:pStyle w:val="8"/>
        <w:spacing w:before="0" w:beforeAutospacing="0" w:after="0" w:afterAutospacing="0"/>
        <w:ind w:firstLine="360"/>
        <w:rPr>
          <w:rFonts w:ascii="Times New Roman" w:hAnsi="Times New Roman" w:eastAsia="等线" w:cs="Times New Roman"/>
          <w:sz w:val="21"/>
          <w:szCs w:val="21"/>
        </w:rPr>
      </w:pPr>
      <w:r>
        <w:rPr>
          <w:rFonts w:ascii="Times New Roman" w:hAnsi="Times New Roman" w:cs="Times New Roman"/>
          <w:sz w:val="18"/>
          <w:szCs w:val="18"/>
        </w:rPr>
        <w:t>报告期内，公司未发生过环境污染事故，也未受到过相关处罚。公司重视环保投入，建设节约型企业，积极推动节能减排工作，力争把环境保护工作做到最优。公司严格遵守国家和地方法规的规定，废水、废气、噪声达标排放、工业固废处置符合环保规定要求，并加强对相关责任部门人员的环保法律法规培训。</w:t>
      </w:r>
    </w:p>
    <w:p>
      <w:pPr>
        <w:pStyle w:val="8"/>
        <w:spacing w:before="0" w:beforeAutospacing="0" w:after="0" w:afterAutospacing="0"/>
        <w:ind w:firstLine="360"/>
        <w:rPr>
          <w:rFonts w:ascii="Times New Roman" w:hAnsi="Times New Roman" w:eastAsia="等线" w:cs="Times New Roman"/>
          <w:sz w:val="21"/>
          <w:szCs w:val="21"/>
        </w:rPr>
      </w:pPr>
      <w:r>
        <w:rPr>
          <w:rFonts w:ascii="Times New Roman" w:hAnsi="Times New Roman" w:cs="Times New Roman"/>
          <w:sz w:val="18"/>
          <w:szCs w:val="18"/>
        </w:rPr>
        <w:t>积极进行环保技术创新，例如为满足待宰圈和猪场无害化处理方面的环保要求，实施了生食待宰圈雾化除臭项目和焚烧炉代替发酵棚项目，极大的改善了厂区周围的大气环境。探索和打造生态农业循环经济，猪场采取源头减排、过程控制、综合利用的生态发展模式，采用现代化养殖设施最大程度控制污水产生。光山猪场的粪污处理实行了种养结合的新模式，不仅使粪污处理无害化、资源化，而且改良了土壤、培育了地力，提高了农产品品质，实现了经济效益和生态效益的双丰收，实现了农业生产和环境保护相融的理想状态。</w:t>
      </w:r>
    </w:p>
    <w:p>
      <w:pPr>
        <w:pStyle w:val="8"/>
        <w:spacing w:before="0" w:beforeAutospacing="0" w:after="0" w:afterAutospacing="0"/>
        <w:ind w:firstLine="360"/>
        <w:rPr>
          <w:rFonts w:ascii="Times New Roman" w:hAnsi="Times New Roman" w:eastAsia="等线" w:cs="Times New Roman"/>
          <w:sz w:val="21"/>
          <w:szCs w:val="21"/>
        </w:rPr>
      </w:pPr>
      <w:r>
        <w:rPr>
          <w:rFonts w:ascii="Times New Roman" w:hAnsi="Times New Roman" w:cs="Times New Roman"/>
          <w:sz w:val="18"/>
          <w:szCs w:val="18"/>
        </w:rPr>
        <w:t>广泛采用新技术推进碳中和实现落地，例如通过引进人工智能技术，使用母猪智能化饲喂系统进行实时监测管理，满足猪群动态营养需求，实现低碳养殖。在原料端，加大低蛋白日粮研发力度，力争减少猪排泄物中10%-15%的氮排放。未来，拟采用土壤微生物活性剂的技术，可减少40%以上的污泥产生，并将充分利用空地和建筑物搭建光伏设施，降低能源性消耗，减少碳排放。</w:t>
      </w:r>
    </w:p>
    <w:p>
      <w:pPr>
        <w:pStyle w:val="8"/>
        <w:spacing w:before="0" w:beforeAutospacing="0" w:after="0" w:afterAutospacing="0"/>
        <w:ind w:firstLine="360"/>
        <w:rPr>
          <w:rFonts w:ascii="Times New Roman" w:hAnsi="Times New Roman" w:eastAsia="等线" w:cs="Times New Roman"/>
          <w:sz w:val="21"/>
          <w:szCs w:val="21"/>
        </w:rPr>
      </w:pPr>
      <w:r>
        <w:rPr>
          <w:rFonts w:ascii="Times New Roman" w:hAnsi="Times New Roman" w:cs="Times New Roman"/>
          <w:sz w:val="18"/>
          <w:szCs w:val="18"/>
        </w:rPr>
        <w:t>4、尊重员工</w:t>
      </w:r>
    </w:p>
    <w:p>
      <w:pPr>
        <w:pStyle w:val="8"/>
        <w:spacing w:before="0" w:beforeAutospacing="0" w:after="0" w:afterAutospacing="0"/>
        <w:ind w:firstLine="360"/>
        <w:rPr>
          <w:rFonts w:ascii="Times New Roman" w:hAnsi="Times New Roman" w:eastAsia="等线" w:cs="Times New Roman"/>
          <w:sz w:val="21"/>
          <w:szCs w:val="21"/>
        </w:rPr>
      </w:pPr>
      <w:r>
        <w:rPr>
          <w:rFonts w:ascii="Times New Roman" w:hAnsi="Times New Roman" w:cs="Times New Roman"/>
          <w:sz w:val="18"/>
          <w:szCs w:val="18"/>
        </w:rPr>
        <w:t>公司规定招聘、晋升、薪酬等方面没有种族、性别、国籍、年龄、怀孕或残疾等方面的歧视，自公司成立至今，未发生歧视事件，亦未收到歧视方面的投诉。同时，建立和实施了较科学的聘用、培训、轮岗、考核、晋升等人事管理制度，完善员工激励机制，并定期开展优秀团队、优秀员工评选活动，挖掘贡献卓越的优秀团队和员工，提高员工工作积极性，实现员工与企业共同发展、共同成长。</w:t>
      </w:r>
    </w:p>
    <w:p>
      <w:pPr>
        <w:pStyle w:val="8"/>
        <w:spacing w:before="0" w:beforeAutospacing="0" w:after="0" w:afterAutospacing="0"/>
        <w:ind w:firstLine="360"/>
        <w:rPr>
          <w:rFonts w:ascii="Times New Roman" w:hAnsi="Times New Roman" w:eastAsia="等线" w:cs="Times New Roman"/>
          <w:sz w:val="21"/>
          <w:szCs w:val="21"/>
        </w:rPr>
      </w:pPr>
      <w:r>
        <w:rPr>
          <w:rFonts w:ascii="Times New Roman" w:hAnsi="Times New Roman" w:cs="Times New Roman"/>
          <w:sz w:val="18"/>
          <w:szCs w:val="18"/>
        </w:rPr>
        <w:t>公司针对员工的能力发展需求，创新员工学习模式，成立龙大美食网络学院，正式搭建起完善的人才培养体系，为员工提供全程、全方位、系统化的培训，促进员工专业技能和素质能力的提升，增强员工和企业的核心竞争力。</w:t>
      </w:r>
    </w:p>
    <w:p>
      <w:pPr>
        <w:pStyle w:val="8"/>
        <w:spacing w:before="0" w:beforeAutospacing="0" w:after="0" w:afterAutospacing="0"/>
        <w:ind w:firstLine="360"/>
        <w:rPr>
          <w:rFonts w:ascii="Times New Roman" w:hAnsi="Times New Roman" w:eastAsia="等线" w:cs="Times New Roman"/>
          <w:sz w:val="21"/>
          <w:szCs w:val="21"/>
        </w:rPr>
      </w:pPr>
      <w:r>
        <w:rPr>
          <w:rFonts w:ascii="Times New Roman" w:hAnsi="Times New Roman" w:cs="Times New Roman"/>
          <w:sz w:val="18"/>
          <w:szCs w:val="18"/>
        </w:rPr>
        <w:t>加强企业文化建设，举办了一系列如“美好‘食’光 共筑成长”、“职场闪耀·巾帼魅力”等丰富多彩的文体活动，丰富了员工的业余生活。时刻关心员工心理健康建设，营造良好的工作舆论环境，帮助员工克服焦虑心理，建立良好心态，凝聚起全员健康向上的的强大正能量。</w:t>
      </w:r>
    </w:p>
    <w:p>
      <w:pPr>
        <w:pStyle w:val="8"/>
        <w:spacing w:before="0" w:beforeAutospacing="0" w:after="0" w:afterAutospacing="0"/>
        <w:ind w:firstLine="360"/>
        <w:rPr>
          <w:rFonts w:ascii="Times New Roman" w:hAnsi="Times New Roman" w:eastAsia="等线" w:cs="Times New Roman"/>
          <w:sz w:val="21"/>
          <w:szCs w:val="21"/>
        </w:rPr>
      </w:pPr>
      <w:r>
        <w:rPr>
          <w:rFonts w:ascii="Times New Roman" w:hAnsi="Times New Roman" w:eastAsia="等线" w:cs="Times New Roman"/>
          <w:sz w:val="18"/>
          <w:szCs w:val="18"/>
        </w:rPr>
        <w:t>5</w:t>
      </w:r>
      <w:r>
        <w:rPr>
          <w:rFonts w:ascii="Times New Roman" w:hAnsi="Times New Roman" w:cs="Times New Roman"/>
          <w:sz w:val="18"/>
          <w:szCs w:val="18"/>
        </w:rPr>
        <w:t>、食品安全</w:t>
      </w:r>
    </w:p>
    <w:p>
      <w:pPr>
        <w:pStyle w:val="8"/>
        <w:spacing w:before="0" w:beforeAutospacing="0" w:after="0" w:afterAutospacing="0"/>
        <w:ind w:firstLine="360"/>
        <w:rPr>
          <w:rFonts w:ascii="Times New Roman" w:hAnsi="Times New Roman" w:eastAsia="等线" w:cs="Times New Roman"/>
          <w:sz w:val="21"/>
          <w:szCs w:val="21"/>
        </w:rPr>
      </w:pPr>
      <w:r>
        <w:rPr>
          <w:rFonts w:ascii="Times New Roman" w:hAnsi="Times New Roman" w:cs="Times New Roman"/>
          <w:sz w:val="18"/>
          <w:szCs w:val="18"/>
        </w:rPr>
        <w:t>在保障食品安全方面，公司建立了一系列标准化制度和技术规范，实现标准化管理，并建立了严格的食品安全保障体系和可追溯体系。公司在生产过程中严格落实HACCP、ISO9001质量控制体系要求，全面系统分析全产业链各主要环节，重点控制食品安全的关键影响点。通过建立的三级质量管控体系，形成严谨完善的食品安全把控体系，实现了全产业链全过程的品质把关。面对非洲猪瘟等危险因素，公司实行严格的检验检疫，由驻场官方兽医和屠宰场肉检员同步进行检疫和检验，全程紧盯监督，切断并杜绝非洲猪瘟病毒传播途径与扩散风险，确保为消费者提供“安全、放心、健康、新鲜”的产品。</w:t>
      </w:r>
    </w:p>
    <w:p>
      <w:pPr>
        <w:pStyle w:val="8"/>
        <w:spacing w:before="0" w:beforeAutospacing="0" w:after="0" w:afterAutospacing="0"/>
        <w:ind w:firstLine="360"/>
        <w:rPr>
          <w:rFonts w:ascii="Times New Roman" w:hAnsi="Times New Roman" w:eastAsia="等线" w:cs="Times New Roman"/>
          <w:sz w:val="21"/>
          <w:szCs w:val="21"/>
        </w:rPr>
      </w:pPr>
      <w:r>
        <w:rPr>
          <w:rFonts w:ascii="Times New Roman" w:hAnsi="Times New Roman" w:cs="Times New Roman"/>
          <w:sz w:val="18"/>
          <w:szCs w:val="18"/>
        </w:rPr>
        <w:t>下属全资子公司烟台杰科检测服务有限公司，在严格按照国家检疫流程和国际标准下，提供从原料到成品全方位的检测服务，实现了对原料、生产、产品的全过程品质把关，包括饲料检验、兽药检验、出栏检验、加工过程中的十八道检验、配 送车辆GPS温度控制、终端官能检验等各重要环节，并通过批次管理和报表记录做到可追溯，真正实现全程可控、全程追溯， 确保终端产品的食品安全，让老百姓的“菜篮子”更加安全、放心。</w:t>
      </w:r>
    </w:p>
    <w:p>
      <w:pPr>
        <w:pStyle w:val="8"/>
        <w:spacing w:before="0" w:beforeAutospacing="0" w:after="0" w:afterAutospacing="0"/>
        <w:ind w:firstLine="360"/>
        <w:rPr>
          <w:rFonts w:ascii="Times New Roman" w:hAnsi="Times New Roman" w:eastAsia="等线" w:cs="Times New Roman"/>
          <w:sz w:val="21"/>
          <w:szCs w:val="21"/>
        </w:rPr>
      </w:pPr>
      <w:r>
        <w:rPr>
          <w:rFonts w:ascii="Times New Roman" w:hAnsi="Times New Roman" w:eastAsia="等线" w:cs="Times New Roman"/>
          <w:sz w:val="18"/>
          <w:szCs w:val="18"/>
        </w:rPr>
        <w:t>6</w:t>
      </w:r>
      <w:r>
        <w:rPr>
          <w:rFonts w:ascii="Times New Roman" w:hAnsi="Times New Roman" w:cs="Times New Roman"/>
          <w:sz w:val="18"/>
          <w:szCs w:val="18"/>
        </w:rPr>
        <w:t>、人才引进</w:t>
      </w:r>
    </w:p>
    <w:p>
      <w:pPr>
        <w:pStyle w:val="8"/>
        <w:spacing w:before="0" w:beforeAutospacing="0" w:after="0" w:afterAutospacing="0"/>
        <w:rPr>
          <w:rFonts w:ascii="Times New Roman" w:hAnsi="Times New Roman" w:eastAsia="等线" w:cs="Times New Roman"/>
          <w:sz w:val="21"/>
          <w:szCs w:val="21"/>
        </w:rPr>
      </w:pPr>
      <w:r>
        <w:rPr>
          <w:rFonts w:ascii="Times New Roman" w:hAnsi="Times New Roman" w:cs="Times New Roman"/>
          <w:sz w:val="18"/>
          <w:szCs w:val="18"/>
        </w:rPr>
        <w:t>公司每年从高校引进大批锐意创新、追求卓越的新兴力量，一方面为公司的中长期发展注入了新鲜的血液，另一方面也为大学生提供了更多就业的岗位，缓解社会就业难的问题。同时，在推动和践行人才引进规划过程中，公司始终将校企合作作为重要的人才引进举措，为大学生就业提供更具针对性的平台。202</w:t>
      </w:r>
      <w:r>
        <w:rPr>
          <w:rFonts w:ascii="Times New Roman" w:hAnsi="Times New Roman" w:eastAsia="等线" w:cs="Times New Roman"/>
          <w:sz w:val="18"/>
          <w:szCs w:val="18"/>
        </w:rPr>
        <w:t>3</w:t>
      </w:r>
      <w:r>
        <w:rPr>
          <w:rFonts w:ascii="Times New Roman" w:hAnsi="Times New Roman" w:cs="Times New Roman"/>
          <w:sz w:val="18"/>
          <w:szCs w:val="18"/>
        </w:rPr>
        <w:t>年4月及</w:t>
      </w:r>
      <w:r>
        <w:rPr>
          <w:rFonts w:ascii="Times New Roman" w:hAnsi="Times New Roman" w:eastAsia="等线" w:cs="Times New Roman"/>
          <w:sz w:val="18"/>
          <w:szCs w:val="18"/>
        </w:rPr>
        <w:t>6</w:t>
      </w:r>
      <w:r>
        <w:rPr>
          <w:rFonts w:ascii="Times New Roman" w:hAnsi="Times New Roman" w:cs="Times New Roman"/>
          <w:sz w:val="18"/>
          <w:szCs w:val="18"/>
        </w:rPr>
        <w:t>月，公司举行“辉光日‘新’，共闯未来”等主题的新员工培训活动，为公司发展注入新鲜血液和新生力量，帮助新员工快速融入工作环境，提升工作执行力。公司未来将始终贯彻以社会效益为首要原则，将企业发展与社会责任相连接，在新时代下肩负新的使命和担当。</w:t>
      </w:r>
    </w:p>
    <w:p>
      <w:pPr>
        <w:pStyle w:val="8"/>
        <w:spacing w:before="0" w:beforeAutospacing="0" w:after="0" w:afterAutospacing="0"/>
        <w:ind w:firstLine="360"/>
        <w:rPr>
          <w:rFonts w:ascii="Times New Roman" w:hAnsi="Times New Roman" w:eastAsia="等线" w:cs="Times New Roman"/>
          <w:sz w:val="21"/>
          <w:szCs w:val="21"/>
        </w:rPr>
      </w:pPr>
      <w:r>
        <w:rPr>
          <w:rFonts w:ascii="Times New Roman" w:hAnsi="Times New Roman" w:cs="Times New Roman"/>
          <w:sz w:val="18"/>
          <w:szCs w:val="18"/>
        </w:rPr>
        <w:t>7、巩固拓展脱贫攻坚成果、乡村振兴的情况 </w:t>
      </w:r>
    </w:p>
    <w:p>
      <w:pPr>
        <w:pStyle w:val="8"/>
        <w:spacing w:before="0" w:beforeAutospacing="0" w:after="0" w:afterAutospacing="0"/>
        <w:ind w:firstLine="360"/>
        <w:rPr>
          <w:rFonts w:ascii="Times New Roman" w:hAnsi="Times New Roman" w:eastAsia="等线" w:cs="Times New Roman"/>
          <w:sz w:val="21"/>
          <w:szCs w:val="21"/>
        </w:rPr>
      </w:pPr>
      <w:r>
        <w:rPr>
          <w:rFonts w:ascii="Times New Roman" w:hAnsi="Times New Roman" w:cs="Times New Roman"/>
          <w:sz w:val="18"/>
          <w:szCs w:val="18"/>
        </w:rPr>
        <w:t>通过“公司+农户”的生猪养殖模式，有效地将公司的业务和农户增收相结合。目前公司养殖合作农户约4</w:t>
      </w:r>
      <w:r>
        <w:rPr>
          <w:rFonts w:ascii="Times New Roman" w:hAnsi="Times New Roman" w:eastAsia="等线" w:cs="Times New Roman"/>
          <w:sz w:val="18"/>
          <w:szCs w:val="18"/>
        </w:rPr>
        <w:t>00</w:t>
      </w:r>
      <w:r>
        <w:rPr>
          <w:rFonts w:ascii="Times New Roman" w:hAnsi="Times New Roman" w:cs="Times New Roman"/>
          <w:sz w:val="18"/>
          <w:szCs w:val="18"/>
        </w:rPr>
        <w:t xml:space="preserve">户，为深入推进乡村振兴与生猪稳产保供，公司建立了“三提供+两担保”的养殖扶贫模式，叠加政府一系列助农扶贫政策，带动农户增收致富。 </w:t>
      </w:r>
    </w:p>
    <w:p>
      <w:pPr>
        <w:pStyle w:val="8"/>
        <w:spacing w:before="0" w:beforeAutospacing="0" w:after="0" w:afterAutospacing="0"/>
        <w:ind w:firstLine="360"/>
        <w:rPr>
          <w:rFonts w:ascii="Times New Roman" w:hAnsi="Times New Roman" w:eastAsia="等线" w:cs="Times New Roman"/>
          <w:sz w:val="21"/>
          <w:szCs w:val="21"/>
        </w:rPr>
      </w:pPr>
      <w:r>
        <w:rPr>
          <w:rFonts w:ascii="Times New Roman" w:hAnsi="Times New Roman" w:cs="Times New Roman"/>
          <w:sz w:val="18"/>
          <w:szCs w:val="18"/>
        </w:rPr>
        <w:t>“三提供”是通过引进国内外优质种猪经自我繁育，性状改良优化后，提供品质优良的三元猪猪苗；通过建立完善的供给体系，100%统一提供饲料并配送到家；深入农户上门走访，及时提供技术帮带与药品等服务支持，驻场帮助农户改善养殖 环境，促进健康养殖。</w:t>
      </w:r>
    </w:p>
    <w:p>
      <w:pPr>
        <w:pStyle w:val="8"/>
        <w:spacing w:before="0" w:beforeAutospacing="0" w:after="0" w:afterAutospacing="0"/>
        <w:ind w:firstLine="360"/>
        <w:rPr>
          <w:rFonts w:ascii="Times New Roman" w:hAnsi="Times New Roman" w:eastAsia="等线" w:cs="Times New Roman"/>
          <w:sz w:val="21"/>
          <w:szCs w:val="21"/>
        </w:rPr>
      </w:pPr>
      <w:r>
        <w:rPr>
          <w:rFonts w:ascii="Times New Roman" w:hAnsi="Times New Roman" w:cs="Times New Roman"/>
          <w:sz w:val="18"/>
          <w:szCs w:val="18"/>
        </w:rPr>
        <w:t>“两担保”是通过回收担保，对养殖场户实行生猪100%回购，并以全产业协同发展的优势，立足于产业资源统筹，充分打通了生产加工、物流运输与终端销售服务等环节，在做好农产品产销对接基础上，突出消费扶贫的作用，让养殖户无后顾之忧的同时，也带动农业升级增效，促进农民增收创收。在面对农业养殖行业融资难、融资渠道窄等问题，为切实帮助养殖户解决资金问题，公司积极了解农户发展生猪养殖方面的资金需求，助力农户对接银行，有效解决了农产业发展中资金短缺问题。</w:t>
      </w:r>
    </w:p>
    <w:p>
      <w:pPr>
        <w:rPr>
          <w:rFonts w:ascii="Times New Roman" w:hAnsi="Times New Roman" w:cs="Times New Roman"/>
        </w:rPr>
      </w:pPr>
      <w:r>
        <w:rPr>
          <w:rFonts w:ascii="Times New Roman" w:hAnsi="Times New Roman" w:cs="Times New Roman"/>
        </w:rPr>
        <w:br w:type="page"/>
      </w:r>
    </w:p>
    <w:p>
      <w:pPr>
        <w:pStyle w:val="13"/>
        <w:spacing w:before="340" w:after="330" w:line="773" w:lineRule="exact"/>
        <w:jc w:val="center"/>
        <w:rPr>
          <w:rFonts w:ascii="Times New Roman" w:hAnsi="Times New Roman" w:eastAsia="宋体" w:cs="Times New Roman"/>
          <w:b/>
          <w:bCs/>
          <w:sz w:val="32"/>
          <w:szCs w:val="32"/>
        </w:rPr>
      </w:pPr>
      <w:bookmarkStart w:id="53" w:name="_Toc988942"/>
      <w:r>
        <w:rPr>
          <w:rFonts w:ascii="Times New Roman" w:hAnsi="Times New Roman" w:eastAsia="宋体" w:cs="Times New Roman"/>
          <w:b/>
          <w:bCs/>
          <w:sz w:val="32"/>
          <w:szCs w:val="32"/>
        </w:rPr>
        <w:t>第六节 重要事项</w:t>
      </w:r>
      <w:bookmarkEnd w:id="53"/>
    </w:p>
    <w:p>
      <w:pPr>
        <w:pStyle w:val="2"/>
        <w:spacing w:before="300" w:after="300" w:line="320" w:lineRule="exact"/>
        <w:rPr>
          <w:rFonts w:ascii="Times New Roman" w:hAnsi="Times New Roman" w:eastAsia="宋体" w:cs="Times New Roman"/>
          <w:b/>
          <w:bCs/>
          <w:sz w:val="24"/>
          <w:szCs w:val="24"/>
        </w:rPr>
      </w:pPr>
      <w:bookmarkStart w:id="54" w:name="_Toc988943"/>
      <w:r>
        <w:rPr>
          <w:rFonts w:ascii="Times New Roman" w:hAnsi="Times New Roman" w:eastAsia="宋体" w:cs="Times New Roman"/>
          <w:b/>
          <w:bCs/>
          <w:sz w:val="24"/>
          <w:szCs w:val="24"/>
        </w:rPr>
        <w:t>一、公司实际控制人、股东、关联方、收购人以及公司等承诺相关方在报告期内履行完毕及截至报告期末超期未履行完毕的承诺事项</w:t>
      </w:r>
      <w:bookmarkEnd w:id="54"/>
    </w:p>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 xml:space="preserve">□适用 </w:t>
      </w: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不适用</w:t>
      </w:r>
    </w:p>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公司报告期不存在由公司实际控制人、股东、关联方、收购人以及公司等承诺相关方在报告期内履行完毕及截至报告期末超期未履行完毕的承诺事项。</w:t>
      </w:r>
    </w:p>
    <w:p>
      <w:pPr>
        <w:pStyle w:val="2"/>
        <w:spacing w:before="300" w:after="300" w:line="320" w:lineRule="exact"/>
        <w:rPr>
          <w:rFonts w:ascii="Times New Roman" w:hAnsi="Times New Roman" w:eastAsia="宋体" w:cs="Times New Roman"/>
          <w:b/>
          <w:bCs/>
          <w:sz w:val="24"/>
          <w:szCs w:val="24"/>
        </w:rPr>
      </w:pPr>
      <w:bookmarkStart w:id="55" w:name="_Toc988944"/>
      <w:r>
        <w:rPr>
          <w:rFonts w:ascii="Times New Roman" w:hAnsi="Times New Roman" w:eastAsia="宋体" w:cs="Times New Roman"/>
          <w:b/>
          <w:bCs/>
          <w:sz w:val="24"/>
          <w:szCs w:val="24"/>
        </w:rPr>
        <w:t>二、控股股东及其他关联方对上市公司的非经营性占用资金情况</w:t>
      </w:r>
      <w:bookmarkEnd w:id="55"/>
    </w:p>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 xml:space="preserve">□适用 </w:t>
      </w: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不适用</w:t>
      </w:r>
    </w:p>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公司报告期不存在控股股东及其他关联方对上市公司的非经营性占用资金。</w:t>
      </w:r>
    </w:p>
    <w:p>
      <w:pPr>
        <w:pStyle w:val="2"/>
        <w:spacing w:before="300" w:after="300" w:line="320" w:lineRule="exact"/>
        <w:rPr>
          <w:rFonts w:ascii="Times New Roman" w:hAnsi="Times New Roman" w:eastAsia="宋体" w:cs="Times New Roman"/>
          <w:b/>
          <w:bCs/>
          <w:sz w:val="24"/>
          <w:szCs w:val="24"/>
        </w:rPr>
      </w:pPr>
      <w:bookmarkStart w:id="56" w:name="_Toc988945"/>
      <w:r>
        <w:rPr>
          <w:rFonts w:ascii="Times New Roman" w:hAnsi="Times New Roman" w:eastAsia="宋体" w:cs="Times New Roman"/>
          <w:b/>
          <w:bCs/>
          <w:sz w:val="24"/>
          <w:szCs w:val="24"/>
        </w:rPr>
        <w:t>三、违规对外担保情况</w:t>
      </w:r>
      <w:bookmarkEnd w:id="56"/>
    </w:p>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 xml:space="preserve">□适用 </w:t>
      </w: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不适用</w:t>
      </w: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公司报告期无违规对外担保情况。</w:t>
      </w:r>
    </w:p>
    <w:p>
      <w:pPr>
        <w:pStyle w:val="2"/>
        <w:spacing w:before="300" w:after="300" w:line="320" w:lineRule="exact"/>
        <w:rPr>
          <w:rFonts w:ascii="Times New Roman" w:hAnsi="Times New Roman" w:eastAsia="宋体" w:cs="Times New Roman"/>
          <w:b/>
          <w:bCs/>
          <w:sz w:val="24"/>
          <w:szCs w:val="24"/>
        </w:rPr>
      </w:pPr>
      <w:bookmarkStart w:id="57" w:name="_Toc988946"/>
      <w:r>
        <w:rPr>
          <w:rFonts w:ascii="Times New Roman" w:hAnsi="Times New Roman" w:eastAsia="宋体" w:cs="Times New Roman"/>
          <w:b/>
          <w:bCs/>
          <w:sz w:val="24"/>
          <w:szCs w:val="24"/>
        </w:rPr>
        <w:t>四、聘任、解聘会计师事务所情况</w:t>
      </w:r>
      <w:bookmarkEnd w:id="57"/>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半年度财务报告是否已经审计</w:t>
      </w: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 xml:space="preserve">□是 </w:t>
      </w: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否</w:t>
      </w: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公司半年度报告未经审计。</w:t>
      </w:r>
    </w:p>
    <w:p>
      <w:pPr>
        <w:pStyle w:val="2"/>
        <w:spacing w:before="300" w:after="300" w:line="320" w:lineRule="exact"/>
        <w:rPr>
          <w:rFonts w:ascii="Times New Roman" w:hAnsi="Times New Roman" w:eastAsia="宋体" w:cs="Times New Roman"/>
          <w:b/>
          <w:bCs/>
          <w:sz w:val="24"/>
          <w:szCs w:val="24"/>
        </w:rPr>
      </w:pPr>
      <w:bookmarkStart w:id="58" w:name="_Toc988947"/>
      <w:r>
        <w:rPr>
          <w:rFonts w:ascii="Times New Roman" w:hAnsi="Times New Roman" w:eastAsia="宋体" w:cs="Times New Roman"/>
          <w:b/>
          <w:bCs/>
          <w:sz w:val="24"/>
          <w:szCs w:val="24"/>
        </w:rPr>
        <w:t>五、董事会、监事会对会计师事务所本报告期“非标准审计报告”的说明</w:t>
      </w:r>
      <w:bookmarkEnd w:id="58"/>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 xml:space="preserve">□适用 </w:t>
      </w: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不适用</w:t>
      </w:r>
    </w:p>
    <w:p>
      <w:pPr>
        <w:pStyle w:val="2"/>
        <w:spacing w:before="300" w:after="300" w:line="320" w:lineRule="exact"/>
        <w:rPr>
          <w:rFonts w:ascii="Times New Roman" w:hAnsi="Times New Roman" w:eastAsia="宋体" w:cs="Times New Roman"/>
          <w:b/>
          <w:bCs/>
          <w:sz w:val="24"/>
          <w:szCs w:val="24"/>
        </w:rPr>
      </w:pPr>
      <w:bookmarkStart w:id="59" w:name="_Toc988948"/>
      <w:r>
        <w:rPr>
          <w:rFonts w:ascii="Times New Roman" w:hAnsi="Times New Roman" w:eastAsia="宋体" w:cs="Times New Roman"/>
          <w:b/>
          <w:bCs/>
          <w:sz w:val="24"/>
          <w:szCs w:val="24"/>
        </w:rPr>
        <w:t>六、董事会对上年度“非标准审计报告”相关情况的说明</w:t>
      </w:r>
      <w:bookmarkEnd w:id="59"/>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 xml:space="preserve">□适用 </w:t>
      </w: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不适用</w:t>
      </w:r>
    </w:p>
    <w:p>
      <w:pPr>
        <w:pStyle w:val="2"/>
        <w:spacing w:before="300" w:after="300" w:line="320" w:lineRule="exact"/>
        <w:rPr>
          <w:rFonts w:ascii="Times New Roman" w:hAnsi="Times New Roman" w:eastAsia="宋体" w:cs="Times New Roman"/>
          <w:b/>
          <w:bCs/>
          <w:sz w:val="24"/>
          <w:szCs w:val="24"/>
        </w:rPr>
      </w:pPr>
      <w:bookmarkStart w:id="60" w:name="_Toc988949"/>
      <w:r>
        <w:rPr>
          <w:rFonts w:ascii="Times New Roman" w:hAnsi="Times New Roman" w:eastAsia="宋体" w:cs="Times New Roman"/>
          <w:b/>
          <w:bCs/>
          <w:sz w:val="24"/>
          <w:szCs w:val="24"/>
        </w:rPr>
        <w:t>七、破产重整相关事项</w:t>
      </w:r>
      <w:bookmarkEnd w:id="60"/>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 xml:space="preserve">□适用 </w:t>
      </w: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不适用</w:t>
      </w: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公司报告期未发生破产重整相关事项。</w:t>
      </w:r>
    </w:p>
    <w:p>
      <w:pPr>
        <w:pStyle w:val="2"/>
        <w:spacing w:before="300" w:after="300" w:line="320" w:lineRule="exact"/>
        <w:rPr>
          <w:rFonts w:ascii="Times New Roman" w:hAnsi="Times New Roman" w:eastAsia="宋体" w:cs="Times New Roman"/>
          <w:b/>
          <w:bCs/>
          <w:sz w:val="24"/>
          <w:szCs w:val="24"/>
        </w:rPr>
      </w:pPr>
      <w:bookmarkStart w:id="61" w:name="_Toc988950"/>
      <w:r>
        <w:rPr>
          <w:rFonts w:ascii="Times New Roman" w:hAnsi="Times New Roman" w:eastAsia="宋体" w:cs="Times New Roman"/>
          <w:b/>
          <w:bCs/>
          <w:sz w:val="24"/>
          <w:szCs w:val="24"/>
        </w:rPr>
        <w:t>八、诉讼事项</w:t>
      </w:r>
      <w:bookmarkEnd w:id="61"/>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重大诉讼仲裁事项</w:t>
      </w: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 xml:space="preserve">□适用 </w:t>
      </w: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不适用</w:t>
      </w: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本报告期公司无重大诉讼、仲裁事项。</w:t>
      </w: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其他诉讼事项</w:t>
      </w: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 xml:space="preserve">□适用 </w:t>
      </w: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不适用</w:t>
      </w:r>
    </w:p>
    <w:p>
      <w:pPr>
        <w:pStyle w:val="2"/>
        <w:spacing w:before="300" w:after="300" w:line="320" w:lineRule="exact"/>
        <w:rPr>
          <w:rFonts w:ascii="Times New Roman" w:hAnsi="Times New Roman" w:eastAsia="宋体" w:cs="Times New Roman"/>
          <w:b/>
          <w:bCs/>
          <w:sz w:val="24"/>
          <w:szCs w:val="24"/>
        </w:rPr>
      </w:pPr>
      <w:bookmarkStart w:id="62" w:name="_Toc988951"/>
      <w:r>
        <w:rPr>
          <w:rFonts w:ascii="Times New Roman" w:hAnsi="Times New Roman" w:eastAsia="宋体" w:cs="Times New Roman"/>
          <w:b/>
          <w:bCs/>
          <w:sz w:val="24"/>
          <w:szCs w:val="24"/>
        </w:rPr>
        <w:t>九、处罚及整改情况</w:t>
      </w:r>
      <w:bookmarkEnd w:id="62"/>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 xml:space="preserve">□适用 </w:t>
      </w: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不适用</w:t>
      </w:r>
    </w:p>
    <w:p>
      <w:pPr>
        <w:pStyle w:val="2"/>
        <w:spacing w:before="300" w:after="300" w:line="320" w:lineRule="exact"/>
        <w:rPr>
          <w:rFonts w:ascii="Times New Roman" w:hAnsi="Times New Roman" w:eastAsia="宋体" w:cs="Times New Roman"/>
          <w:b/>
          <w:bCs/>
          <w:sz w:val="24"/>
          <w:szCs w:val="24"/>
        </w:rPr>
      </w:pPr>
      <w:bookmarkStart w:id="63" w:name="_Toc988952"/>
      <w:r>
        <w:rPr>
          <w:rFonts w:ascii="Times New Roman" w:hAnsi="Times New Roman" w:eastAsia="宋体" w:cs="Times New Roman"/>
          <w:b/>
          <w:bCs/>
          <w:sz w:val="24"/>
          <w:szCs w:val="24"/>
        </w:rPr>
        <w:t>十、公司及其控股股东、实际控制人的诚信状况</w:t>
      </w:r>
      <w:bookmarkEnd w:id="63"/>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 xml:space="preserve">□适用 </w:t>
      </w: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不适用</w:t>
      </w:r>
    </w:p>
    <w:p>
      <w:pPr>
        <w:pStyle w:val="2"/>
        <w:spacing w:before="300" w:after="300" w:line="320" w:lineRule="exact"/>
        <w:rPr>
          <w:rFonts w:ascii="Times New Roman" w:hAnsi="Times New Roman" w:eastAsia="宋体" w:cs="Times New Roman"/>
          <w:b/>
          <w:bCs/>
          <w:sz w:val="24"/>
          <w:szCs w:val="24"/>
        </w:rPr>
      </w:pPr>
      <w:bookmarkStart w:id="64" w:name="_Toc988953"/>
      <w:r>
        <w:rPr>
          <w:rFonts w:ascii="Times New Roman" w:hAnsi="Times New Roman" w:eastAsia="宋体" w:cs="Times New Roman"/>
          <w:b/>
          <w:bCs/>
          <w:sz w:val="24"/>
          <w:szCs w:val="24"/>
        </w:rPr>
        <w:t>十一、重大关联交易</w:t>
      </w:r>
      <w:bookmarkEnd w:id="64"/>
    </w:p>
    <w:p>
      <w:pPr>
        <w:pStyle w:val="3"/>
        <w:spacing w:line="280" w:lineRule="exact"/>
        <w:jc w:val="left"/>
        <w:rPr>
          <w:rFonts w:ascii="Times New Roman" w:hAnsi="Times New Roman" w:cs="Times New Roman"/>
          <w:b/>
          <w:bCs/>
        </w:rPr>
      </w:pPr>
      <w:bookmarkStart w:id="65" w:name="_Toc988954"/>
      <w:r>
        <w:rPr>
          <w:rFonts w:ascii="Times New Roman" w:hAnsi="Times New Roman" w:cs="Times New Roman"/>
          <w:b/>
          <w:bCs/>
        </w:rPr>
        <w:t>1、与日常经营相关的关联交易</w:t>
      </w:r>
      <w:bookmarkEnd w:id="65"/>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 xml:space="preserve">□适用 </w:t>
      </w: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不适用</w:t>
      </w: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公司报告期未发生与日常经营相关的关联交易。</w:t>
      </w:r>
    </w:p>
    <w:p>
      <w:pPr>
        <w:pStyle w:val="3"/>
        <w:spacing w:line="280" w:lineRule="exact"/>
        <w:jc w:val="left"/>
        <w:rPr>
          <w:rFonts w:ascii="Times New Roman" w:hAnsi="Times New Roman" w:cs="Times New Roman"/>
          <w:b/>
          <w:bCs/>
        </w:rPr>
      </w:pPr>
      <w:bookmarkStart w:id="66" w:name="_Toc988955"/>
      <w:r>
        <w:rPr>
          <w:rFonts w:ascii="Times New Roman" w:hAnsi="Times New Roman" w:cs="Times New Roman"/>
          <w:b/>
          <w:bCs/>
        </w:rPr>
        <w:t>2、资产或股权收购、出售发生的关联交易</w:t>
      </w:r>
      <w:bookmarkEnd w:id="66"/>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 xml:space="preserve">□适用 </w:t>
      </w: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不适用</w:t>
      </w: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公司报告期未发生资产或股权收购、出售的关联交易。</w:t>
      </w:r>
    </w:p>
    <w:p>
      <w:pPr>
        <w:pStyle w:val="3"/>
        <w:spacing w:line="280" w:lineRule="exact"/>
        <w:jc w:val="left"/>
        <w:rPr>
          <w:rFonts w:ascii="Times New Roman" w:hAnsi="Times New Roman" w:cs="Times New Roman"/>
          <w:b/>
          <w:bCs/>
        </w:rPr>
      </w:pPr>
      <w:bookmarkStart w:id="67" w:name="_Toc988956"/>
      <w:r>
        <w:rPr>
          <w:rFonts w:ascii="Times New Roman" w:hAnsi="Times New Roman" w:cs="Times New Roman"/>
          <w:b/>
          <w:bCs/>
        </w:rPr>
        <w:t>3、共同对外投资的关联交易</w:t>
      </w:r>
      <w:bookmarkEnd w:id="67"/>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 xml:space="preserve">□适用 </w:t>
      </w: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不适用</w:t>
      </w: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公司报告期未发生共同对外投资的关联交易。</w:t>
      </w:r>
    </w:p>
    <w:p>
      <w:pPr>
        <w:pStyle w:val="3"/>
        <w:spacing w:line="280" w:lineRule="exact"/>
        <w:jc w:val="left"/>
        <w:rPr>
          <w:rFonts w:ascii="Times New Roman" w:hAnsi="Times New Roman" w:cs="Times New Roman"/>
          <w:b/>
          <w:bCs/>
        </w:rPr>
      </w:pPr>
      <w:bookmarkStart w:id="68" w:name="_Toc988957"/>
      <w:r>
        <w:rPr>
          <w:rFonts w:ascii="Times New Roman" w:hAnsi="Times New Roman" w:cs="Times New Roman"/>
          <w:b/>
          <w:bCs/>
        </w:rPr>
        <w:t>4、关联债权债务往来</w:t>
      </w:r>
      <w:bookmarkEnd w:id="68"/>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 xml:space="preserve">□适用 </w:t>
      </w: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不适用</w:t>
      </w: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公司报告期不存在关联债权债务往来。</w:t>
      </w:r>
    </w:p>
    <w:p>
      <w:pPr>
        <w:pStyle w:val="3"/>
        <w:spacing w:line="280" w:lineRule="exact"/>
        <w:jc w:val="left"/>
        <w:rPr>
          <w:rFonts w:ascii="Times New Roman" w:hAnsi="Times New Roman" w:cs="Times New Roman"/>
          <w:b/>
          <w:bCs/>
        </w:rPr>
      </w:pPr>
      <w:bookmarkStart w:id="69" w:name="_Toc988958"/>
      <w:r>
        <w:rPr>
          <w:rFonts w:ascii="Times New Roman" w:hAnsi="Times New Roman" w:cs="Times New Roman"/>
          <w:b/>
          <w:bCs/>
        </w:rPr>
        <w:t>5、与存在关联关系的财务公司的往来情况</w:t>
      </w:r>
      <w:bookmarkEnd w:id="69"/>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 xml:space="preserve">□适用 </w:t>
      </w: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不适用</w:t>
      </w: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公司与存在关联关系的财务公司与关联方之间不存在存款、贷款、授信或其他金融业务。</w:t>
      </w:r>
    </w:p>
    <w:p>
      <w:pPr>
        <w:pStyle w:val="3"/>
        <w:spacing w:line="280" w:lineRule="exact"/>
        <w:jc w:val="left"/>
        <w:rPr>
          <w:rFonts w:ascii="Times New Roman" w:hAnsi="Times New Roman" w:cs="Times New Roman"/>
          <w:b/>
          <w:bCs/>
        </w:rPr>
      </w:pPr>
      <w:bookmarkStart w:id="70" w:name="_Toc988959"/>
      <w:r>
        <w:rPr>
          <w:rFonts w:ascii="Times New Roman" w:hAnsi="Times New Roman" w:cs="Times New Roman"/>
          <w:b/>
          <w:bCs/>
        </w:rPr>
        <w:t>6、公司控股的财务公司与关联方的往来情况</w:t>
      </w:r>
      <w:bookmarkEnd w:id="70"/>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 xml:space="preserve">□适用 </w:t>
      </w: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不适用</w:t>
      </w: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公司控股的财务公司与关联方之间不存在存款、贷款、授信或其他金融业务。</w:t>
      </w:r>
    </w:p>
    <w:p>
      <w:pPr>
        <w:pStyle w:val="3"/>
        <w:spacing w:line="280" w:lineRule="exact"/>
        <w:jc w:val="left"/>
        <w:rPr>
          <w:rFonts w:ascii="Times New Roman" w:hAnsi="Times New Roman" w:cs="Times New Roman"/>
          <w:b/>
          <w:bCs/>
        </w:rPr>
      </w:pPr>
      <w:bookmarkStart w:id="71" w:name="_Toc988960"/>
      <w:r>
        <w:rPr>
          <w:rFonts w:ascii="Times New Roman" w:hAnsi="Times New Roman" w:cs="Times New Roman"/>
          <w:b/>
          <w:bCs/>
        </w:rPr>
        <w:t>7、其他重大关联交易</w:t>
      </w:r>
      <w:bookmarkEnd w:id="71"/>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 xml:space="preserve">□适用 </w:t>
      </w: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不适用</w:t>
      </w: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公司报告期无其他重大关联交易。</w:t>
      </w:r>
    </w:p>
    <w:p>
      <w:pPr>
        <w:pStyle w:val="2"/>
        <w:spacing w:before="300" w:after="300" w:line="320" w:lineRule="exact"/>
        <w:rPr>
          <w:rFonts w:ascii="Times New Roman" w:hAnsi="Times New Roman" w:eastAsia="宋体" w:cs="Times New Roman"/>
          <w:b/>
          <w:bCs/>
          <w:sz w:val="24"/>
          <w:szCs w:val="24"/>
        </w:rPr>
      </w:pPr>
      <w:bookmarkStart w:id="72" w:name="_Toc988961"/>
      <w:r>
        <w:rPr>
          <w:rFonts w:ascii="Times New Roman" w:hAnsi="Times New Roman" w:eastAsia="宋体" w:cs="Times New Roman"/>
          <w:b/>
          <w:bCs/>
          <w:sz w:val="24"/>
          <w:szCs w:val="24"/>
        </w:rPr>
        <w:t>十二、重大合同及其履行情况</w:t>
      </w:r>
      <w:bookmarkEnd w:id="72"/>
    </w:p>
    <w:p>
      <w:pPr>
        <w:pStyle w:val="3"/>
        <w:spacing w:line="280" w:lineRule="exact"/>
        <w:jc w:val="left"/>
        <w:rPr>
          <w:rFonts w:ascii="Times New Roman" w:hAnsi="Times New Roman" w:cs="Times New Roman"/>
          <w:b/>
          <w:bCs/>
        </w:rPr>
      </w:pPr>
      <w:bookmarkStart w:id="73" w:name="_Toc988962"/>
      <w:r>
        <w:rPr>
          <w:rFonts w:ascii="Times New Roman" w:hAnsi="Times New Roman" w:cs="Times New Roman"/>
          <w:b/>
          <w:bCs/>
        </w:rPr>
        <w:t>1、托管、承包、租赁事项情况</w:t>
      </w:r>
      <w:bookmarkEnd w:id="73"/>
    </w:p>
    <w:p>
      <w:pPr>
        <w:keepNext/>
        <w:keepLines/>
        <w:spacing w:before="300" w:after="300" w:line="280" w:lineRule="exact"/>
        <w:outlineLvl w:val="3"/>
        <w:rPr>
          <w:rFonts w:ascii="Times New Roman" w:hAnsi="Times New Roman" w:eastAsia="宋体" w:cs="Times New Roman"/>
          <w:b/>
          <w:bCs/>
          <w:sz w:val="18"/>
          <w:szCs w:val="18"/>
        </w:rPr>
      </w:pPr>
      <w:bookmarkStart w:id="74" w:name="_Toc988963"/>
      <w:r>
        <w:rPr>
          <w:rFonts w:ascii="Times New Roman" w:hAnsi="Times New Roman" w:eastAsia="宋体" w:cs="Times New Roman"/>
          <w:b/>
          <w:bCs/>
          <w:sz w:val="18"/>
          <w:szCs w:val="18"/>
        </w:rPr>
        <w:t>（1） 托管情况</w:t>
      </w:r>
      <w:bookmarkEnd w:id="74"/>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 xml:space="preserve">□适用 </w:t>
      </w: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不适用</w:t>
      </w: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公司报告期不存在托管情况。</w:t>
      </w:r>
    </w:p>
    <w:p>
      <w:pPr>
        <w:keepNext/>
        <w:keepLines/>
        <w:spacing w:before="300" w:after="300" w:line="280" w:lineRule="exact"/>
        <w:outlineLvl w:val="3"/>
        <w:rPr>
          <w:rFonts w:ascii="Times New Roman" w:hAnsi="Times New Roman" w:eastAsia="宋体" w:cs="Times New Roman"/>
          <w:b/>
          <w:bCs/>
          <w:sz w:val="18"/>
          <w:szCs w:val="18"/>
        </w:rPr>
      </w:pPr>
      <w:bookmarkStart w:id="75" w:name="_Toc988964"/>
      <w:r>
        <w:rPr>
          <w:rFonts w:ascii="Times New Roman" w:hAnsi="Times New Roman" w:eastAsia="宋体" w:cs="Times New Roman"/>
          <w:b/>
          <w:bCs/>
          <w:sz w:val="18"/>
          <w:szCs w:val="18"/>
        </w:rPr>
        <w:t>（2） 承包情况</w:t>
      </w:r>
      <w:bookmarkEnd w:id="75"/>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 xml:space="preserve">□适用 </w:t>
      </w: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不适用</w:t>
      </w: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公司报告期不存在承包情况。</w:t>
      </w:r>
    </w:p>
    <w:p>
      <w:pPr>
        <w:keepNext/>
        <w:keepLines/>
        <w:spacing w:before="300" w:after="300" w:line="280" w:lineRule="exact"/>
        <w:outlineLvl w:val="3"/>
        <w:rPr>
          <w:rFonts w:ascii="Times New Roman" w:hAnsi="Times New Roman" w:eastAsia="宋体" w:cs="Times New Roman"/>
          <w:b/>
          <w:bCs/>
          <w:sz w:val="18"/>
          <w:szCs w:val="18"/>
        </w:rPr>
      </w:pPr>
      <w:bookmarkStart w:id="76" w:name="_Toc988965"/>
      <w:r>
        <w:rPr>
          <w:rFonts w:ascii="Times New Roman" w:hAnsi="Times New Roman" w:eastAsia="宋体" w:cs="Times New Roman"/>
          <w:b/>
          <w:bCs/>
          <w:sz w:val="18"/>
          <w:szCs w:val="18"/>
        </w:rPr>
        <w:t>（3） 租赁情况</w:t>
      </w:r>
      <w:bookmarkEnd w:id="76"/>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 xml:space="preserve">□适用 </w:t>
      </w: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不适用</w:t>
      </w: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公司报告期不存在租赁情况。</w:t>
      </w:r>
    </w:p>
    <w:p>
      <w:pPr>
        <w:pStyle w:val="3"/>
        <w:spacing w:line="280" w:lineRule="exact"/>
        <w:jc w:val="left"/>
        <w:rPr>
          <w:rFonts w:ascii="Times New Roman" w:hAnsi="Times New Roman" w:cs="Times New Roman"/>
          <w:b/>
          <w:bCs/>
        </w:rPr>
      </w:pPr>
      <w:bookmarkStart w:id="77" w:name="_Toc988966"/>
      <w:r>
        <w:rPr>
          <w:rFonts w:ascii="Times New Roman" w:hAnsi="Times New Roman" w:cs="Times New Roman"/>
          <w:b/>
          <w:bCs/>
        </w:rPr>
        <w:t>2、重大担保</w:t>
      </w:r>
      <w:bookmarkEnd w:id="77"/>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适用 □不适用</w:t>
      </w:r>
    </w:p>
    <w:p>
      <w:pPr>
        <w:spacing w:before="120" w:after="12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单位：万元</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75"/>
        <w:gridCol w:w="877"/>
        <w:gridCol w:w="876"/>
        <w:gridCol w:w="877"/>
        <w:gridCol w:w="876"/>
        <w:gridCol w:w="877"/>
        <w:gridCol w:w="876"/>
        <w:gridCol w:w="876"/>
        <w:gridCol w:w="1212"/>
        <w:gridCol w:w="709"/>
        <w:gridCol w:w="70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11"/>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公司及其子公司对外担保情况（不包括对子公司的担保）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担保对象名称</w:t>
            </w:r>
          </w:p>
        </w:tc>
        <w:tc>
          <w:tcPr>
            <w:tcW w:w="8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担保额度相关公告披露日期</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担保额度</w:t>
            </w:r>
          </w:p>
        </w:tc>
        <w:tc>
          <w:tcPr>
            <w:tcW w:w="8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实际发生日期</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实际担保金额</w:t>
            </w:r>
          </w:p>
        </w:tc>
        <w:tc>
          <w:tcPr>
            <w:tcW w:w="8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担保类型</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担保物（如有）</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反担保情况（如有）</w:t>
            </w:r>
          </w:p>
        </w:tc>
        <w:tc>
          <w:tcPr>
            <w:tcW w:w="121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担保期</w:t>
            </w:r>
          </w:p>
        </w:tc>
        <w:tc>
          <w:tcPr>
            <w:tcW w:w="70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是否履行完毕</w:t>
            </w:r>
          </w:p>
        </w:tc>
        <w:tc>
          <w:tcPr>
            <w:tcW w:w="70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是否为关联方担保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5"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山东凯仕利合成材料科技股份有限公司</w:t>
            </w:r>
          </w:p>
        </w:tc>
        <w:tc>
          <w:tcPr>
            <w:tcW w:w="8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1,000</w:t>
            </w:r>
          </w:p>
        </w:tc>
        <w:tc>
          <w:tcPr>
            <w:tcW w:w="8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2018年06月08日</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1,000</w:t>
            </w:r>
          </w:p>
        </w:tc>
        <w:tc>
          <w:tcPr>
            <w:tcW w:w="8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连带责任担保</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p>
        </w:tc>
        <w:tc>
          <w:tcPr>
            <w:tcW w:w="1212"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2018.6.8-2019.6.7</w:t>
            </w:r>
          </w:p>
        </w:tc>
        <w:tc>
          <w:tcPr>
            <w:tcW w:w="709"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是</w:t>
            </w:r>
          </w:p>
        </w:tc>
        <w:tc>
          <w:tcPr>
            <w:tcW w:w="70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75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报告期内审批的对外担保额度合计（A1）</w:t>
            </w:r>
          </w:p>
        </w:tc>
        <w:tc>
          <w:tcPr>
            <w:tcW w:w="1753" w:type="dxa"/>
            <w:gridSpan w:val="2"/>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报告期内对外担保实际发生额合计（A2）</w:t>
            </w:r>
          </w:p>
        </w:tc>
        <w:tc>
          <w:tcPr>
            <w:tcW w:w="4381" w:type="dxa"/>
            <w:gridSpan w:val="5"/>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11"/>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公司对子公司的担保情况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担保对象名称</w:t>
            </w:r>
          </w:p>
        </w:tc>
        <w:tc>
          <w:tcPr>
            <w:tcW w:w="8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担保额度相关公告披露日期</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担保额度</w:t>
            </w:r>
          </w:p>
        </w:tc>
        <w:tc>
          <w:tcPr>
            <w:tcW w:w="8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实际发生日期</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实际担保金额</w:t>
            </w:r>
          </w:p>
        </w:tc>
        <w:tc>
          <w:tcPr>
            <w:tcW w:w="8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担保类型</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担保物（如有）</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反担保情况（如有）</w:t>
            </w:r>
          </w:p>
        </w:tc>
        <w:tc>
          <w:tcPr>
            <w:tcW w:w="121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担保期</w:t>
            </w:r>
          </w:p>
        </w:tc>
        <w:tc>
          <w:tcPr>
            <w:tcW w:w="70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是否履行完毕</w:t>
            </w:r>
          </w:p>
        </w:tc>
        <w:tc>
          <w:tcPr>
            <w:tcW w:w="70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是否为关联方担保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5"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烟台龙大养殖有限公司</w:t>
            </w:r>
          </w:p>
        </w:tc>
        <w:tc>
          <w:tcPr>
            <w:tcW w:w="8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2023年01月12日</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6,000</w:t>
            </w:r>
          </w:p>
        </w:tc>
        <w:tc>
          <w:tcPr>
            <w:tcW w:w="8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2023年01月18日</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6,000</w:t>
            </w:r>
          </w:p>
        </w:tc>
        <w:tc>
          <w:tcPr>
            <w:tcW w:w="8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连带责任担保</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p>
        </w:tc>
        <w:tc>
          <w:tcPr>
            <w:tcW w:w="1212"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2023.1.18-2023.7.18</w:t>
            </w:r>
          </w:p>
        </w:tc>
        <w:tc>
          <w:tcPr>
            <w:tcW w:w="709"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否</w:t>
            </w:r>
          </w:p>
        </w:tc>
        <w:tc>
          <w:tcPr>
            <w:tcW w:w="70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5"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烟台龙大饲料有限公司</w:t>
            </w:r>
          </w:p>
        </w:tc>
        <w:tc>
          <w:tcPr>
            <w:tcW w:w="8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2022年01月07日</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1,000</w:t>
            </w:r>
          </w:p>
        </w:tc>
        <w:tc>
          <w:tcPr>
            <w:tcW w:w="8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2022年06月24日</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1,000</w:t>
            </w:r>
          </w:p>
        </w:tc>
        <w:tc>
          <w:tcPr>
            <w:tcW w:w="8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连带责任担保</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p>
        </w:tc>
        <w:tc>
          <w:tcPr>
            <w:tcW w:w="1212"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2022.6.24-2023.6.23</w:t>
            </w:r>
          </w:p>
        </w:tc>
        <w:tc>
          <w:tcPr>
            <w:tcW w:w="709"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是</w:t>
            </w:r>
          </w:p>
        </w:tc>
        <w:tc>
          <w:tcPr>
            <w:tcW w:w="70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5"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烟台龙大饲料有限公司</w:t>
            </w:r>
          </w:p>
        </w:tc>
        <w:tc>
          <w:tcPr>
            <w:tcW w:w="8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2022年01月07日</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1,000</w:t>
            </w:r>
          </w:p>
        </w:tc>
        <w:tc>
          <w:tcPr>
            <w:tcW w:w="8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2022年08月31日</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500</w:t>
            </w:r>
          </w:p>
        </w:tc>
        <w:tc>
          <w:tcPr>
            <w:tcW w:w="8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连带责任担保</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p>
        </w:tc>
        <w:tc>
          <w:tcPr>
            <w:tcW w:w="1212"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2022.8.31-2023.8.30</w:t>
            </w:r>
          </w:p>
        </w:tc>
        <w:tc>
          <w:tcPr>
            <w:tcW w:w="709"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否</w:t>
            </w:r>
          </w:p>
        </w:tc>
        <w:tc>
          <w:tcPr>
            <w:tcW w:w="70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5"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烟台龙大饲料有限公司</w:t>
            </w:r>
          </w:p>
        </w:tc>
        <w:tc>
          <w:tcPr>
            <w:tcW w:w="8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2022年01月07日</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1,000</w:t>
            </w:r>
          </w:p>
        </w:tc>
        <w:tc>
          <w:tcPr>
            <w:tcW w:w="8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2022年09月21日</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500</w:t>
            </w:r>
          </w:p>
        </w:tc>
        <w:tc>
          <w:tcPr>
            <w:tcW w:w="8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连带责任担保</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p>
        </w:tc>
        <w:tc>
          <w:tcPr>
            <w:tcW w:w="1212"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2022.9.21-2023.9.20</w:t>
            </w:r>
          </w:p>
        </w:tc>
        <w:tc>
          <w:tcPr>
            <w:tcW w:w="709"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否</w:t>
            </w:r>
          </w:p>
        </w:tc>
        <w:tc>
          <w:tcPr>
            <w:tcW w:w="70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5"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烟台龙大饲料有限公司</w:t>
            </w:r>
          </w:p>
        </w:tc>
        <w:tc>
          <w:tcPr>
            <w:tcW w:w="8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2023年01月12日</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1,000</w:t>
            </w:r>
          </w:p>
        </w:tc>
        <w:tc>
          <w:tcPr>
            <w:tcW w:w="8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2023年06月27日</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1,000</w:t>
            </w:r>
          </w:p>
        </w:tc>
        <w:tc>
          <w:tcPr>
            <w:tcW w:w="8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连带责任担保</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p>
        </w:tc>
        <w:tc>
          <w:tcPr>
            <w:tcW w:w="1212"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2023.6.27-2024.6.25</w:t>
            </w:r>
          </w:p>
        </w:tc>
        <w:tc>
          <w:tcPr>
            <w:tcW w:w="709"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否</w:t>
            </w:r>
          </w:p>
        </w:tc>
        <w:tc>
          <w:tcPr>
            <w:tcW w:w="70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5"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青岛中和盛杰食品有限公司</w:t>
            </w:r>
          </w:p>
        </w:tc>
        <w:tc>
          <w:tcPr>
            <w:tcW w:w="8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2022年01月07日</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8,000</w:t>
            </w:r>
          </w:p>
        </w:tc>
        <w:tc>
          <w:tcPr>
            <w:tcW w:w="8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2022年11月01日</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8,000</w:t>
            </w:r>
          </w:p>
        </w:tc>
        <w:tc>
          <w:tcPr>
            <w:tcW w:w="8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连带责任担保</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p>
        </w:tc>
        <w:tc>
          <w:tcPr>
            <w:tcW w:w="1212"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2022.11.14-2023.11.14</w:t>
            </w:r>
          </w:p>
        </w:tc>
        <w:tc>
          <w:tcPr>
            <w:tcW w:w="709"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否</w:t>
            </w:r>
          </w:p>
        </w:tc>
        <w:tc>
          <w:tcPr>
            <w:tcW w:w="70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5"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青岛中和盛杰食品有限公司</w:t>
            </w:r>
          </w:p>
        </w:tc>
        <w:tc>
          <w:tcPr>
            <w:tcW w:w="8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2022年01月07日</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7,000</w:t>
            </w:r>
          </w:p>
        </w:tc>
        <w:tc>
          <w:tcPr>
            <w:tcW w:w="8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2022年08月02日</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5,700</w:t>
            </w:r>
          </w:p>
        </w:tc>
        <w:tc>
          <w:tcPr>
            <w:tcW w:w="8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连带责任担保</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p>
        </w:tc>
        <w:tc>
          <w:tcPr>
            <w:tcW w:w="1212"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2022.8.2-2023.2.2</w:t>
            </w:r>
          </w:p>
        </w:tc>
        <w:tc>
          <w:tcPr>
            <w:tcW w:w="709"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是</w:t>
            </w:r>
          </w:p>
        </w:tc>
        <w:tc>
          <w:tcPr>
            <w:tcW w:w="70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5"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青岛中和盛杰食品有限公司</w:t>
            </w:r>
          </w:p>
        </w:tc>
        <w:tc>
          <w:tcPr>
            <w:tcW w:w="8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2022年01月07日</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7,000</w:t>
            </w:r>
          </w:p>
        </w:tc>
        <w:tc>
          <w:tcPr>
            <w:tcW w:w="8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2022年08月02日</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1,229.3</w:t>
            </w:r>
          </w:p>
        </w:tc>
        <w:tc>
          <w:tcPr>
            <w:tcW w:w="8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连带责任担保</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p>
        </w:tc>
        <w:tc>
          <w:tcPr>
            <w:tcW w:w="1212"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2022.8.2-2023.2.2</w:t>
            </w:r>
          </w:p>
        </w:tc>
        <w:tc>
          <w:tcPr>
            <w:tcW w:w="709"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是</w:t>
            </w:r>
          </w:p>
        </w:tc>
        <w:tc>
          <w:tcPr>
            <w:tcW w:w="70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5"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青岛中和盛杰食品有限公司</w:t>
            </w:r>
          </w:p>
        </w:tc>
        <w:tc>
          <w:tcPr>
            <w:tcW w:w="8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2022年01月07日</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5,000</w:t>
            </w:r>
          </w:p>
        </w:tc>
        <w:tc>
          <w:tcPr>
            <w:tcW w:w="8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2022年10月19日</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4,980</w:t>
            </w:r>
          </w:p>
        </w:tc>
        <w:tc>
          <w:tcPr>
            <w:tcW w:w="8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连带责任担保</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p>
        </w:tc>
        <w:tc>
          <w:tcPr>
            <w:tcW w:w="1212"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2022.10.19-2023.1.19</w:t>
            </w:r>
          </w:p>
        </w:tc>
        <w:tc>
          <w:tcPr>
            <w:tcW w:w="709"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是</w:t>
            </w:r>
          </w:p>
        </w:tc>
        <w:tc>
          <w:tcPr>
            <w:tcW w:w="70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5"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青岛中和盛杰食品有限公司</w:t>
            </w:r>
          </w:p>
        </w:tc>
        <w:tc>
          <w:tcPr>
            <w:tcW w:w="8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2023年01月12日</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7,000</w:t>
            </w:r>
          </w:p>
        </w:tc>
        <w:tc>
          <w:tcPr>
            <w:tcW w:w="8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2023年02月22日</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7,000</w:t>
            </w:r>
          </w:p>
        </w:tc>
        <w:tc>
          <w:tcPr>
            <w:tcW w:w="8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连带责任担保</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p>
        </w:tc>
        <w:tc>
          <w:tcPr>
            <w:tcW w:w="1212"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2023.2.22-2023.8.22</w:t>
            </w:r>
          </w:p>
        </w:tc>
        <w:tc>
          <w:tcPr>
            <w:tcW w:w="709"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否</w:t>
            </w:r>
          </w:p>
        </w:tc>
        <w:tc>
          <w:tcPr>
            <w:tcW w:w="70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5"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聊城龙大肉食品有限公司</w:t>
            </w:r>
          </w:p>
        </w:tc>
        <w:tc>
          <w:tcPr>
            <w:tcW w:w="8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2022年01月07日</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2,000</w:t>
            </w:r>
          </w:p>
        </w:tc>
        <w:tc>
          <w:tcPr>
            <w:tcW w:w="8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2022年03月15日</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2,000</w:t>
            </w:r>
          </w:p>
        </w:tc>
        <w:tc>
          <w:tcPr>
            <w:tcW w:w="8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连带责任担保</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p>
        </w:tc>
        <w:tc>
          <w:tcPr>
            <w:tcW w:w="1212"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2022.3.15-2023.3.15</w:t>
            </w:r>
          </w:p>
        </w:tc>
        <w:tc>
          <w:tcPr>
            <w:tcW w:w="709"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是</w:t>
            </w:r>
          </w:p>
        </w:tc>
        <w:tc>
          <w:tcPr>
            <w:tcW w:w="70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5"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聊城龙大肉食品有限公司</w:t>
            </w:r>
          </w:p>
        </w:tc>
        <w:tc>
          <w:tcPr>
            <w:tcW w:w="8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2022年01月07日</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15,000</w:t>
            </w:r>
          </w:p>
        </w:tc>
        <w:tc>
          <w:tcPr>
            <w:tcW w:w="8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2022年05月30日</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1,400</w:t>
            </w:r>
          </w:p>
        </w:tc>
        <w:tc>
          <w:tcPr>
            <w:tcW w:w="8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连带责任担保</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p>
        </w:tc>
        <w:tc>
          <w:tcPr>
            <w:tcW w:w="1212"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2022.5.30-2023.5.27</w:t>
            </w:r>
          </w:p>
        </w:tc>
        <w:tc>
          <w:tcPr>
            <w:tcW w:w="709"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是</w:t>
            </w:r>
          </w:p>
        </w:tc>
        <w:tc>
          <w:tcPr>
            <w:tcW w:w="70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5"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聊城龙大肉食品有限公司</w:t>
            </w:r>
          </w:p>
        </w:tc>
        <w:tc>
          <w:tcPr>
            <w:tcW w:w="8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2023年01月12日</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2,000</w:t>
            </w:r>
          </w:p>
        </w:tc>
        <w:tc>
          <w:tcPr>
            <w:tcW w:w="8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2023年03月24日</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2,000</w:t>
            </w:r>
          </w:p>
        </w:tc>
        <w:tc>
          <w:tcPr>
            <w:tcW w:w="8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连带责任担保</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p>
        </w:tc>
        <w:tc>
          <w:tcPr>
            <w:tcW w:w="1212"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2023.3.24-2023.9.23</w:t>
            </w:r>
          </w:p>
        </w:tc>
        <w:tc>
          <w:tcPr>
            <w:tcW w:w="709"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否</w:t>
            </w:r>
          </w:p>
        </w:tc>
        <w:tc>
          <w:tcPr>
            <w:tcW w:w="70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5"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聊城龙大肉食品有限公司</w:t>
            </w:r>
          </w:p>
        </w:tc>
        <w:tc>
          <w:tcPr>
            <w:tcW w:w="8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2023年01月12日</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14,000</w:t>
            </w:r>
          </w:p>
        </w:tc>
        <w:tc>
          <w:tcPr>
            <w:tcW w:w="8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2023年05月25日</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1,400</w:t>
            </w:r>
          </w:p>
        </w:tc>
        <w:tc>
          <w:tcPr>
            <w:tcW w:w="8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连带责任担保</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p>
        </w:tc>
        <w:tc>
          <w:tcPr>
            <w:tcW w:w="1212"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2023.5.25-2023.11.22</w:t>
            </w:r>
          </w:p>
        </w:tc>
        <w:tc>
          <w:tcPr>
            <w:tcW w:w="709"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否</w:t>
            </w:r>
          </w:p>
        </w:tc>
        <w:tc>
          <w:tcPr>
            <w:tcW w:w="70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5"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莱阳龙瑞食品有限公司</w:t>
            </w:r>
          </w:p>
        </w:tc>
        <w:tc>
          <w:tcPr>
            <w:tcW w:w="8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2022年01月07日</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500</w:t>
            </w:r>
          </w:p>
        </w:tc>
        <w:tc>
          <w:tcPr>
            <w:tcW w:w="8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2022年06月24日</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500</w:t>
            </w:r>
          </w:p>
        </w:tc>
        <w:tc>
          <w:tcPr>
            <w:tcW w:w="8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连带责任担保</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p>
        </w:tc>
        <w:tc>
          <w:tcPr>
            <w:tcW w:w="1212"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2022.6.24-2023.6.23</w:t>
            </w:r>
          </w:p>
        </w:tc>
        <w:tc>
          <w:tcPr>
            <w:tcW w:w="709"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是</w:t>
            </w:r>
          </w:p>
        </w:tc>
        <w:tc>
          <w:tcPr>
            <w:tcW w:w="70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5"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莱阳龙瑞食品有限公司</w:t>
            </w:r>
          </w:p>
        </w:tc>
        <w:tc>
          <w:tcPr>
            <w:tcW w:w="8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2021年01月21日</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1,100</w:t>
            </w:r>
          </w:p>
        </w:tc>
        <w:tc>
          <w:tcPr>
            <w:tcW w:w="8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2021年11月30日</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1,100</w:t>
            </w:r>
          </w:p>
        </w:tc>
        <w:tc>
          <w:tcPr>
            <w:tcW w:w="8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连带责任担保</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p>
        </w:tc>
        <w:tc>
          <w:tcPr>
            <w:tcW w:w="1212"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2021.11.30-2024.11.1</w:t>
            </w:r>
          </w:p>
        </w:tc>
        <w:tc>
          <w:tcPr>
            <w:tcW w:w="709"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否</w:t>
            </w:r>
          </w:p>
        </w:tc>
        <w:tc>
          <w:tcPr>
            <w:tcW w:w="70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5"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莱阳龙瑞食品有限公司</w:t>
            </w:r>
          </w:p>
        </w:tc>
        <w:tc>
          <w:tcPr>
            <w:tcW w:w="8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2023年01月12日</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500</w:t>
            </w:r>
          </w:p>
        </w:tc>
        <w:tc>
          <w:tcPr>
            <w:tcW w:w="8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2023年06月26日</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500</w:t>
            </w:r>
          </w:p>
        </w:tc>
        <w:tc>
          <w:tcPr>
            <w:tcW w:w="8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连带责任担保</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p>
        </w:tc>
        <w:tc>
          <w:tcPr>
            <w:tcW w:w="1212"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2023.6.26-2024.6.25</w:t>
            </w:r>
          </w:p>
        </w:tc>
        <w:tc>
          <w:tcPr>
            <w:tcW w:w="709"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否</w:t>
            </w:r>
          </w:p>
        </w:tc>
        <w:tc>
          <w:tcPr>
            <w:tcW w:w="70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5"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江苏龙大沁侬食品有限公司</w:t>
            </w:r>
          </w:p>
        </w:tc>
        <w:tc>
          <w:tcPr>
            <w:tcW w:w="8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2023年01月12日</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2,900</w:t>
            </w:r>
          </w:p>
        </w:tc>
        <w:tc>
          <w:tcPr>
            <w:tcW w:w="8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2023年05月25日</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2,900</w:t>
            </w:r>
          </w:p>
        </w:tc>
        <w:tc>
          <w:tcPr>
            <w:tcW w:w="8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连带责任担保</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p>
        </w:tc>
        <w:tc>
          <w:tcPr>
            <w:tcW w:w="1212"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2023.5.25-2028.5.23</w:t>
            </w:r>
          </w:p>
        </w:tc>
        <w:tc>
          <w:tcPr>
            <w:tcW w:w="709"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否</w:t>
            </w:r>
          </w:p>
        </w:tc>
        <w:tc>
          <w:tcPr>
            <w:tcW w:w="70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5"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潍坊振祥食品有限公司</w:t>
            </w:r>
          </w:p>
        </w:tc>
        <w:tc>
          <w:tcPr>
            <w:tcW w:w="8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2023年01月12日</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2,000</w:t>
            </w:r>
          </w:p>
        </w:tc>
        <w:tc>
          <w:tcPr>
            <w:tcW w:w="8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2023年05月12日</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2,000</w:t>
            </w:r>
          </w:p>
        </w:tc>
        <w:tc>
          <w:tcPr>
            <w:tcW w:w="8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连带责任担保</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p>
        </w:tc>
        <w:tc>
          <w:tcPr>
            <w:tcW w:w="1212"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2023.5.12-2024.5.9</w:t>
            </w:r>
          </w:p>
        </w:tc>
        <w:tc>
          <w:tcPr>
            <w:tcW w:w="709"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否</w:t>
            </w:r>
          </w:p>
        </w:tc>
        <w:tc>
          <w:tcPr>
            <w:tcW w:w="70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5"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黑龙江龙大肉食品有限公司</w:t>
            </w:r>
          </w:p>
        </w:tc>
        <w:tc>
          <w:tcPr>
            <w:tcW w:w="8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2022年01月07日</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2,000</w:t>
            </w:r>
          </w:p>
        </w:tc>
        <w:tc>
          <w:tcPr>
            <w:tcW w:w="8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2022年10月10日</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500</w:t>
            </w:r>
          </w:p>
        </w:tc>
        <w:tc>
          <w:tcPr>
            <w:tcW w:w="8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连带责任担保</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p>
        </w:tc>
        <w:tc>
          <w:tcPr>
            <w:tcW w:w="1212"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2022.10.10-2023.10.9</w:t>
            </w:r>
          </w:p>
        </w:tc>
        <w:tc>
          <w:tcPr>
            <w:tcW w:w="709"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否</w:t>
            </w:r>
          </w:p>
        </w:tc>
        <w:tc>
          <w:tcPr>
            <w:tcW w:w="70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5"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黑龙江龙大肉食品有限公司</w:t>
            </w:r>
          </w:p>
        </w:tc>
        <w:tc>
          <w:tcPr>
            <w:tcW w:w="8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2022年01月07日</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2,000</w:t>
            </w:r>
          </w:p>
        </w:tc>
        <w:tc>
          <w:tcPr>
            <w:tcW w:w="8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2022年10月25日</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500</w:t>
            </w:r>
          </w:p>
        </w:tc>
        <w:tc>
          <w:tcPr>
            <w:tcW w:w="8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连带责任担保</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p>
        </w:tc>
        <w:tc>
          <w:tcPr>
            <w:tcW w:w="1212"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2022.10.25-2023.10.24</w:t>
            </w:r>
          </w:p>
        </w:tc>
        <w:tc>
          <w:tcPr>
            <w:tcW w:w="709"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否</w:t>
            </w:r>
          </w:p>
        </w:tc>
        <w:tc>
          <w:tcPr>
            <w:tcW w:w="70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5"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黑龙江龙大肉食品有限公司</w:t>
            </w:r>
          </w:p>
        </w:tc>
        <w:tc>
          <w:tcPr>
            <w:tcW w:w="8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2022年01月07日</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2,000</w:t>
            </w:r>
          </w:p>
        </w:tc>
        <w:tc>
          <w:tcPr>
            <w:tcW w:w="8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2022年10月28日</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500</w:t>
            </w:r>
          </w:p>
        </w:tc>
        <w:tc>
          <w:tcPr>
            <w:tcW w:w="8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连带责任担保</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p>
        </w:tc>
        <w:tc>
          <w:tcPr>
            <w:tcW w:w="1212"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2022.10.28-2023.10.27</w:t>
            </w:r>
          </w:p>
        </w:tc>
        <w:tc>
          <w:tcPr>
            <w:tcW w:w="709"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否</w:t>
            </w:r>
          </w:p>
        </w:tc>
        <w:tc>
          <w:tcPr>
            <w:tcW w:w="70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5"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黑龙江龙大肉食品有限公司</w:t>
            </w:r>
          </w:p>
        </w:tc>
        <w:tc>
          <w:tcPr>
            <w:tcW w:w="8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2022年01月07日</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2,000</w:t>
            </w:r>
          </w:p>
        </w:tc>
        <w:tc>
          <w:tcPr>
            <w:tcW w:w="8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2022年10月31日</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500</w:t>
            </w:r>
          </w:p>
        </w:tc>
        <w:tc>
          <w:tcPr>
            <w:tcW w:w="8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连带责任担保</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p>
        </w:tc>
        <w:tc>
          <w:tcPr>
            <w:tcW w:w="1212"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2022.10.31-2023.10.30</w:t>
            </w:r>
          </w:p>
        </w:tc>
        <w:tc>
          <w:tcPr>
            <w:tcW w:w="709"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否</w:t>
            </w:r>
          </w:p>
        </w:tc>
        <w:tc>
          <w:tcPr>
            <w:tcW w:w="70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5"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黑龙江龙大肉食品有限公司</w:t>
            </w:r>
          </w:p>
        </w:tc>
        <w:tc>
          <w:tcPr>
            <w:tcW w:w="8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2023年01月12日</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15,000</w:t>
            </w:r>
          </w:p>
        </w:tc>
        <w:tc>
          <w:tcPr>
            <w:tcW w:w="8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2023年03月30日</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7,000</w:t>
            </w:r>
          </w:p>
        </w:tc>
        <w:tc>
          <w:tcPr>
            <w:tcW w:w="8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连带责任担保</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p>
        </w:tc>
        <w:tc>
          <w:tcPr>
            <w:tcW w:w="1212"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2023.3.30-2031.3.31</w:t>
            </w:r>
          </w:p>
        </w:tc>
        <w:tc>
          <w:tcPr>
            <w:tcW w:w="709"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否</w:t>
            </w:r>
          </w:p>
        </w:tc>
        <w:tc>
          <w:tcPr>
            <w:tcW w:w="70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5"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黑龙江龙大肉食品有限公司</w:t>
            </w:r>
          </w:p>
        </w:tc>
        <w:tc>
          <w:tcPr>
            <w:tcW w:w="8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2023年01月12日</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15,000</w:t>
            </w:r>
          </w:p>
        </w:tc>
        <w:tc>
          <w:tcPr>
            <w:tcW w:w="8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2023年04月27日</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3,000</w:t>
            </w:r>
          </w:p>
        </w:tc>
        <w:tc>
          <w:tcPr>
            <w:tcW w:w="8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连带责任担保</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p>
        </w:tc>
        <w:tc>
          <w:tcPr>
            <w:tcW w:w="1212"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2023.4.27-2031.3.31</w:t>
            </w:r>
          </w:p>
        </w:tc>
        <w:tc>
          <w:tcPr>
            <w:tcW w:w="709"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否</w:t>
            </w:r>
          </w:p>
        </w:tc>
        <w:tc>
          <w:tcPr>
            <w:tcW w:w="70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5"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河南龙大牧原肉食品有限公司</w:t>
            </w:r>
          </w:p>
        </w:tc>
        <w:tc>
          <w:tcPr>
            <w:tcW w:w="8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2022年01月07日</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7,000</w:t>
            </w:r>
          </w:p>
        </w:tc>
        <w:tc>
          <w:tcPr>
            <w:tcW w:w="8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2022年03月17日</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7,000</w:t>
            </w:r>
          </w:p>
        </w:tc>
        <w:tc>
          <w:tcPr>
            <w:tcW w:w="8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连带责任担保</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p>
        </w:tc>
        <w:tc>
          <w:tcPr>
            <w:tcW w:w="1212"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2022.3.17-2023.3.16</w:t>
            </w:r>
          </w:p>
        </w:tc>
        <w:tc>
          <w:tcPr>
            <w:tcW w:w="709"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是</w:t>
            </w:r>
          </w:p>
        </w:tc>
        <w:tc>
          <w:tcPr>
            <w:tcW w:w="70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5"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河南龙大牧原肉食品有限公司</w:t>
            </w:r>
          </w:p>
        </w:tc>
        <w:tc>
          <w:tcPr>
            <w:tcW w:w="8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2022年01月07日</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3,000</w:t>
            </w:r>
          </w:p>
        </w:tc>
        <w:tc>
          <w:tcPr>
            <w:tcW w:w="8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2022年06月17日</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3,000</w:t>
            </w:r>
          </w:p>
        </w:tc>
        <w:tc>
          <w:tcPr>
            <w:tcW w:w="8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连带责任担保</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p>
        </w:tc>
        <w:tc>
          <w:tcPr>
            <w:tcW w:w="1212"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2022.6.17-2023.6.17</w:t>
            </w:r>
          </w:p>
        </w:tc>
        <w:tc>
          <w:tcPr>
            <w:tcW w:w="709"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是</w:t>
            </w:r>
          </w:p>
        </w:tc>
        <w:tc>
          <w:tcPr>
            <w:tcW w:w="70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5"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河南龙大牧原肉食品有限公司</w:t>
            </w:r>
          </w:p>
        </w:tc>
        <w:tc>
          <w:tcPr>
            <w:tcW w:w="8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2022年01月07日</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6,000</w:t>
            </w:r>
          </w:p>
        </w:tc>
        <w:tc>
          <w:tcPr>
            <w:tcW w:w="8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2023年01月06日</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5,999.7</w:t>
            </w:r>
          </w:p>
        </w:tc>
        <w:tc>
          <w:tcPr>
            <w:tcW w:w="8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连带责任担保</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p>
        </w:tc>
        <w:tc>
          <w:tcPr>
            <w:tcW w:w="1212"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2023.1.6-2023.7.6</w:t>
            </w:r>
          </w:p>
        </w:tc>
        <w:tc>
          <w:tcPr>
            <w:tcW w:w="709"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否</w:t>
            </w:r>
          </w:p>
        </w:tc>
        <w:tc>
          <w:tcPr>
            <w:tcW w:w="70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5"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河南龙大牧原肉食品有限公司</w:t>
            </w:r>
          </w:p>
        </w:tc>
        <w:tc>
          <w:tcPr>
            <w:tcW w:w="8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2023年01月12日</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7,000</w:t>
            </w:r>
          </w:p>
        </w:tc>
        <w:tc>
          <w:tcPr>
            <w:tcW w:w="8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2023年03月20日</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6,000</w:t>
            </w:r>
          </w:p>
        </w:tc>
        <w:tc>
          <w:tcPr>
            <w:tcW w:w="8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连带责任担保</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p>
        </w:tc>
        <w:tc>
          <w:tcPr>
            <w:tcW w:w="1212"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2023.3.20-2024.3.20</w:t>
            </w:r>
          </w:p>
        </w:tc>
        <w:tc>
          <w:tcPr>
            <w:tcW w:w="709"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否</w:t>
            </w:r>
          </w:p>
        </w:tc>
        <w:tc>
          <w:tcPr>
            <w:tcW w:w="70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5"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海南龙大美食有限责任公司</w:t>
            </w:r>
          </w:p>
        </w:tc>
        <w:tc>
          <w:tcPr>
            <w:tcW w:w="8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2023年01月12日</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16,000</w:t>
            </w:r>
          </w:p>
        </w:tc>
        <w:tc>
          <w:tcPr>
            <w:tcW w:w="8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2023年04月03日</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3,009.52</w:t>
            </w:r>
          </w:p>
        </w:tc>
        <w:tc>
          <w:tcPr>
            <w:tcW w:w="8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连带责任担保</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p>
        </w:tc>
        <w:tc>
          <w:tcPr>
            <w:tcW w:w="1212"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2023.3.26-2030.3.25</w:t>
            </w:r>
          </w:p>
        </w:tc>
        <w:tc>
          <w:tcPr>
            <w:tcW w:w="709"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否</w:t>
            </w:r>
          </w:p>
        </w:tc>
        <w:tc>
          <w:tcPr>
            <w:tcW w:w="70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5"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海南龙大美食有限责任公司</w:t>
            </w:r>
          </w:p>
        </w:tc>
        <w:tc>
          <w:tcPr>
            <w:tcW w:w="8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2023年01月12日</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16,000</w:t>
            </w:r>
          </w:p>
        </w:tc>
        <w:tc>
          <w:tcPr>
            <w:tcW w:w="8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2023年05月23日</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976.59</w:t>
            </w:r>
          </w:p>
        </w:tc>
        <w:tc>
          <w:tcPr>
            <w:tcW w:w="8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连带责任担保</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p>
        </w:tc>
        <w:tc>
          <w:tcPr>
            <w:tcW w:w="1212"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2023.3.26-2030.3.25</w:t>
            </w:r>
          </w:p>
        </w:tc>
        <w:tc>
          <w:tcPr>
            <w:tcW w:w="709"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否</w:t>
            </w:r>
          </w:p>
        </w:tc>
        <w:tc>
          <w:tcPr>
            <w:tcW w:w="70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5"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海南龙大美食有限责任公司</w:t>
            </w:r>
          </w:p>
        </w:tc>
        <w:tc>
          <w:tcPr>
            <w:tcW w:w="8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2023年01月12日</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16,000</w:t>
            </w:r>
          </w:p>
        </w:tc>
        <w:tc>
          <w:tcPr>
            <w:tcW w:w="8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2023年06月15日</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1,258.01</w:t>
            </w:r>
          </w:p>
        </w:tc>
        <w:tc>
          <w:tcPr>
            <w:tcW w:w="8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连带责任担保</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p>
        </w:tc>
        <w:tc>
          <w:tcPr>
            <w:tcW w:w="1212"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2023.3.26-2030.3.25</w:t>
            </w:r>
          </w:p>
        </w:tc>
        <w:tc>
          <w:tcPr>
            <w:tcW w:w="709"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否</w:t>
            </w:r>
          </w:p>
        </w:tc>
        <w:tc>
          <w:tcPr>
            <w:tcW w:w="70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75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报告期内审批对子公司担保额度合计（B1）</w:t>
            </w:r>
          </w:p>
        </w:tc>
        <w:tc>
          <w:tcPr>
            <w:tcW w:w="1753" w:type="dxa"/>
            <w:gridSpan w:val="2"/>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600,000</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报告期内对子公司担保实际发生额合计（B2）</w:t>
            </w:r>
          </w:p>
        </w:tc>
        <w:tc>
          <w:tcPr>
            <w:tcW w:w="4381" w:type="dxa"/>
            <w:gridSpan w:val="5"/>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88,953.13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75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报告期末已审批的对子公司担保额度合计（B3）</w:t>
            </w:r>
          </w:p>
        </w:tc>
        <w:tc>
          <w:tcPr>
            <w:tcW w:w="1753" w:type="dxa"/>
            <w:gridSpan w:val="2"/>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600,000</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报告期末对子公司实际担保余额合计（B4）</w:t>
            </w:r>
          </w:p>
        </w:tc>
        <w:tc>
          <w:tcPr>
            <w:tcW w:w="4381" w:type="dxa"/>
            <w:gridSpan w:val="5"/>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62,143.83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11"/>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子公司对子公司的担保情况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担保对象名称</w:t>
            </w:r>
          </w:p>
        </w:tc>
        <w:tc>
          <w:tcPr>
            <w:tcW w:w="8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担保额度相关公告披露日期</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担保额度</w:t>
            </w:r>
          </w:p>
        </w:tc>
        <w:tc>
          <w:tcPr>
            <w:tcW w:w="8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实际发生日期</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实际担保金额</w:t>
            </w:r>
          </w:p>
        </w:tc>
        <w:tc>
          <w:tcPr>
            <w:tcW w:w="8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担保类型</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担保物（如有）</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反担保情况（如有）</w:t>
            </w:r>
          </w:p>
        </w:tc>
        <w:tc>
          <w:tcPr>
            <w:tcW w:w="121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担保期</w:t>
            </w:r>
          </w:p>
        </w:tc>
        <w:tc>
          <w:tcPr>
            <w:tcW w:w="70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是否履行完毕</w:t>
            </w:r>
          </w:p>
        </w:tc>
        <w:tc>
          <w:tcPr>
            <w:tcW w:w="70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是否为关联方担保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11"/>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公司担保总额（即前三大项的合计）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75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报告期内审批担保额度合计（A1+B1+C1）</w:t>
            </w:r>
          </w:p>
        </w:tc>
        <w:tc>
          <w:tcPr>
            <w:tcW w:w="1753" w:type="dxa"/>
            <w:gridSpan w:val="2"/>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600,000</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报告期内担保实际发生额合计（A2+B2+C2）</w:t>
            </w:r>
          </w:p>
        </w:tc>
        <w:tc>
          <w:tcPr>
            <w:tcW w:w="4381" w:type="dxa"/>
            <w:gridSpan w:val="5"/>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89,953.13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75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报告期末已审批的担保额度合计（A3+B3+C3）</w:t>
            </w:r>
          </w:p>
        </w:tc>
        <w:tc>
          <w:tcPr>
            <w:tcW w:w="1753" w:type="dxa"/>
            <w:gridSpan w:val="2"/>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600,000</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报告期末实际担保余额合计（A4+B4+C4）</w:t>
            </w:r>
          </w:p>
        </w:tc>
        <w:tc>
          <w:tcPr>
            <w:tcW w:w="4381" w:type="dxa"/>
            <w:gridSpan w:val="5"/>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62,143.83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505"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实际担保总额（即A4+B4+C4）占公司净资产的比例</w:t>
            </w:r>
          </w:p>
        </w:tc>
        <w:tc>
          <w:tcPr>
            <w:tcW w:w="6134" w:type="dxa"/>
            <w:gridSpan w:val="7"/>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23.61%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11"/>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其中：</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505"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为股东、实际控制人及其关联方提供担保的余额（D）</w:t>
            </w:r>
          </w:p>
        </w:tc>
        <w:tc>
          <w:tcPr>
            <w:tcW w:w="6134" w:type="dxa"/>
            <w:gridSpan w:val="7"/>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505"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直接或间接为资产负债率超过70%的被担保对象提供的债务担保余额（E）</w:t>
            </w:r>
          </w:p>
        </w:tc>
        <w:tc>
          <w:tcPr>
            <w:tcW w:w="6134" w:type="dxa"/>
            <w:gridSpan w:val="7"/>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32,600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505"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担保总额超过净资产50%部分的金额（F）</w:t>
            </w:r>
          </w:p>
        </w:tc>
        <w:tc>
          <w:tcPr>
            <w:tcW w:w="6134" w:type="dxa"/>
            <w:gridSpan w:val="7"/>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505"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上述三项担保金额合计（D+E+F）</w:t>
            </w:r>
          </w:p>
        </w:tc>
        <w:tc>
          <w:tcPr>
            <w:tcW w:w="6134" w:type="dxa"/>
            <w:gridSpan w:val="7"/>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32,600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505"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违反规定程序对外提供担保的说明（如有）</w:t>
            </w:r>
          </w:p>
        </w:tc>
        <w:tc>
          <w:tcPr>
            <w:tcW w:w="6134" w:type="dxa"/>
            <w:gridSpan w:val="7"/>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不适用</w:t>
            </w:r>
          </w:p>
        </w:tc>
      </w:tr>
    </w:tbl>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采用复合方式担保的具体情况说明</w:t>
      </w:r>
    </w:p>
    <w:p>
      <w:pPr>
        <w:pStyle w:val="8"/>
        <w:spacing w:beforeAutospacing="0" w:afterAutospacing="0"/>
        <w:rPr>
          <w:rFonts w:ascii="Times New Roman" w:hAnsi="Times New Roman" w:cs="Times New Roman"/>
        </w:rPr>
      </w:pPr>
      <w:r>
        <w:rPr>
          <w:rFonts w:ascii="Times New Roman" w:hAnsi="Times New Roman" w:cs="Times New Roman"/>
          <w:sz w:val="18"/>
          <w:szCs w:val="18"/>
        </w:rPr>
        <w:t>不适用。</w:t>
      </w:r>
    </w:p>
    <w:p>
      <w:pPr>
        <w:pStyle w:val="3"/>
        <w:spacing w:line="280" w:lineRule="exact"/>
        <w:jc w:val="left"/>
        <w:rPr>
          <w:rFonts w:ascii="Times New Roman" w:hAnsi="Times New Roman" w:cs="Times New Roman"/>
          <w:b/>
          <w:bCs/>
        </w:rPr>
      </w:pPr>
      <w:bookmarkStart w:id="78" w:name="_Toc988967"/>
      <w:r>
        <w:rPr>
          <w:rFonts w:ascii="Times New Roman" w:hAnsi="Times New Roman" w:cs="Times New Roman"/>
          <w:b/>
          <w:bCs/>
        </w:rPr>
        <w:t>3、委托理财</w:t>
      </w:r>
      <w:bookmarkEnd w:id="78"/>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 xml:space="preserve">□适用 </w:t>
      </w: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不适用</w:t>
      </w: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公司报告期不存在委托理财。</w:t>
      </w:r>
    </w:p>
    <w:p>
      <w:pPr>
        <w:pStyle w:val="3"/>
        <w:spacing w:line="280" w:lineRule="exact"/>
        <w:jc w:val="left"/>
        <w:rPr>
          <w:rFonts w:ascii="Times New Roman" w:hAnsi="Times New Roman" w:cs="Times New Roman"/>
          <w:b/>
          <w:bCs/>
        </w:rPr>
      </w:pPr>
      <w:bookmarkStart w:id="79" w:name="_Toc988968"/>
      <w:r>
        <w:rPr>
          <w:rFonts w:ascii="Times New Roman" w:hAnsi="Times New Roman" w:cs="Times New Roman"/>
          <w:b/>
          <w:bCs/>
        </w:rPr>
        <w:t>4、其他重大合同</w:t>
      </w:r>
      <w:bookmarkEnd w:id="79"/>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 xml:space="preserve">□适用 </w:t>
      </w: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不适用</w:t>
      </w: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公司报告期不存在其他重大合同。</w:t>
      </w:r>
    </w:p>
    <w:p>
      <w:pPr>
        <w:pStyle w:val="2"/>
        <w:spacing w:before="300" w:after="300" w:line="320" w:lineRule="exact"/>
        <w:rPr>
          <w:rFonts w:ascii="Times New Roman" w:hAnsi="Times New Roman" w:eastAsia="宋体" w:cs="Times New Roman"/>
          <w:b/>
          <w:bCs/>
          <w:sz w:val="24"/>
          <w:szCs w:val="24"/>
        </w:rPr>
      </w:pPr>
      <w:bookmarkStart w:id="80" w:name="_Toc988969"/>
      <w:r>
        <w:rPr>
          <w:rFonts w:ascii="Times New Roman" w:hAnsi="Times New Roman" w:eastAsia="宋体" w:cs="Times New Roman"/>
          <w:b/>
          <w:bCs/>
          <w:sz w:val="24"/>
          <w:szCs w:val="24"/>
        </w:rPr>
        <w:t>十三、其他重大事项的说明</w:t>
      </w:r>
      <w:bookmarkEnd w:id="80"/>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 xml:space="preserve">□适用 </w:t>
      </w: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不适用</w:t>
      </w: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公司报告期不存在需要说明的其他重大事项。</w:t>
      </w:r>
    </w:p>
    <w:p>
      <w:pPr>
        <w:pStyle w:val="2"/>
        <w:spacing w:before="300" w:after="300" w:line="320" w:lineRule="exact"/>
        <w:rPr>
          <w:rFonts w:ascii="Times New Roman" w:hAnsi="Times New Roman" w:eastAsia="宋体" w:cs="Times New Roman"/>
          <w:b/>
          <w:bCs/>
          <w:sz w:val="24"/>
          <w:szCs w:val="24"/>
        </w:rPr>
      </w:pPr>
      <w:bookmarkStart w:id="81" w:name="_Toc988970"/>
      <w:r>
        <w:rPr>
          <w:rFonts w:ascii="Times New Roman" w:hAnsi="Times New Roman" w:eastAsia="宋体" w:cs="Times New Roman"/>
          <w:b/>
          <w:bCs/>
          <w:sz w:val="24"/>
          <w:szCs w:val="24"/>
        </w:rPr>
        <w:t>十四、公司子公司重大事项</w:t>
      </w:r>
      <w:bookmarkEnd w:id="81"/>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 xml:space="preserve">□适用 </w:t>
      </w: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不适用</w:t>
      </w:r>
    </w:p>
    <w:p>
      <w:pPr>
        <w:rPr>
          <w:rFonts w:ascii="Times New Roman" w:hAnsi="Times New Roman" w:cs="Times New Roman"/>
        </w:rPr>
      </w:pPr>
      <w:r>
        <w:rPr>
          <w:rFonts w:ascii="Times New Roman" w:hAnsi="Times New Roman" w:cs="Times New Roman"/>
        </w:rPr>
        <w:br w:type="page"/>
      </w:r>
    </w:p>
    <w:p>
      <w:pPr>
        <w:pStyle w:val="13"/>
        <w:spacing w:before="340" w:after="330" w:line="773" w:lineRule="exact"/>
        <w:jc w:val="center"/>
        <w:rPr>
          <w:rFonts w:ascii="Times New Roman" w:hAnsi="Times New Roman" w:eastAsia="宋体" w:cs="Times New Roman"/>
          <w:b/>
          <w:bCs/>
          <w:sz w:val="32"/>
          <w:szCs w:val="32"/>
        </w:rPr>
      </w:pPr>
      <w:bookmarkStart w:id="82" w:name="_Toc988971"/>
      <w:r>
        <w:rPr>
          <w:rFonts w:ascii="Times New Roman" w:hAnsi="Times New Roman" w:eastAsia="宋体" w:cs="Times New Roman"/>
          <w:b/>
          <w:bCs/>
          <w:sz w:val="32"/>
          <w:szCs w:val="32"/>
        </w:rPr>
        <w:t>第七节 股份变动及股东情况</w:t>
      </w:r>
      <w:bookmarkEnd w:id="82"/>
    </w:p>
    <w:p>
      <w:pPr>
        <w:pStyle w:val="2"/>
        <w:spacing w:before="300" w:after="300" w:line="320" w:lineRule="exact"/>
        <w:rPr>
          <w:rFonts w:ascii="Times New Roman" w:hAnsi="Times New Roman" w:eastAsia="宋体" w:cs="Times New Roman"/>
          <w:b/>
          <w:bCs/>
          <w:sz w:val="24"/>
          <w:szCs w:val="24"/>
        </w:rPr>
      </w:pPr>
      <w:bookmarkStart w:id="83" w:name="_Toc988972"/>
      <w:r>
        <w:rPr>
          <w:rFonts w:ascii="Times New Roman" w:hAnsi="Times New Roman" w:eastAsia="宋体" w:cs="Times New Roman"/>
          <w:b/>
          <w:bCs/>
          <w:sz w:val="24"/>
          <w:szCs w:val="24"/>
        </w:rPr>
        <w:t>一、股份变动情况</w:t>
      </w:r>
      <w:bookmarkEnd w:id="83"/>
    </w:p>
    <w:p>
      <w:pPr>
        <w:pStyle w:val="3"/>
        <w:spacing w:line="280" w:lineRule="exact"/>
        <w:jc w:val="left"/>
        <w:rPr>
          <w:rFonts w:ascii="Times New Roman" w:hAnsi="Times New Roman" w:cs="Times New Roman"/>
          <w:b/>
          <w:bCs/>
        </w:rPr>
      </w:pPr>
      <w:bookmarkStart w:id="84" w:name="_Toc988973"/>
      <w:r>
        <w:rPr>
          <w:rFonts w:ascii="Times New Roman" w:hAnsi="Times New Roman" w:cs="Times New Roman"/>
          <w:b/>
          <w:bCs/>
        </w:rPr>
        <w:t>1、股份变动情况</w:t>
      </w:r>
      <w:bookmarkEnd w:id="84"/>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单位：股</w:t>
      </w:r>
    </w:p>
    <w:tbl>
      <w:tblPr>
        <w:tblStyle w:val="9"/>
        <w:tblW w:w="10858" w:type="dxa"/>
        <w:tblInd w:w="-182"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883"/>
        <w:gridCol w:w="1334"/>
        <w:gridCol w:w="866"/>
        <w:gridCol w:w="602"/>
        <w:gridCol w:w="567"/>
        <w:gridCol w:w="821"/>
        <w:gridCol w:w="964"/>
        <w:gridCol w:w="964"/>
        <w:gridCol w:w="1299"/>
        <w:gridCol w:w="155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88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2200"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本次变动前</w:t>
            </w:r>
          </w:p>
        </w:tc>
        <w:tc>
          <w:tcPr>
            <w:tcW w:w="3918"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本次变动增减（＋，－）</w:t>
            </w:r>
          </w:p>
        </w:tc>
        <w:tc>
          <w:tcPr>
            <w:tcW w:w="2857"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本次变动后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88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133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数量</w:t>
            </w:r>
          </w:p>
        </w:tc>
        <w:tc>
          <w:tcPr>
            <w:tcW w:w="86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比例</w:t>
            </w:r>
          </w:p>
        </w:tc>
        <w:tc>
          <w:tcPr>
            <w:tcW w:w="60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发行新股</w:t>
            </w:r>
          </w:p>
        </w:tc>
        <w:tc>
          <w:tcPr>
            <w:tcW w:w="56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送股</w:t>
            </w:r>
          </w:p>
        </w:tc>
        <w:tc>
          <w:tcPr>
            <w:tcW w:w="82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公积金转股</w:t>
            </w:r>
          </w:p>
        </w:tc>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其他</w:t>
            </w:r>
          </w:p>
        </w:tc>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小计</w:t>
            </w:r>
          </w:p>
        </w:tc>
        <w:tc>
          <w:tcPr>
            <w:tcW w:w="129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数量</w:t>
            </w:r>
          </w:p>
        </w:tc>
        <w:tc>
          <w:tcPr>
            <w:tcW w:w="155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比例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88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一、有限售条件股份</w:t>
            </w:r>
          </w:p>
        </w:tc>
        <w:tc>
          <w:tcPr>
            <w:tcW w:w="133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1,755,000</w:t>
            </w:r>
          </w:p>
        </w:tc>
        <w:tc>
          <w:tcPr>
            <w:tcW w:w="86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0.16%</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82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702,000</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702,000</w:t>
            </w:r>
          </w:p>
        </w:tc>
        <w:tc>
          <w:tcPr>
            <w:tcW w:w="129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2,457,000</w:t>
            </w:r>
          </w:p>
        </w:tc>
        <w:tc>
          <w:tcPr>
            <w:tcW w:w="155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0.23%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88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1、国家持股</w:t>
            </w:r>
          </w:p>
        </w:tc>
        <w:tc>
          <w:tcPr>
            <w:tcW w:w="133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86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82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29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55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88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2、国有法人持股</w:t>
            </w:r>
          </w:p>
        </w:tc>
        <w:tc>
          <w:tcPr>
            <w:tcW w:w="133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86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82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29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55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88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3、其他内资持股</w:t>
            </w:r>
          </w:p>
        </w:tc>
        <w:tc>
          <w:tcPr>
            <w:tcW w:w="133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1,755,000</w:t>
            </w:r>
          </w:p>
        </w:tc>
        <w:tc>
          <w:tcPr>
            <w:tcW w:w="86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0.16%</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82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702,000</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702,000</w:t>
            </w:r>
          </w:p>
        </w:tc>
        <w:tc>
          <w:tcPr>
            <w:tcW w:w="129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2,457,000</w:t>
            </w:r>
          </w:p>
        </w:tc>
        <w:tc>
          <w:tcPr>
            <w:tcW w:w="155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0.23%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88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rPr>
                <w:rFonts w:ascii="Times New Roman" w:hAnsi="Times New Roman" w:eastAsia="宋体" w:cs="Times New Roman"/>
                <w:sz w:val="18"/>
                <w:szCs w:val="18"/>
              </w:rPr>
            </w:pPr>
            <w:r>
              <w:rPr>
                <w:rFonts w:ascii="Times New Roman" w:hAnsi="Times New Roman" w:eastAsia="宋体" w:cs="Times New Roman"/>
                <w:sz w:val="18"/>
                <w:szCs w:val="18"/>
              </w:rPr>
              <w:t>其中：境内法人持股</w:t>
            </w:r>
          </w:p>
        </w:tc>
        <w:tc>
          <w:tcPr>
            <w:tcW w:w="133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86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82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29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55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88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rPr>
                <w:rFonts w:ascii="Times New Roman" w:hAnsi="Times New Roman" w:eastAsia="宋体" w:cs="Times New Roman"/>
                <w:sz w:val="18"/>
                <w:szCs w:val="18"/>
              </w:rPr>
            </w:pPr>
            <w:r>
              <w:rPr>
                <w:rFonts w:ascii="Times New Roman" w:hAnsi="Times New Roman" w:eastAsia="宋体" w:cs="Times New Roman"/>
                <w:sz w:val="18"/>
                <w:szCs w:val="18"/>
              </w:rPr>
              <w:t>境内自然人持股</w:t>
            </w:r>
          </w:p>
        </w:tc>
        <w:tc>
          <w:tcPr>
            <w:tcW w:w="133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1,755,000</w:t>
            </w:r>
          </w:p>
        </w:tc>
        <w:tc>
          <w:tcPr>
            <w:tcW w:w="86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0.16%</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82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702,000</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702,000</w:t>
            </w:r>
          </w:p>
        </w:tc>
        <w:tc>
          <w:tcPr>
            <w:tcW w:w="129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2,457,000</w:t>
            </w:r>
          </w:p>
        </w:tc>
        <w:tc>
          <w:tcPr>
            <w:tcW w:w="155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0.23%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88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4、外资持股</w:t>
            </w:r>
          </w:p>
        </w:tc>
        <w:tc>
          <w:tcPr>
            <w:tcW w:w="133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86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82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29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55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88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rPr>
                <w:rFonts w:ascii="Times New Roman" w:hAnsi="Times New Roman" w:eastAsia="宋体" w:cs="Times New Roman"/>
                <w:sz w:val="18"/>
                <w:szCs w:val="18"/>
              </w:rPr>
            </w:pPr>
            <w:r>
              <w:rPr>
                <w:rFonts w:ascii="Times New Roman" w:hAnsi="Times New Roman" w:eastAsia="宋体" w:cs="Times New Roman"/>
                <w:sz w:val="18"/>
                <w:szCs w:val="18"/>
              </w:rPr>
              <w:t>其中：境外法人持股</w:t>
            </w:r>
          </w:p>
        </w:tc>
        <w:tc>
          <w:tcPr>
            <w:tcW w:w="133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86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82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29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55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88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rPr>
                <w:rFonts w:ascii="Times New Roman" w:hAnsi="Times New Roman" w:eastAsia="宋体" w:cs="Times New Roman"/>
                <w:sz w:val="18"/>
                <w:szCs w:val="18"/>
              </w:rPr>
            </w:pPr>
            <w:r>
              <w:rPr>
                <w:rFonts w:ascii="Times New Roman" w:hAnsi="Times New Roman" w:eastAsia="宋体" w:cs="Times New Roman"/>
                <w:sz w:val="18"/>
                <w:szCs w:val="18"/>
              </w:rPr>
              <w:t>境外自然人持股</w:t>
            </w:r>
          </w:p>
        </w:tc>
        <w:tc>
          <w:tcPr>
            <w:tcW w:w="133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86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82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29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55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88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二、无限售条件股份</w:t>
            </w:r>
          </w:p>
        </w:tc>
        <w:tc>
          <w:tcPr>
            <w:tcW w:w="133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1,077,373,488</w:t>
            </w:r>
          </w:p>
        </w:tc>
        <w:tc>
          <w:tcPr>
            <w:tcW w:w="86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99.84%</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82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-670,763</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-670,763</w:t>
            </w:r>
          </w:p>
        </w:tc>
        <w:tc>
          <w:tcPr>
            <w:tcW w:w="129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1,076,702,725</w:t>
            </w:r>
          </w:p>
        </w:tc>
        <w:tc>
          <w:tcPr>
            <w:tcW w:w="155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99.77%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88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1、人民币普通股</w:t>
            </w:r>
          </w:p>
        </w:tc>
        <w:tc>
          <w:tcPr>
            <w:tcW w:w="133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1,077,373,488</w:t>
            </w:r>
          </w:p>
        </w:tc>
        <w:tc>
          <w:tcPr>
            <w:tcW w:w="86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99.84%</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82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-670,763</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-670,763</w:t>
            </w:r>
          </w:p>
        </w:tc>
        <w:tc>
          <w:tcPr>
            <w:tcW w:w="129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1,076,702,725</w:t>
            </w:r>
          </w:p>
        </w:tc>
        <w:tc>
          <w:tcPr>
            <w:tcW w:w="155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99.77%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88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2、境内上市的外资股</w:t>
            </w:r>
          </w:p>
        </w:tc>
        <w:tc>
          <w:tcPr>
            <w:tcW w:w="133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86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82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29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55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88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3、境外上市的外资股</w:t>
            </w:r>
          </w:p>
        </w:tc>
        <w:tc>
          <w:tcPr>
            <w:tcW w:w="133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86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82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29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55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88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4、其他</w:t>
            </w:r>
          </w:p>
        </w:tc>
        <w:tc>
          <w:tcPr>
            <w:tcW w:w="133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86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82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29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55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88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三、股份总数</w:t>
            </w:r>
          </w:p>
        </w:tc>
        <w:tc>
          <w:tcPr>
            <w:tcW w:w="133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1,079,128,488</w:t>
            </w:r>
          </w:p>
        </w:tc>
        <w:tc>
          <w:tcPr>
            <w:tcW w:w="86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100.00%</w:t>
            </w:r>
          </w:p>
        </w:tc>
        <w:tc>
          <w:tcPr>
            <w:tcW w:w="602"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82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31,237</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31,237</w:t>
            </w:r>
          </w:p>
        </w:tc>
        <w:tc>
          <w:tcPr>
            <w:tcW w:w="1299"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1,079,159,725</w:t>
            </w:r>
          </w:p>
        </w:tc>
        <w:tc>
          <w:tcPr>
            <w:tcW w:w="155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100.00%</w:t>
            </w:r>
          </w:p>
        </w:tc>
      </w:tr>
    </w:tbl>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股份变动的原因</w:t>
      </w: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适用 □不适用</w:t>
      </w:r>
    </w:p>
    <w:p>
      <w:pPr>
        <w:pStyle w:val="8"/>
        <w:spacing w:before="0" w:beforeAutospacing="0" w:after="0" w:afterAutospacing="0"/>
        <w:ind w:firstLine="360"/>
        <w:rPr>
          <w:rFonts w:ascii="Times New Roman" w:hAnsi="Times New Roman" w:eastAsia="等线" w:cs="Times New Roman"/>
          <w:sz w:val="21"/>
          <w:szCs w:val="21"/>
        </w:rPr>
      </w:pPr>
      <w:r>
        <w:rPr>
          <w:rFonts w:ascii="Times New Roman" w:hAnsi="Times New Roman" w:cs="Times New Roman"/>
          <w:sz w:val="18"/>
          <w:szCs w:val="18"/>
        </w:rPr>
        <w:t>（1）根据公司《2019年股票期权与限制性股票激励计划》，公司2019年激励计划的第一个行权期符合行权条件的217名激励对象获授652.964万份股票期权于2021年2月3日开始自主行权，以及公司2019年激励计划的第二个行权期符合行权条件的209名激励对象获授469.2714万份股票期权于2022年2月18日开始自主行权。报告期内，公司总股本因激励对象自主行权增加30,872股。</w:t>
      </w:r>
    </w:p>
    <w:p>
      <w:pPr>
        <w:pStyle w:val="8"/>
        <w:spacing w:before="0" w:beforeAutospacing="0" w:after="0" w:afterAutospacing="0"/>
        <w:ind w:firstLine="360"/>
        <w:rPr>
          <w:rFonts w:ascii="Times New Roman" w:hAnsi="Times New Roman" w:eastAsia="等线" w:cs="Times New Roman"/>
          <w:sz w:val="21"/>
          <w:szCs w:val="21"/>
        </w:rPr>
      </w:pPr>
      <w:r>
        <w:rPr>
          <w:rFonts w:ascii="Times New Roman" w:hAnsi="Times New Roman" w:cs="Times New Roman"/>
          <w:sz w:val="18"/>
          <w:szCs w:val="18"/>
        </w:rPr>
        <w:t>（2）经中国证券监督管理委员会“证监许可[2020]1077号”核准，公司于2020年7月13日公开发行了950万张可转换公司债券，每张面值100元，发行总额95,000.00万元。并于2020年8月7日起在深交所挂牌交易，债券简称“龙大转债”，债券代码“128119.SZ”。根据《深圳证券交易所股票上市规则》等相关规定和《山东龙大肉食品股份有限公司公开发行A股可转换公司债券募集说明书》（以下简称“《募集说明书》”）的约定，公司本次发行的“龙大转债”自2021年1月18日起可转换为公司股份。报告期内，</w:t>
      </w:r>
      <w:r>
        <w:rPr>
          <w:rFonts w:ascii="Times New Roman" w:hAnsi="Times New Roman" w:cs="Times New Roman"/>
          <w:color w:val="000000"/>
          <w:sz w:val="18"/>
          <w:szCs w:val="18"/>
        </w:rPr>
        <w:t>累计转股数量为365股。</w:t>
      </w:r>
    </w:p>
    <w:p>
      <w:pPr>
        <w:pStyle w:val="8"/>
        <w:spacing w:before="0" w:beforeAutospacing="0" w:after="0" w:afterAutospacing="0"/>
        <w:ind w:firstLine="360"/>
        <w:rPr>
          <w:rFonts w:ascii="Times New Roman" w:hAnsi="Times New Roman" w:eastAsia="等线" w:cs="Times New Roman"/>
          <w:sz w:val="21"/>
          <w:szCs w:val="21"/>
        </w:rPr>
      </w:pPr>
      <w:r>
        <w:rPr>
          <w:rFonts w:ascii="Times New Roman" w:hAnsi="Times New Roman" w:eastAsia="等线" w:cs="Times New Roman"/>
          <w:sz w:val="21"/>
          <w:szCs w:val="21"/>
        </w:rPr>
        <w:t> </w:t>
      </w:r>
    </w:p>
    <w:p>
      <w:pPr>
        <w:spacing w:before="100" w:after="100" w:line="240" w:lineRule="exact"/>
        <w:rPr>
          <w:rFonts w:ascii="Times New Roman" w:hAnsi="Times New Roman" w:eastAsia="宋体" w:cs="Times New Roman"/>
          <w:sz w:val="18"/>
          <w:szCs w:val="18"/>
        </w:rPr>
      </w:pPr>
    </w:p>
    <w:p>
      <w:pPr>
        <w:spacing w:before="100" w:after="100" w:line="240" w:lineRule="exact"/>
        <w:rPr>
          <w:rFonts w:ascii="Times New Roman" w:hAnsi="Times New Roman" w:eastAsia="宋体" w:cs="Times New Roman"/>
          <w:sz w:val="18"/>
          <w:szCs w:val="18"/>
        </w:rPr>
      </w:pP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股份变动的批准情况</w:t>
      </w: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适用 □不适用</w:t>
      </w:r>
    </w:p>
    <w:p>
      <w:pPr>
        <w:pStyle w:val="8"/>
        <w:spacing w:before="0" w:beforeAutospacing="0" w:after="0" w:afterAutospacing="0"/>
        <w:ind w:firstLine="360"/>
        <w:rPr>
          <w:rFonts w:ascii="Times New Roman" w:hAnsi="Times New Roman" w:eastAsia="等线" w:cs="Times New Roman"/>
          <w:sz w:val="21"/>
          <w:szCs w:val="21"/>
        </w:rPr>
      </w:pPr>
      <w:r>
        <w:rPr>
          <w:rFonts w:ascii="Times New Roman" w:hAnsi="Times New Roman" w:cs="Times New Roman"/>
          <w:sz w:val="18"/>
          <w:szCs w:val="18"/>
        </w:rPr>
        <w:t>（1）2021年1月20日，公司召开第四届董事会第二十五次会议以及第四届监事会第二十次会议，审议通过了《关于2019年限制性股票和股票期权激励计划第一 个解锁期/行权期条件成就的议案》，董事会认为2019年激励计划设定的第一个解锁期/行权期条件已经成就，217名激励对象获授的652.964万份股票期权于2021年2月3日开始自主行权。</w:t>
      </w:r>
    </w:p>
    <w:p>
      <w:pPr>
        <w:pStyle w:val="8"/>
        <w:spacing w:before="0" w:beforeAutospacing="0" w:after="0" w:afterAutospacing="0"/>
        <w:ind w:firstLine="360"/>
        <w:rPr>
          <w:rFonts w:ascii="Times New Roman" w:hAnsi="Times New Roman" w:eastAsia="等线" w:cs="Times New Roman"/>
          <w:sz w:val="21"/>
          <w:szCs w:val="21"/>
        </w:rPr>
      </w:pPr>
      <w:r>
        <w:rPr>
          <w:rFonts w:ascii="Times New Roman" w:hAnsi="Times New Roman" w:cs="Times New Roman"/>
          <w:sz w:val="18"/>
          <w:szCs w:val="18"/>
        </w:rPr>
        <w:t>（2）2022年1月7日，公司召开第四届董事会第四十三次会议以及第四届监事会第三十二次会议，审议通过了《关于2019年股票期权和限制性股票激励计划第二个行权期/解锁期条件成就的议案》董事会认为2019年激励计划设定的第二个解锁期/行权期条件已经成就，209名激励对象获授469.2714万份股票期权于2022年2月18日开始自主行权。</w:t>
      </w:r>
    </w:p>
    <w:p>
      <w:pPr>
        <w:pStyle w:val="8"/>
        <w:spacing w:before="0" w:beforeAutospacing="0" w:after="0" w:afterAutospacing="0"/>
        <w:ind w:firstLine="360"/>
        <w:rPr>
          <w:rFonts w:ascii="Times New Roman" w:hAnsi="Times New Roman" w:eastAsia="等线" w:cs="Times New Roman"/>
          <w:sz w:val="21"/>
          <w:szCs w:val="21"/>
        </w:rPr>
      </w:pPr>
      <w:r>
        <w:rPr>
          <w:rFonts w:ascii="Times New Roman" w:hAnsi="Times New Roman" w:cs="Times New Roman"/>
          <w:sz w:val="18"/>
          <w:szCs w:val="18"/>
        </w:rPr>
        <w:t>（3）2021年1月20日，公司召开第四届董事会第二十五次会议以及第四届监事会第二十次会议，审议通过了《关于注销部分股票期权和回购注销部分已授予但尚未解锁的限制性股票的议案》，公司原激励对象梁秀林因离职已不符合激励条件，公司决定回购注销其已授予但尚未解锁的限制性股票3.9万股；2021年7月12日，公司召开第四届董事会第三十一次会议以及第四届监事会第二十五次会议，审议通过了《关于注销部分股票期权和回购注销部分已授予但尚未解锁的限制性股票的议案》。公司原激励对象张锦林、马术峰因离职已不符合激励条件，公司决定回购注销其二人已授予但尚未解锁的限制性股票2.652万股；2022年1月7日，公司召开第四届董事会第四十三次会议以及第四届监事会第三十二次会议，审议通过了《关于注销部分股票期权和回购注销部分已授予但尚未解锁的限制性股票的议案》。鉴于激励对象王华东、谢滨伟、赵廷君、李海涛已离职，已不再具备激励对象资格。鉴于激励对象陶镜伍、王琳的2020年度个人绩效评价结果为不合格，个人可解除限售比例为0%，个人可行权比例为0%。鉴于激励对象于永光的2020年度个人绩效评价结果为合格，个人可解除限售比例为80%，个人可行权比例为80%。公司决定回购注销其已授予但尚未解锁的限制性股票15.1164万股。</w:t>
      </w:r>
    </w:p>
    <w:p>
      <w:pPr>
        <w:pStyle w:val="8"/>
        <w:spacing w:before="0" w:beforeAutospacing="0" w:after="0" w:afterAutospacing="0"/>
        <w:ind w:firstLine="360"/>
        <w:rPr>
          <w:rFonts w:ascii="Times New Roman" w:hAnsi="Times New Roman" w:eastAsia="等线" w:cs="Times New Roman"/>
          <w:sz w:val="21"/>
          <w:szCs w:val="21"/>
        </w:rPr>
      </w:pPr>
      <w:r>
        <w:rPr>
          <w:rFonts w:ascii="Times New Roman" w:hAnsi="Times New Roman" w:cs="Times New Roman"/>
          <w:sz w:val="18"/>
          <w:szCs w:val="18"/>
        </w:rPr>
        <w:t>（4）</w:t>
      </w:r>
      <w:r>
        <w:rPr>
          <w:rFonts w:ascii="Times New Roman" w:hAnsi="Times New Roman" w:eastAsia="等线" w:cs="Times New Roman"/>
          <w:sz w:val="18"/>
          <w:szCs w:val="18"/>
        </w:rPr>
        <w:t>2022</w:t>
      </w:r>
      <w:r>
        <w:rPr>
          <w:rFonts w:ascii="Times New Roman" w:hAnsi="Times New Roman" w:cs="Times New Roman"/>
          <w:sz w:val="18"/>
          <w:szCs w:val="18"/>
        </w:rPr>
        <w:t>年</w:t>
      </w:r>
      <w:r>
        <w:rPr>
          <w:rFonts w:ascii="Times New Roman" w:hAnsi="Times New Roman" w:eastAsia="等线" w:cs="Times New Roman"/>
          <w:sz w:val="18"/>
          <w:szCs w:val="18"/>
        </w:rPr>
        <w:t>5</w:t>
      </w:r>
      <w:r>
        <w:rPr>
          <w:rFonts w:ascii="Times New Roman" w:hAnsi="Times New Roman" w:cs="Times New Roman"/>
          <w:sz w:val="18"/>
          <w:szCs w:val="18"/>
        </w:rPr>
        <w:t>月</w:t>
      </w:r>
      <w:r>
        <w:rPr>
          <w:rFonts w:ascii="Times New Roman" w:hAnsi="Times New Roman" w:eastAsia="等线" w:cs="Times New Roman"/>
          <w:sz w:val="18"/>
          <w:szCs w:val="18"/>
        </w:rPr>
        <w:t>30</w:t>
      </w:r>
      <w:r>
        <w:rPr>
          <w:rFonts w:ascii="Times New Roman" w:hAnsi="Times New Roman" w:cs="Times New Roman"/>
          <w:sz w:val="18"/>
          <w:szCs w:val="18"/>
        </w:rPr>
        <w:t>日，公司召开第五届董事会第三次会议以及第五届监事会第三次会议，审议通过了《关于注销部分股票期权和回购注销部分已授予但尚未解锁的限制性股票的议案》，鉴于公司</w:t>
      </w:r>
      <w:r>
        <w:rPr>
          <w:rFonts w:ascii="Times New Roman" w:hAnsi="Times New Roman" w:eastAsia="等线" w:cs="Times New Roman"/>
          <w:sz w:val="18"/>
          <w:szCs w:val="18"/>
        </w:rPr>
        <w:t>2021</w:t>
      </w:r>
      <w:r>
        <w:rPr>
          <w:rFonts w:ascii="Times New Roman" w:hAnsi="Times New Roman" w:cs="Times New Roman"/>
          <w:sz w:val="18"/>
          <w:szCs w:val="18"/>
        </w:rPr>
        <w:t>年度营业收入及利润总额均未达成公司层面业绩考核目标，公司决定回购注销激励对象已授予但尚未解锁的限制性股票</w:t>
      </w:r>
      <w:r>
        <w:rPr>
          <w:rFonts w:ascii="Times New Roman" w:hAnsi="Times New Roman" w:eastAsia="等线" w:cs="Times New Roman"/>
          <w:sz w:val="18"/>
          <w:szCs w:val="18"/>
        </w:rPr>
        <w:t>423.1890</w:t>
      </w:r>
      <w:r>
        <w:rPr>
          <w:rFonts w:ascii="Times New Roman" w:hAnsi="Times New Roman" w:cs="Times New Roman"/>
          <w:sz w:val="18"/>
          <w:szCs w:val="18"/>
        </w:rPr>
        <w:t>万股。</w:t>
      </w:r>
    </w:p>
    <w:p>
      <w:pPr>
        <w:pStyle w:val="8"/>
        <w:spacing w:before="0" w:beforeAutospacing="0" w:after="0" w:afterAutospacing="0"/>
        <w:ind w:firstLine="360"/>
        <w:rPr>
          <w:rFonts w:ascii="Times New Roman" w:hAnsi="Times New Roman" w:eastAsia="等线" w:cs="Times New Roman"/>
          <w:sz w:val="21"/>
          <w:szCs w:val="21"/>
        </w:rPr>
      </w:pPr>
      <w:r>
        <w:rPr>
          <w:rFonts w:ascii="Times New Roman" w:hAnsi="Times New Roman" w:cs="Times New Roman"/>
          <w:color w:val="000000"/>
          <w:sz w:val="18"/>
          <w:szCs w:val="18"/>
        </w:rPr>
        <w:t>（5）2023年4月28日，公司召开第五届董事会第十一次会议以及第五届监事会第九次会议，审议通过了《关于注销部分股票期权的议案》。同意对未达到行权条件而不能申请行权股票期权74,100份以及行权期满尚未行权的股票期权2份进行注销，合计74,102份股票期权。2023年5月10日，经中国证券登记结算有限责任公司深圳分公司审核确认，公司本次股票期权的注销手续已办理完成。本次注销完成后，公司2019年股票期权与限制性股票激励计划结束。</w:t>
      </w: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股份变动的过户情况</w:t>
      </w: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 xml:space="preserve">□适用 </w:t>
      </w: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不适用</w:t>
      </w: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股份回购的实施进展情况</w:t>
      </w: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适用 □不适用</w:t>
      </w:r>
    </w:p>
    <w:tbl>
      <w:tblPr>
        <w:tblStyle w:val="9"/>
        <w:tblW w:w="95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594"/>
        <w:gridCol w:w="1595"/>
        <w:gridCol w:w="1595"/>
        <w:gridCol w:w="1028"/>
        <w:gridCol w:w="2162"/>
        <w:gridCol w:w="15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8" w:hRule="atLeast"/>
        </w:trPr>
        <w:tc>
          <w:tcPr>
            <w:tcW w:w="1594" w:type="dxa"/>
            <w:shd w:val="clear" w:color="auto" w:fill="D3D3D3"/>
            <w:tcMar>
              <w:top w:w="0" w:type="dxa"/>
              <w:left w:w="108" w:type="dxa"/>
              <w:bottom w:w="0" w:type="dxa"/>
              <w:right w:w="108" w:type="dxa"/>
            </w:tcMar>
            <w:vAlign w:val="center"/>
          </w:tcPr>
          <w:p>
            <w:pPr>
              <w:pStyle w:val="8"/>
              <w:spacing w:before="40" w:beforeAutospacing="0" w:after="40" w:afterAutospacing="0" w:line="240" w:lineRule="atLeast"/>
              <w:jc w:val="center"/>
              <w:rPr>
                <w:rFonts w:ascii="Times New Roman" w:hAnsi="Times New Roman" w:cs="Times New Roman"/>
                <w:sz w:val="21"/>
                <w:szCs w:val="21"/>
              </w:rPr>
            </w:pPr>
            <w:r>
              <w:rPr>
                <w:rFonts w:ascii="Times New Roman" w:hAnsi="Times New Roman" w:cs="Times New Roman"/>
                <w:color w:val="000000"/>
                <w:sz w:val="18"/>
                <w:szCs w:val="18"/>
              </w:rPr>
              <w:t>方案披露时间</w:t>
            </w:r>
          </w:p>
        </w:tc>
        <w:tc>
          <w:tcPr>
            <w:tcW w:w="1595" w:type="dxa"/>
            <w:shd w:val="clear" w:color="auto" w:fill="D3D3D3"/>
            <w:tcMar>
              <w:top w:w="0" w:type="dxa"/>
              <w:left w:w="108" w:type="dxa"/>
              <w:bottom w:w="0" w:type="dxa"/>
              <w:right w:w="108" w:type="dxa"/>
            </w:tcMar>
            <w:vAlign w:val="center"/>
          </w:tcPr>
          <w:p>
            <w:pPr>
              <w:pStyle w:val="8"/>
              <w:spacing w:before="40" w:beforeAutospacing="0" w:after="40" w:afterAutospacing="0" w:line="240" w:lineRule="atLeast"/>
              <w:jc w:val="center"/>
              <w:rPr>
                <w:rFonts w:ascii="Times New Roman" w:hAnsi="Times New Roman" w:cs="Times New Roman"/>
                <w:sz w:val="21"/>
                <w:szCs w:val="21"/>
              </w:rPr>
            </w:pPr>
            <w:r>
              <w:rPr>
                <w:rFonts w:ascii="Times New Roman" w:hAnsi="Times New Roman" w:cs="Times New Roman"/>
                <w:color w:val="000000"/>
                <w:sz w:val="18"/>
                <w:szCs w:val="18"/>
              </w:rPr>
              <w:t>拟回购股份数量（股）</w:t>
            </w:r>
          </w:p>
        </w:tc>
        <w:tc>
          <w:tcPr>
            <w:tcW w:w="1595" w:type="dxa"/>
            <w:shd w:val="clear" w:color="auto" w:fill="D3D3D3"/>
            <w:tcMar>
              <w:top w:w="0" w:type="dxa"/>
              <w:left w:w="108" w:type="dxa"/>
              <w:bottom w:w="0" w:type="dxa"/>
              <w:right w:w="108" w:type="dxa"/>
            </w:tcMar>
            <w:vAlign w:val="center"/>
          </w:tcPr>
          <w:p>
            <w:pPr>
              <w:pStyle w:val="8"/>
              <w:spacing w:before="40" w:beforeAutospacing="0" w:after="40" w:afterAutospacing="0" w:line="240" w:lineRule="atLeast"/>
              <w:jc w:val="center"/>
              <w:rPr>
                <w:rFonts w:ascii="Times New Roman" w:hAnsi="Times New Roman" w:cs="Times New Roman"/>
                <w:sz w:val="21"/>
                <w:szCs w:val="21"/>
              </w:rPr>
            </w:pPr>
            <w:r>
              <w:rPr>
                <w:rFonts w:ascii="Times New Roman" w:hAnsi="Times New Roman" w:cs="Times New Roman"/>
                <w:color w:val="000000"/>
                <w:sz w:val="18"/>
                <w:szCs w:val="18"/>
              </w:rPr>
              <w:t>占总股本的比例</w:t>
            </w:r>
          </w:p>
        </w:tc>
        <w:tc>
          <w:tcPr>
            <w:tcW w:w="1028" w:type="dxa"/>
            <w:shd w:val="clear" w:color="auto" w:fill="D3D3D3"/>
            <w:tcMar>
              <w:top w:w="0" w:type="dxa"/>
              <w:left w:w="108" w:type="dxa"/>
              <w:bottom w:w="0" w:type="dxa"/>
              <w:right w:w="108" w:type="dxa"/>
            </w:tcMar>
            <w:vAlign w:val="center"/>
          </w:tcPr>
          <w:p>
            <w:pPr>
              <w:pStyle w:val="8"/>
              <w:spacing w:before="40" w:beforeAutospacing="0" w:after="40" w:afterAutospacing="0" w:line="240" w:lineRule="atLeast"/>
              <w:jc w:val="center"/>
              <w:rPr>
                <w:rFonts w:ascii="Times New Roman" w:hAnsi="Times New Roman" w:cs="Times New Roman"/>
                <w:sz w:val="21"/>
                <w:szCs w:val="21"/>
              </w:rPr>
            </w:pPr>
            <w:r>
              <w:rPr>
                <w:rFonts w:ascii="Times New Roman" w:hAnsi="Times New Roman" w:cs="Times New Roman"/>
                <w:color w:val="000000"/>
                <w:sz w:val="18"/>
                <w:szCs w:val="18"/>
              </w:rPr>
              <w:t>拟回购金额（万元）</w:t>
            </w:r>
          </w:p>
        </w:tc>
        <w:tc>
          <w:tcPr>
            <w:tcW w:w="2162" w:type="dxa"/>
            <w:shd w:val="clear" w:color="auto" w:fill="D3D3D3"/>
            <w:tcMar>
              <w:top w:w="0" w:type="dxa"/>
              <w:left w:w="108" w:type="dxa"/>
              <w:bottom w:w="0" w:type="dxa"/>
              <w:right w:w="108" w:type="dxa"/>
            </w:tcMar>
            <w:vAlign w:val="center"/>
          </w:tcPr>
          <w:p>
            <w:pPr>
              <w:pStyle w:val="8"/>
              <w:spacing w:before="40" w:beforeAutospacing="0" w:after="40" w:afterAutospacing="0" w:line="240" w:lineRule="atLeast"/>
              <w:jc w:val="center"/>
              <w:rPr>
                <w:rFonts w:ascii="Times New Roman" w:hAnsi="Times New Roman" w:cs="Times New Roman"/>
                <w:sz w:val="21"/>
                <w:szCs w:val="21"/>
              </w:rPr>
            </w:pPr>
            <w:r>
              <w:rPr>
                <w:rFonts w:ascii="Times New Roman" w:hAnsi="Times New Roman" w:cs="Times New Roman"/>
                <w:color w:val="000000"/>
                <w:sz w:val="18"/>
                <w:szCs w:val="18"/>
              </w:rPr>
              <w:t>拟回购期间</w:t>
            </w:r>
          </w:p>
        </w:tc>
        <w:tc>
          <w:tcPr>
            <w:tcW w:w="1595" w:type="dxa"/>
            <w:shd w:val="clear" w:color="auto" w:fill="D3D3D3"/>
            <w:tcMar>
              <w:top w:w="0" w:type="dxa"/>
              <w:left w:w="108" w:type="dxa"/>
              <w:bottom w:w="0" w:type="dxa"/>
              <w:right w:w="108" w:type="dxa"/>
            </w:tcMar>
            <w:vAlign w:val="center"/>
          </w:tcPr>
          <w:p>
            <w:pPr>
              <w:pStyle w:val="8"/>
              <w:spacing w:before="40" w:beforeAutospacing="0" w:after="40" w:afterAutospacing="0" w:line="240" w:lineRule="atLeast"/>
              <w:jc w:val="center"/>
              <w:rPr>
                <w:rFonts w:ascii="Times New Roman" w:hAnsi="Times New Roman" w:cs="Times New Roman"/>
                <w:sz w:val="21"/>
                <w:szCs w:val="21"/>
              </w:rPr>
            </w:pPr>
            <w:r>
              <w:rPr>
                <w:rFonts w:ascii="Times New Roman" w:hAnsi="Times New Roman" w:cs="Times New Roman"/>
                <w:color w:val="000000"/>
                <w:sz w:val="18"/>
                <w:szCs w:val="18"/>
              </w:rPr>
              <w:t>回购用途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8" w:hRule="atLeast"/>
        </w:trPr>
        <w:tc>
          <w:tcPr>
            <w:tcW w:w="1594" w:type="dxa"/>
            <w:tcMar>
              <w:top w:w="0" w:type="dxa"/>
              <w:left w:w="108" w:type="dxa"/>
              <w:bottom w:w="0" w:type="dxa"/>
              <w:right w:w="108" w:type="dxa"/>
            </w:tcMar>
            <w:vAlign w:val="center"/>
          </w:tcPr>
          <w:p>
            <w:pPr>
              <w:pStyle w:val="8"/>
              <w:spacing w:before="0" w:beforeAutospacing="0" w:after="0" w:afterAutospacing="0" w:line="240" w:lineRule="atLeast"/>
              <w:jc w:val="both"/>
              <w:rPr>
                <w:rFonts w:ascii="Times New Roman" w:hAnsi="Times New Roman" w:cs="Times New Roman"/>
                <w:sz w:val="21"/>
                <w:szCs w:val="21"/>
              </w:rPr>
            </w:pPr>
            <w:r>
              <w:rPr>
                <w:rFonts w:ascii="Times New Roman" w:hAnsi="Times New Roman" w:cs="Times New Roman"/>
                <w:sz w:val="18"/>
                <w:szCs w:val="18"/>
              </w:rPr>
              <w:t>2022年11月15日</w:t>
            </w:r>
          </w:p>
        </w:tc>
        <w:tc>
          <w:tcPr>
            <w:tcW w:w="1595" w:type="dxa"/>
            <w:tcMar>
              <w:top w:w="0" w:type="dxa"/>
              <w:left w:w="108" w:type="dxa"/>
              <w:bottom w:w="0" w:type="dxa"/>
              <w:right w:w="108" w:type="dxa"/>
            </w:tcMar>
            <w:vAlign w:val="center"/>
          </w:tcPr>
          <w:p>
            <w:pPr>
              <w:pStyle w:val="8"/>
              <w:spacing w:before="0" w:beforeAutospacing="0" w:after="0" w:afterAutospacing="0" w:line="240" w:lineRule="atLeast"/>
              <w:jc w:val="both"/>
              <w:rPr>
                <w:rFonts w:ascii="Times New Roman" w:hAnsi="Times New Roman" w:cs="Times New Roman"/>
                <w:sz w:val="21"/>
                <w:szCs w:val="21"/>
              </w:rPr>
            </w:pPr>
            <w:r>
              <w:rPr>
                <w:rFonts w:ascii="Times New Roman" w:hAnsi="Times New Roman" w:cs="Times New Roman"/>
                <w:sz w:val="18"/>
                <w:szCs w:val="18"/>
              </w:rPr>
              <w:t>20,818,875-34,698,126</w:t>
            </w:r>
          </w:p>
        </w:tc>
        <w:tc>
          <w:tcPr>
            <w:tcW w:w="1595" w:type="dxa"/>
            <w:tcMar>
              <w:top w:w="0" w:type="dxa"/>
              <w:left w:w="108" w:type="dxa"/>
              <w:bottom w:w="0" w:type="dxa"/>
              <w:right w:w="108" w:type="dxa"/>
            </w:tcMar>
            <w:vAlign w:val="center"/>
          </w:tcPr>
          <w:p>
            <w:pPr>
              <w:pStyle w:val="8"/>
              <w:spacing w:before="0" w:beforeAutospacing="0" w:after="0" w:afterAutospacing="0" w:line="240" w:lineRule="atLeast"/>
              <w:jc w:val="both"/>
              <w:rPr>
                <w:rFonts w:ascii="Times New Roman" w:hAnsi="Times New Roman" w:cs="Times New Roman"/>
                <w:sz w:val="21"/>
                <w:szCs w:val="21"/>
              </w:rPr>
            </w:pPr>
            <w:r>
              <w:rPr>
                <w:rFonts w:ascii="Times New Roman" w:hAnsi="Times New Roman" w:cs="Times New Roman"/>
                <w:sz w:val="18"/>
                <w:szCs w:val="18"/>
              </w:rPr>
              <w:t>1.93%-3.22%</w:t>
            </w:r>
          </w:p>
        </w:tc>
        <w:tc>
          <w:tcPr>
            <w:tcW w:w="1028" w:type="dxa"/>
            <w:tcMar>
              <w:top w:w="0" w:type="dxa"/>
              <w:left w:w="108" w:type="dxa"/>
              <w:bottom w:w="0" w:type="dxa"/>
              <w:right w:w="108" w:type="dxa"/>
            </w:tcMar>
            <w:vAlign w:val="center"/>
          </w:tcPr>
          <w:p>
            <w:pPr>
              <w:pStyle w:val="8"/>
              <w:spacing w:before="0" w:beforeAutospacing="0" w:after="0" w:afterAutospacing="0" w:line="240" w:lineRule="atLeast"/>
              <w:jc w:val="both"/>
              <w:rPr>
                <w:rFonts w:ascii="Times New Roman" w:hAnsi="Times New Roman" w:cs="Times New Roman"/>
                <w:sz w:val="21"/>
                <w:szCs w:val="21"/>
              </w:rPr>
            </w:pPr>
            <w:r>
              <w:rPr>
                <w:rFonts w:ascii="Times New Roman" w:hAnsi="Times New Roman" w:cs="Times New Roman"/>
                <w:sz w:val="18"/>
                <w:szCs w:val="18"/>
              </w:rPr>
              <w:t>30,000-50,000</w:t>
            </w:r>
          </w:p>
        </w:tc>
        <w:tc>
          <w:tcPr>
            <w:tcW w:w="2162" w:type="dxa"/>
            <w:tcMar>
              <w:top w:w="0" w:type="dxa"/>
              <w:left w:w="108" w:type="dxa"/>
              <w:bottom w:w="0" w:type="dxa"/>
              <w:right w:w="108" w:type="dxa"/>
            </w:tcMar>
            <w:vAlign w:val="center"/>
          </w:tcPr>
          <w:p>
            <w:pPr>
              <w:pStyle w:val="8"/>
              <w:spacing w:before="0" w:beforeAutospacing="0" w:after="0" w:afterAutospacing="0" w:line="240" w:lineRule="atLeast"/>
              <w:jc w:val="both"/>
              <w:rPr>
                <w:rFonts w:ascii="Times New Roman" w:hAnsi="Times New Roman" w:cs="Times New Roman"/>
                <w:sz w:val="21"/>
                <w:szCs w:val="21"/>
              </w:rPr>
            </w:pPr>
            <w:r>
              <w:rPr>
                <w:rFonts w:ascii="Times New Roman" w:hAnsi="Times New Roman" w:cs="Times New Roman"/>
                <w:sz w:val="18"/>
                <w:szCs w:val="18"/>
              </w:rPr>
              <w:t>自公司董事会审议通过本次回购股份方案之日起12个月内</w:t>
            </w:r>
          </w:p>
        </w:tc>
        <w:tc>
          <w:tcPr>
            <w:tcW w:w="1595" w:type="dxa"/>
            <w:tcMar>
              <w:top w:w="0" w:type="dxa"/>
              <w:left w:w="108" w:type="dxa"/>
              <w:bottom w:w="0" w:type="dxa"/>
              <w:right w:w="108" w:type="dxa"/>
            </w:tcMar>
            <w:vAlign w:val="center"/>
          </w:tcPr>
          <w:p>
            <w:pPr>
              <w:pStyle w:val="8"/>
              <w:spacing w:before="0" w:beforeAutospacing="0" w:after="0" w:afterAutospacing="0" w:line="240" w:lineRule="atLeast"/>
              <w:jc w:val="both"/>
              <w:rPr>
                <w:rFonts w:ascii="Times New Roman" w:hAnsi="Times New Roman" w:cs="Times New Roman"/>
                <w:sz w:val="21"/>
                <w:szCs w:val="21"/>
              </w:rPr>
            </w:pPr>
            <w:r>
              <w:rPr>
                <w:rFonts w:ascii="Times New Roman" w:hAnsi="Times New Roman" w:cs="Times New Roman"/>
                <w:sz w:val="18"/>
                <w:szCs w:val="18"/>
              </w:rPr>
              <w:t>实施员工持股计划或股权激励计划</w:t>
            </w:r>
          </w:p>
        </w:tc>
      </w:tr>
    </w:tbl>
    <w:p>
      <w:pPr>
        <w:pStyle w:val="8"/>
        <w:spacing w:beforeAutospacing="0" w:afterAutospacing="0" w:line="240" w:lineRule="atLeast"/>
        <w:ind w:firstLine="360" w:firstLineChars="200"/>
        <w:rPr>
          <w:rFonts w:ascii="Times New Roman" w:hAnsi="Times New Roman" w:cs="Times New Roman"/>
          <w:sz w:val="21"/>
          <w:szCs w:val="21"/>
        </w:rPr>
      </w:pPr>
      <w:r>
        <w:rPr>
          <w:rFonts w:ascii="Times New Roman" w:hAnsi="Times New Roman" w:cs="Times New Roman"/>
          <w:sz w:val="18"/>
          <w:szCs w:val="18"/>
        </w:rPr>
        <w:t>截至报告期末，公司累计已回购股份11,000,483.00 股，占公司总股本的比例为1.02%，成交总金额为人民币98,993,276.80元（不含交易费用），最高成交价为人民币9.47元/股，最低成交价为人民币8.45元/股。</w:t>
      </w:r>
    </w:p>
    <w:p>
      <w:pPr>
        <w:pStyle w:val="8"/>
        <w:spacing w:beforeAutospacing="0" w:afterAutospacing="0" w:line="240" w:lineRule="atLeast"/>
        <w:ind w:firstLine="360" w:firstLineChars="200"/>
        <w:rPr>
          <w:rFonts w:ascii="Times New Roman" w:hAnsi="Times New Roman" w:cs="Times New Roman"/>
          <w:sz w:val="21"/>
          <w:szCs w:val="21"/>
        </w:rPr>
      </w:pPr>
      <w:r>
        <w:rPr>
          <w:rFonts w:ascii="Times New Roman" w:hAnsi="Times New Roman" w:cs="Times New Roman"/>
          <w:sz w:val="18"/>
          <w:szCs w:val="18"/>
        </w:rPr>
        <w:t>截至2023年7月31日，公司累计已回购股份15,019,583.00 股，占公司总股本的比例为1.39%，成交总金额为人民币129,924,245.80 元（不含交易费用），最高成交价为人民币9.47元/股，最低成交价为人民币7.38元/股。</w:t>
      </w: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采用集中竞价方式减持回购股份的实施进展情况</w:t>
      </w: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 xml:space="preserve">□适用 </w:t>
      </w: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不适用</w:t>
      </w:r>
    </w:p>
    <w:p>
      <w:pPr>
        <w:spacing w:before="100" w:after="100" w:line="240" w:lineRule="exact"/>
        <w:rPr>
          <w:rFonts w:ascii="Times New Roman" w:hAnsi="Times New Roman" w:eastAsia="宋体" w:cs="Times New Roman"/>
          <w:sz w:val="18"/>
          <w:szCs w:val="18"/>
        </w:rPr>
      </w:pP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股份变动对最近一年和最近一期基本每股收益和稀释每股收益、归属于公司普通股股东的每股净资产等财务指标的影响</w:t>
      </w: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 xml:space="preserve">□适用 </w:t>
      </w: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不适用</w:t>
      </w: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公司认为必要或证券监管机构要求披露的其他内容</w:t>
      </w: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 xml:space="preserve">□适用 </w:t>
      </w: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不适用</w:t>
      </w:r>
    </w:p>
    <w:p>
      <w:pPr>
        <w:pStyle w:val="3"/>
        <w:spacing w:line="280" w:lineRule="exact"/>
        <w:jc w:val="left"/>
        <w:rPr>
          <w:rFonts w:ascii="Times New Roman" w:hAnsi="Times New Roman" w:cs="Times New Roman"/>
          <w:b/>
          <w:bCs/>
        </w:rPr>
      </w:pPr>
      <w:bookmarkStart w:id="85" w:name="_Toc988974"/>
      <w:r>
        <w:rPr>
          <w:rFonts w:ascii="Times New Roman" w:hAnsi="Times New Roman" w:cs="Times New Roman"/>
          <w:b/>
          <w:bCs/>
        </w:rPr>
        <w:t>2、限售股份变动情况</w:t>
      </w:r>
      <w:bookmarkEnd w:id="85"/>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适用 □不适用</w:t>
      </w:r>
    </w:p>
    <w:p>
      <w:pPr>
        <w:spacing w:before="120" w:after="12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单位：股</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股东名称</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期初限售股数</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本期解除限售股数</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本期增加限售股数</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期末限售股数</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限售原因</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解除限售日期</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余宇</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1,053,000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585,000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1,638,000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高管锁定股</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按高管锁定规则执行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张瑞</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702,000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117,000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819,000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高管锁定股</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按高管锁定规则执行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合计</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1,755,000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702,000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2,457,000</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w:t>
            </w:r>
          </w:p>
        </w:tc>
      </w:tr>
    </w:tbl>
    <w:p>
      <w:pPr>
        <w:pStyle w:val="2"/>
        <w:spacing w:before="300" w:after="300" w:line="320" w:lineRule="exact"/>
        <w:rPr>
          <w:rFonts w:ascii="Times New Roman" w:hAnsi="Times New Roman" w:eastAsia="宋体" w:cs="Times New Roman"/>
          <w:b/>
          <w:bCs/>
          <w:sz w:val="24"/>
          <w:szCs w:val="24"/>
        </w:rPr>
      </w:pPr>
      <w:bookmarkStart w:id="86" w:name="_Toc988975"/>
      <w:r>
        <w:rPr>
          <w:rFonts w:ascii="Times New Roman" w:hAnsi="Times New Roman" w:eastAsia="宋体" w:cs="Times New Roman"/>
          <w:b/>
          <w:bCs/>
          <w:sz w:val="24"/>
          <w:szCs w:val="24"/>
        </w:rPr>
        <w:t>二、证券发行与上市情况</w:t>
      </w:r>
      <w:bookmarkEnd w:id="86"/>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 xml:space="preserve">□适用 </w:t>
      </w: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不适用</w:t>
      </w:r>
    </w:p>
    <w:p>
      <w:pPr>
        <w:pStyle w:val="2"/>
        <w:spacing w:before="300" w:after="300" w:line="320" w:lineRule="exact"/>
        <w:rPr>
          <w:rFonts w:ascii="Times New Roman" w:hAnsi="Times New Roman" w:eastAsia="宋体" w:cs="Times New Roman"/>
          <w:b/>
          <w:bCs/>
          <w:sz w:val="24"/>
          <w:szCs w:val="24"/>
        </w:rPr>
      </w:pPr>
      <w:bookmarkStart w:id="87" w:name="_Toc988976"/>
      <w:r>
        <w:rPr>
          <w:rFonts w:ascii="Times New Roman" w:hAnsi="Times New Roman" w:eastAsia="宋体" w:cs="Times New Roman"/>
          <w:b/>
          <w:bCs/>
          <w:sz w:val="24"/>
          <w:szCs w:val="24"/>
        </w:rPr>
        <w:t>三、公司股东数量及持股情况</w:t>
      </w:r>
      <w:bookmarkEnd w:id="87"/>
    </w:p>
    <w:p>
      <w:pPr>
        <w:spacing w:before="120" w:after="12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单位：股</w:t>
      </w:r>
    </w:p>
    <w:tbl>
      <w:tblPr>
        <w:tblStyle w:val="9"/>
        <w:tblW w:w="9852"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71"/>
        <w:gridCol w:w="1071"/>
        <w:gridCol w:w="1071"/>
        <w:gridCol w:w="1071"/>
        <w:gridCol w:w="1245"/>
        <w:gridCol w:w="656"/>
        <w:gridCol w:w="1150"/>
        <w:gridCol w:w="1392"/>
        <w:gridCol w:w="112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4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报告期末普通股股东总数</w:t>
            </w:r>
          </w:p>
        </w:tc>
        <w:tc>
          <w:tcPr>
            <w:tcW w:w="2142" w:type="dxa"/>
            <w:gridSpan w:val="2"/>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33,672</w:t>
            </w:r>
          </w:p>
        </w:tc>
        <w:tc>
          <w:tcPr>
            <w:tcW w:w="305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报告期末表决权恢复的优先股股东总数（如有）（参见注8）</w:t>
            </w:r>
          </w:p>
        </w:tc>
        <w:tc>
          <w:tcPr>
            <w:tcW w:w="2517" w:type="dxa"/>
            <w:gridSpan w:val="2"/>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852" w:type="dxa"/>
            <w:gridSpan w:val="9"/>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持股5%以上的普通股股东或前10名普通股股东持股情况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股东名称</w:t>
            </w:r>
          </w:p>
        </w:tc>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股东性质</w:t>
            </w:r>
          </w:p>
        </w:tc>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持股比例</w:t>
            </w:r>
          </w:p>
        </w:tc>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报告期末持有的普通股数量</w:t>
            </w:r>
          </w:p>
        </w:tc>
        <w:tc>
          <w:tcPr>
            <w:tcW w:w="124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报告期内增减变动情况</w:t>
            </w:r>
          </w:p>
        </w:tc>
        <w:tc>
          <w:tcPr>
            <w:tcW w:w="65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持有有限售条件的普通股数量</w:t>
            </w:r>
          </w:p>
        </w:tc>
        <w:tc>
          <w:tcPr>
            <w:tcW w:w="1150"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持有无限售条件的普通股数量</w:t>
            </w:r>
          </w:p>
        </w:tc>
        <w:tc>
          <w:tcPr>
            <w:tcW w:w="2517"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质押、标记或冻结情况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1245"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65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115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139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股份状态</w:t>
            </w:r>
          </w:p>
        </w:tc>
        <w:tc>
          <w:tcPr>
            <w:tcW w:w="112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数量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蓝润发展控股集团有限公司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境内非国有法人</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27.23%</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293,885,800</w:t>
            </w:r>
          </w:p>
        </w:tc>
        <w:tc>
          <w:tcPr>
            <w:tcW w:w="1245"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p>
        </w:tc>
        <w:tc>
          <w:tcPr>
            <w:tcW w:w="65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15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293,885,800</w:t>
            </w:r>
          </w:p>
        </w:tc>
        <w:tc>
          <w:tcPr>
            <w:tcW w:w="1392"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质押</w:t>
            </w:r>
          </w:p>
        </w:tc>
        <w:tc>
          <w:tcPr>
            <w:tcW w:w="112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116,052,000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莱阳银龙投资有限公司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境内非国有法人</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7.29%</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78,676,000</w:t>
            </w:r>
          </w:p>
        </w:tc>
        <w:tc>
          <w:tcPr>
            <w:tcW w:w="1245"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p>
        </w:tc>
        <w:tc>
          <w:tcPr>
            <w:tcW w:w="65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15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78,676,000</w:t>
            </w:r>
          </w:p>
        </w:tc>
        <w:tc>
          <w:tcPr>
            <w:tcW w:w="1392"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质押</w:t>
            </w:r>
          </w:p>
        </w:tc>
        <w:tc>
          <w:tcPr>
            <w:tcW w:w="112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53,000,000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青岛洪亨亚和实业有限公司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境内非国有法人</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5.53%</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59,714,200</w:t>
            </w:r>
          </w:p>
        </w:tc>
        <w:tc>
          <w:tcPr>
            <w:tcW w:w="1245"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p>
        </w:tc>
        <w:tc>
          <w:tcPr>
            <w:tcW w:w="65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15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59,714,200</w:t>
            </w:r>
          </w:p>
        </w:tc>
        <w:tc>
          <w:tcPr>
            <w:tcW w:w="1392"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p>
        </w:tc>
        <w:tc>
          <w:tcPr>
            <w:tcW w:w="112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付小铜</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境内自然人</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4.20%</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45,352,342</w:t>
            </w:r>
          </w:p>
        </w:tc>
        <w:tc>
          <w:tcPr>
            <w:tcW w:w="1245"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-4,480,200</w:t>
            </w:r>
          </w:p>
        </w:tc>
        <w:tc>
          <w:tcPr>
            <w:tcW w:w="65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15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45,352,342</w:t>
            </w:r>
          </w:p>
        </w:tc>
        <w:tc>
          <w:tcPr>
            <w:tcW w:w="1392"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p>
        </w:tc>
        <w:tc>
          <w:tcPr>
            <w:tcW w:w="112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银河德睿资本管理有限公司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境内非国有法人</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3.41%</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36,764,705</w:t>
            </w:r>
          </w:p>
        </w:tc>
        <w:tc>
          <w:tcPr>
            <w:tcW w:w="1245"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+3,480,000</w:t>
            </w:r>
          </w:p>
        </w:tc>
        <w:tc>
          <w:tcPr>
            <w:tcW w:w="65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15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36,764,705</w:t>
            </w:r>
          </w:p>
        </w:tc>
        <w:tc>
          <w:tcPr>
            <w:tcW w:w="1392"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p>
        </w:tc>
        <w:tc>
          <w:tcPr>
            <w:tcW w:w="112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晟弘资产管理（珠海）有限公司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境内非国有法人</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2.72%</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29,376,135</w:t>
            </w:r>
          </w:p>
        </w:tc>
        <w:tc>
          <w:tcPr>
            <w:tcW w:w="1245"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+23,458,635</w:t>
            </w:r>
          </w:p>
        </w:tc>
        <w:tc>
          <w:tcPr>
            <w:tcW w:w="65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15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29,376,135</w:t>
            </w:r>
          </w:p>
        </w:tc>
        <w:tc>
          <w:tcPr>
            <w:tcW w:w="1392"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p>
        </w:tc>
        <w:tc>
          <w:tcPr>
            <w:tcW w:w="112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伊藤忠（中国）集团有限公司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境内非国有法人</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2.57%</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27,716,500</w:t>
            </w:r>
          </w:p>
        </w:tc>
        <w:tc>
          <w:tcPr>
            <w:tcW w:w="1245"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p>
        </w:tc>
        <w:tc>
          <w:tcPr>
            <w:tcW w:w="65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15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27,716,500</w:t>
            </w:r>
          </w:p>
        </w:tc>
        <w:tc>
          <w:tcPr>
            <w:tcW w:w="1392"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p>
        </w:tc>
        <w:tc>
          <w:tcPr>
            <w:tcW w:w="112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成都正骐投资管理有限公司－正骐消费一号私募证券投资基金</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其他</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2.41%</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26,017,000</w:t>
            </w:r>
          </w:p>
        </w:tc>
        <w:tc>
          <w:tcPr>
            <w:tcW w:w="1245"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-2,553,000</w:t>
            </w:r>
          </w:p>
        </w:tc>
        <w:tc>
          <w:tcPr>
            <w:tcW w:w="65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15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26,017,000</w:t>
            </w:r>
          </w:p>
        </w:tc>
        <w:tc>
          <w:tcPr>
            <w:tcW w:w="1392"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p>
        </w:tc>
        <w:tc>
          <w:tcPr>
            <w:tcW w:w="112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上海鼎译智能科技有限公司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境内非国有法人</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1.96%</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21,116,171</w:t>
            </w:r>
          </w:p>
        </w:tc>
        <w:tc>
          <w:tcPr>
            <w:tcW w:w="1245"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+6,412,297</w:t>
            </w:r>
          </w:p>
        </w:tc>
        <w:tc>
          <w:tcPr>
            <w:tcW w:w="65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15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21,116,171</w:t>
            </w:r>
          </w:p>
        </w:tc>
        <w:tc>
          <w:tcPr>
            <w:tcW w:w="1392"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p>
        </w:tc>
        <w:tc>
          <w:tcPr>
            <w:tcW w:w="112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上海芬隆实业有限公司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境内非国有法人</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1.93%</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20,795,224</w:t>
            </w:r>
          </w:p>
        </w:tc>
        <w:tc>
          <w:tcPr>
            <w:tcW w:w="1245"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-1,110,200</w:t>
            </w:r>
          </w:p>
        </w:tc>
        <w:tc>
          <w:tcPr>
            <w:tcW w:w="65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15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20,795,224</w:t>
            </w:r>
          </w:p>
        </w:tc>
        <w:tc>
          <w:tcPr>
            <w:tcW w:w="1392"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p>
        </w:tc>
        <w:tc>
          <w:tcPr>
            <w:tcW w:w="112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4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战略投资者或一般法人因配售新股成为前10名普通股股东的情况（如有）（参见注3）</w:t>
            </w:r>
          </w:p>
        </w:tc>
        <w:tc>
          <w:tcPr>
            <w:tcW w:w="7710" w:type="dxa"/>
            <w:gridSpan w:val="7"/>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4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上述股东关联关系或一致行动的说明</w:t>
            </w:r>
          </w:p>
        </w:tc>
        <w:tc>
          <w:tcPr>
            <w:tcW w:w="7710" w:type="dxa"/>
            <w:gridSpan w:val="7"/>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公司未知前10股东之间是否存在关联关系，也未知是否属于一致行动人。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4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上述股东涉及委托/受托表决权、放弃表决权情况的说明</w:t>
            </w:r>
          </w:p>
        </w:tc>
        <w:tc>
          <w:tcPr>
            <w:tcW w:w="7710" w:type="dxa"/>
            <w:gridSpan w:val="7"/>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4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前10名股东中存在回购专户的特别说明（如有）（参见注11）</w:t>
            </w:r>
          </w:p>
        </w:tc>
        <w:tc>
          <w:tcPr>
            <w:tcW w:w="7710" w:type="dxa"/>
            <w:gridSpan w:val="7"/>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852" w:type="dxa"/>
            <w:gridSpan w:val="9"/>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前10名无限售条件普通股股东持股情况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42" w:type="dxa"/>
            <w:gridSpan w:val="2"/>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股东名称</w:t>
            </w:r>
          </w:p>
        </w:tc>
        <w:tc>
          <w:tcPr>
            <w:tcW w:w="5193" w:type="dxa"/>
            <w:gridSpan w:val="5"/>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报告期末持有无限售条件普通股股份数量</w:t>
            </w:r>
          </w:p>
        </w:tc>
        <w:tc>
          <w:tcPr>
            <w:tcW w:w="2517"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股份种类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42" w:type="dxa"/>
            <w:gridSpan w:val="2"/>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5193" w:type="dxa"/>
            <w:gridSpan w:val="5"/>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1392"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股份种类</w:t>
            </w:r>
          </w:p>
        </w:tc>
        <w:tc>
          <w:tcPr>
            <w:tcW w:w="112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数量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42" w:type="dxa"/>
            <w:gridSpan w:val="2"/>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蓝润发展控股集团有限公司</w:t>
            </w:r>
          </w:p>
        </w:tc>
        <w:tc>
          <w:tcPr>
            <w:tcW w:w="5193" w:type="dxa"/>
            <w:gridSpan w:val="5"/>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293,885,800</w:t>
            </w:r>
          </w:p>
        </w:tc>
        <w:tc>
          <w:tcPr>
            <w:tcW w:w="1392"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人民币普通股</w:t>
            </w:r>
          </w:p>
        </w:tc>
        <w:tc>
          <w:tcPr>
            <w:tcW w:w="112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293,885,800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42" w:type="dxa"/>
            <w:gridSpan w:val="2"/>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莱阳银龙投资有限公司</w:t>
            </w:r>
          </w:p>
        </w:tc>
        <w:tc>
          <w:tcPr>
            <w:tcW w:w="5193" w:type="dxa"/>
            <w:gridSpan w:val="5"/>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78,676,000</w:t>
            </w:r>
          </w:p>
        </w:tc>
        <w:tc>
          <w:tcPr>
            <w:tcW w:w="1392"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人民币普通股</w:t>
            </w:r>
          </w:p>
        </w:tc>
        <w:tc>
          <w:tcPr>
            <w:tcW w:w="112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78,676,000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42" w:type="dxa"/>
            <w:gridSpan w:val="2"/>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青岛洪亨亚和实业有限公司</w:t>
            </w:r>
          </w:p>
        </w:tc>
        <w:tc>
          <w:tcPr>
            <w:tcW w:w="5193" w:type="dxa"/>
            <w:gridSpan w:val="5"/>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59,714,200</w:t>
            </w:r>
          </w:p>
        </w:tc>
        <w:tc>
          <w:tcPr>
            <w:tcW w:w="1392"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人民币普通股</w:t>
            </w:r>
          </w:p>
        </w:tc>
        <w:tc>
          <w:tcPr>
            <w:tcW w:w="112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59,714,200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42" w:type="dxa"/>
            <w:gridSpan w:val="2"/>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付小铜</w:t>
            </w:r>
          </w:p>
        </w:tc>
        <w:tc>
          <w:tcPr>
            <w:tcW w:w="5193" w:type="dxa"/>
            <w:gridSpan w:val="5"/>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45,352,342</w:t>
            </w:r>
          </w:p>
        </w:tc>
        <w:tc>
          <w:tcPr>
            <w:tcW w:w="1392"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人民币普通股</w:t>
            </w:r>
          </w:p>
        </w:tc>
        <w:tc>
          <w:tcPr>
            <w:tcW w:w="112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45,352,342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42" w:type="dxa"/>
            <w:gridSpan w:val="2"/>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银河德睿资本管理有限公司</w:t>
            </w:r>
          </w:p>
        </w:tc>
        <w:tc>
          <w:tcPr>
            <w:tcW w:w="5193" w:type="dxa"/>
            <w:gridSpan w:val="5"/>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36,764,705</w:t>
            </w:r>
          </w:p>
        </w:tc>
        <w:tc>
          <w:tcPr>
            <w:tcW w:w="1392"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人民币普通股</w:t>
            </w:r>
          </w:p>
        </w:tc>
        <w:tc>
          <w:tcPr>
            <w:tcW w:w="112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36,764,705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42" w:type="dxa"/>
            <w:gridSpan w:val="2"/>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晟弘资产管理（珠海）有限公司</w:t>
            </w:r>
          </w:p>
        </w:tc>
        <w:tc>
          <w:tcPr>
            <w:tcW w:w="5193" w:type="dxa"/>
            <w:gridSpan w:val="5"/>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29,376,135</w:t>
            </w:r>
          </w:p>
        </w:tc>
        <w:tc>
          <w:tcPr>
            <w:tcW w:w="1392"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人民币普通股</w:t>
            </w:r>
          </w:p>
        </w:tc>
        <w:tc>
          <w:tcPr>
            <w:tcW w:w="112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29,376,135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42" w:type="dxa"/>
            <w:gridSpan w:val="2"/>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伊藤忠（中国）集团有限公司</w:t>
            </w:r>
          </w:p>
        </w:tc>
        <w:tc>
          <w:tcPr>
            <w:tcW w:w="5193" w:type="dxa"/>
            <w:gridSpan w:val="5"/>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27,716,500</w:t>
            </w:r>
          </w:p>
        </w:tc>
        <w:tc>
          <w:tcPr>
            <w:tcW w:w="1392"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人民币普通股</w:t>
            </w:r>
          </w:p>
        </w:tc>
        <w:tc>
          <w:tcPr>
            <w:tcW w:w="112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27,716,500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42" w:type="dxa"/>
            <w:gridSpan w:val="2"/>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成都正骐投资管理有限公司－正骐消费一号私募证券投资基金</w:t>
            </w:r>
          </w:p>
        </w:tc>
        <w:tc>
          <w:tcPr>
            <w:tcW w:w="5193" w:type="dxa"/>
            <w:gridSpan w:val="5"/>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26,017,000</w:t>
            </w:r>
          </w:p>
        </w:tc>
        <w:tc>
          <w:tcPr>
            <w:tcW w:w="1392"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人民币普通股</w:t>
            </w:r>
          </w:p>
        </w:tc>
        <w:tc>
          <w:tcPr>
            <w:tcW w:w="112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26,017,000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42" w:type="dxa"/>
            <w:gridSpan w:val="2"/>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上海鼎译智能科技有限公司</w:t>
            </w:r>
          </w:p>
        </w:tc>
        <w:tc>
          <w:tcPr>
            <w:tcW w:w="5193" w:type="dxa"/>
            <w:gridSpan w:val="5"/>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21,116,171</w:t>
            </w:r>
          </w:p>
        </w:tc>
        <w:tc>
          <w:tcPr>
            <w:tcW w:w="1392"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人民币普通股</w:t>
            </w:r>
          </w:p>
        </w:tc>
        <w:tc>
          <w:tcPr>
            <w:tcW w:w="112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21,116,171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42" w:type="dxa"/>
            <w:gridSpan w:val="2"/>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上海芬隆实业有限公司</w:t>
            </w:r>
          </w:p>
        </w:tc>
        <w:tc>
          <w:tcPr>
            <w:tcW w:w="5193" w:type="dxa"/>
            <w:gridSpan w:val="5"/>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20,795,224</w:t>
            </w:r>
          </w:p>
        </w:tc>
        <w:tc>
          <w:tcPr>
            <w:tcW w:w="1392"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人民币普通股</w:t>
            </w:r>
          </w:p>
        </w:tc>
        <w:tc>
          <w:tcPr>
            <w:tcW w:w="112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20,795,224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4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前10名无限售条件普通股股东之间，以及前10名无限售条件普通股股东和前10名普通股股东之间关联关系或一致行动的说明</w:t>
            </w:r>
          </w:p>
        </w:tc>
        <w:tc>
          <w:tcPr>
            <w:tcW w:w="7710" w:type="dxa"/>
            <w:gridSpan w:val="7"/>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公司未知前10名股东之间是否存在关联关系，也未知是否属于一致行动人。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4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前10名普通股股东参与融资融券业务情况说明（如有）（参见注4）</w:t>
            </w:r>
          </w:p>
        </w:tc>
        <w:tc>
          <w:tcPr>
            <w:tcW w:w="7710" w:type="dxa"/>
            <w:gridSpan w:val="7"/>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股东蓝润发展控股集团有限公司通过东海证券股份有限公司客户信用交易担保证券账户持有34,000,000股；股东晟弘资产管理（珠海）有限公司通过广发证券股份有限公司客户信用交易担保证券账户持有29,376,135股；股东成都正骐投资管理有限公司－正骐消费一号私募证券投资基金通过国泰君安证券股份有限公司客户信用交易担保证券账户持有26,017,000股；股东上海鼎译智能科技有限公司通过长城证券股份有限公司客户信用交易担保证券账户持有21,116,171股；股东上海芬隆实业有限公司通过信达证券股份有限公司客户信用交易担保证券账户持有20,795,224股。</w:t>
            </w:r>
          </w:p>
        </w:tc>
      </w:tr>
    </w:tbl>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公司前10名普通股股东、前10名无限售条件普通股股东在报告期内是否进行约定购回交易</w:t>
      </w: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 xml:space="preserve">□是 </w:t>
      </w: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否</w:t>
      </w: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公司前10名普通股股东、前10名无限售条件普通股股东在报告期内未进行约定购回交易。</w:t>
      </w:r>
    </w:p>
    <w:p>
      <w:pPr>
        <w:pStyle w:val="2"/>
        <w:spacing w:before="300" w:after="300" w:line="320" w:lineRule="exact"/>
        <w:rPr>
          <w:rFonts w:ascii="Times New Roman" w:hAnsi="Times New Roman" w:eastAsia="宋体" w:cs="Times New Roman"/>
          <w:b/>
          <w:bCs/>
          <w:sz w:val="24"/>
          <w:szCs w:val="24"/>
        </w:rPr>
      </w:pPr>
      <w:bookmarkStart w:id="88" w:name="_Toc988977"/>
      <w:r>
        <w:rPr>
          <w:rFonts w:ascii="Times New Roman" w:hAnsi="Times New Roman" w:eastAsia="宋体" w:cs="Times New Roman"/>
          <w:b/>
          <w:bCs/>
          <w:sz w:val="24"/>
          <w:szCs w:val="24"/>
        </w:rPr>
        <w:t>四、董事、监事和高级管理人员持股变动</w:t>
      </w:r>
      <w:bookmarkEnd w:id="88"/>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适用 □不适用</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63"/>
        <w:gridCol w:w="1164"/>
        <w:gridCol w:w="764"/>
        <w:gridCol w:w="964"/>
        <w:gridCol w:w="964"/>
        <w:gridCol w:w="964"/>
        <w:gridCol w:w="964"/>
        <w:gridCol w:w="964"/>
        <w:gridCol w:w="964"/>
        <w:gridCol w:w="96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姓名</w:t>
            </w:r>
          </w:p>
        </w:tc>
        <w:tc>
          <w:tcPr>
            <w:tcW w:w="11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职务</w:t>
            </w:r>
          </w:p>
        </w:tc>
        <w:tc>
          <w:tcPr>
            <w:tcW w:w="7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任职状态</w:t>
            </w:r>
          </w:p>
        </w:tc>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期初持股数（股）</w:t>
            </w:r>
          </w:p>
        </w:tc>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本期增持股份数量（股）</w:t>
            </w:r>
          </w:p>
        </w:tc>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本期减持股份数量（股）</w:t>
            </w:r>
          </w:p>
        </w:tc>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期末持股数（股）</w:t>
            </w:r>
          </w:p>
        </w:tc>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期初被授予的限制性股票数量（股）</w:t>
            </w:r>
          </w:p>
        </w:tc>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本期被授予的限制性股票数量（股）</w:t>
            </w:r>
          </w:p>
        </w:tc>
        <w:tc>
          <w:tcPr>
            <w:tcW w:w="9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期末被授予的限制性股票数量（股）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杨晓初</w:t>
            </w:r>
          </w:p>
        </w:tc>
        <w:tc>
          <w:tcPr>
            <w:tcW w:w="1164"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董事长</w:t>
            </w:r>
          </w:p>
        </w:tc>
        <w:tc>
          <w:tcPr>
            <w:tcW w:w="764"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现任</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王豪杰</w:t>
            </w:r>
          </w:p>
        </w:tc>
        <w:tc>
          <w:tcPr>
            <w:tcW w:w="1164"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董事、总经理</w:t>
            </w:r>
          </w:p>
        </w:tc>
        <w:tc>
          <w:tcPr>
            <w:tcW w:w="764"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现任</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张瑞</w:t>
            </w:r>
          </w:p>
        </w:tc>
        <w:tc>
          <w:tcPr>
            <w:tcW w:w="1164"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董事、副总经理、董事会秘书</w:t>
            </w:r>
          </w:p>
        </w:tc>
        <w:tc>
          <w:tcPr>
            <w:tcW w:w="764"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现任</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1,092,000</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1,092,000</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祝波</w:t>
            </w:r>
          </w:p>
        </w:tc>
        <w:tc>
          <w:tcPr>
            <w:tcW w:w="1164"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董事</w:t>
            </w:r>
          </w:p>
        </w:tc>
        <w:tc>
          <w:tcPr>
            <w:tcW w:w="764"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现任</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周婧</w:t>
            </w:r>
          </w:p>
        </w:tc>
        <w:tc>
          <w:tcPr>
            <w:tcW w:w="1164"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独立董事</w:t>
            </w:r>
          </w:p>
        </w:tc>
        <w:tc>
          <w:tcPr>
            <w:tcW w:w="764"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现任</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余茂鑫</w:t>
            </w:r>
          </w:p>
        </w:tc>
        <w:tc>
          <w:tcPr>
            <w:tcW w:w="1164"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独立董事</w:t>
            </w:r>
          </w:p>
        </w:tc>
        <w:tc>
          <w:tcPr>
            <w:tcW w:w="764"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现任</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杨帆</w:t>
            </w:r>
          </w:p>
        </w:tc>
        <w:tc>
          <w:tcPr>
            <w:tcW w:w="1164"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独立董事</w:t>
            </w:r>
          </w:p>
        </w:tc>
        <w:tc>
          <w:tcPr>
            <w:tcW w:w="764"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现任</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张玮</w:t>
            </w:r>
          </w:p>
        </w:tc>
        <w:tc>
          <w:tcPr>
            <w:tcW w:w="1164"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监事会主席</w:t>
            </w:r>
          </w:p>
        </w:tc>
        <w:tc>
          <w:tcPr>
            <w:tcW w:w="764"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现任</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张楠</w:t>
            </w:r>
          </w:p>
        </w:tc>
        <w:tc>
          <w:tcPr>
            <w:tcW w:w="1164"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监事</w:t>
            </w:r>
          </w:p>
        </w:tc>
        <w:tc>
          <w:tcPr>
            <w:tcW w:w="764"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现任</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吴战宗</w:t>
            </w:r>
          </w:p>
        </w:tc>
        <w:tc>
          <w:tcPr>
            <w:tcW w:w="1164"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职工代表监事</w:t>
            </w:r>
          </w:p>
        </w:tc>
        <w:tc>
          <w:tcPr>
            <w:tcW w:w="764"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现任</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刘婧</w:t>
            </w:r>
          </w:p>
        </w:tc>
        <w:tc>
          <w:tcPr>
            <w:tcW w:w="1164"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副总经理</w:t>
            </w:r>
          </w:p>
        </w:tc>
        <w:tc>
          <w:tcPr>
            <w:tcW w:w="764"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现任</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张凌</w:t>
            </w:r>
          </w:p>
        </w:tc>
        <w:tc>
          <w:tcPr>
            <w:tcW w:w="1164"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财务总监</w:t>
            </w:r>
          </w:p>
        </w:tc>
        <w:tc>
          <w:tcPr>
            <w:tcW w:w="764"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现任</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余宇</w:t>
            </w:r>
          </w:p>
        </w:tc>
        <w:tc>
          <w:tcPr>
            <w:tcW w:w="1164"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董事长</w:t>
            </w:r>
          </w:p>
        </w:tc>
        <w:tc>
          <w:tcPr>
            <w:tcW w:w="764"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离任</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1,638,000</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1,638,000</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合计</w:t>
            </w:r>
          </w:p>
        </w:tc>
        <w:tc>
          <w:tcPr>
            <w:tcW w:w="11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w:t>
            </w:r>
          </w:p>
        </w:tc>
        <w:tc>
          <w:tcPr>
            <w:tcW w:w="76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2,730,000</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2,730,000</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w:t>
            </w:r>
          </w:p>
        </w:tc>
        <w:tc>
          <w:tcPr>
            <w:tcW w:w="96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w:t>
            </w:r>
          </w:p>
        </w:tc>
      </w:tr>
    </w:tbl>
    <w:p>
      <w:pPr>
        <w:pStyle w:val="2"/>
        <w:spacing w:before="300" w:after="300" w:line="320" w:lineRule="exact"/>
        <w:rPr>
          <w:rFonts w:ascii="Times New Roman" w:hAnsi="Times New Roman" w:eastAsia="宋体" w:cs="Times New Roman"/>
          <w:b/>
          <w:bCs/>
          <w:sz w:val="24"/>
          <w:szCs w:val="24"/>
        </w:rPr>
      </w:pPr>
      <w:bookmarkStart w:id="89" w:name="_Toc988978"/>
      <w:r>
        <w:rPr>
          <w:rFonts w:ascii="Times New Roman" w:hAnsi="Times New Roman" w:eastAsia="宋体" w:cs="Times New Roman"/>
          <w:b/>
          <w:bCs/>
          <w:sz w:val="24"/>
          <w:szCs w:val="24"/>
        </w:rPr>
        <w:t>五、控股股东或实际控制人变更情况</w:t>
      </w:r>
      <w:bookmarkEnd w:id="89"/>
    </w:p>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控股股东报告期内变更</w:t>
      </w:r>
    </w:p>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 xml:space="preserve">□适用 </w:t>
      </w: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不适用</w:t>
      </w:r>
    </w:p>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公司报告期控股股东未发生变更。</w:t>
      </w: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实际控制人报告期内变更</w:t>
      </w:r>
    </w:p>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 xml:space="preserve">□适用 </w:t>
      </w: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不适用</w:t>
      </w:r>
    </w:p>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公司报告期实际控制人未发生变更。</w:t>
      </w:r>
    </w:p>
    <w:p>
      <w:pPr>
        <w:rPr>
          <w:rFonts w:ascii="Times New Roman" w:hAnsi="Times New Roman" w:cs="Times New Roman"/>
        </w:rPr>
      </w:pPr>
      <w:r>
        <w:rPr>
          <w:rFonts w:ascii="Times New Roman" w:hAnsi="Times New Roman" w:cs="Times New Roman"/>
        </w:rPr>
        <w:br w:type="page"/>
      </w:r>
    </w:p>
    <w:p>
      <w:pPr>
        <w:pStyle w:val="13"/>
        <w:spacing w:before="340" w:after="330" w:line="773" w:lineRule="exact"/>
        <w:jc w:val="center"/>
        <w:rPr>
          <w:rFonts w:ascii="Times New Roman" w:hAnsi="Times New Roman" w:eastAsia="宋体" w:cs="Times New Roman"/>
          <w:b/>
          <w:bCs/>
          <w:sz w:val="32"/>
          <w:szCs w:val="32"/>
        </w:rPr>
      </w:pPr>
      <w:bookmarkStart w:id="90" w:name="_Toc988979"/>
      <w:r>
        <w:rPr>
          <w:rFonts w:ascii="Times New Roman" w:hAnsi="Times New Roman" w:eastAsia="宋体" w:cs="Times New Roman"/>
          <w:b/>
          <w:bCs/>
          <w:sz w:val="32"/>
          <w:szCs w:val="32"/>
        </w:rPr>
        <w:t>第八节 优先股相关情况</w:t>
      </w:r>
      <w:bookmarkEnd w:id="90"/>
    </w:p>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 xml:space="preserve">□适用 </w:t>
      </w: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不适用</w:t>
      </w:r>
    </w:p>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报告期公司不存在优先股。</w:t>
      </w:r>
    </w:p>
    <w:p>
      <w:pPr>
        <w:rPr>
          <w:rFonts w:ascii="Times New Roman" w:hAnsi="Times New Roman" w:cs="Times New Roman"/>
        </w:rPr>
      </w:pPr>
      <w:r>
        <w:rPr>
          <w:rFonts w:ascii="Times New Roman" w:hAnsi="Times New Roman" w:cs="Times New Roman"/>
        </w:rPr>
        <w:br w:type="page"/>
      </w:r>
    </w:p>
    <w:p>
      <w:pPr>
        <w:pStyle w:val="13"/>
        <w:spacing w:before="340" w:after="330" w:line="773" w:lineRule="exact"/>
        <w:jc w:val="center"/>
        <w:rPr>
          <w:rFonts w:ascii="Times New Roman" w:hAnsi="Times New Roman" w:eastAsia="宋体" w:cs="Times New Roman"/>
          <w:b/>
          <w:bCs/>
          <w:sz w:val="32"/>
          <w:szCs w:val="32"/>
        </w:rPr>
      </w:pPr>
      <w:bookmarkStart w:id="91" w:name="_Toc988980"/>
      <w:r>
        <w:rPr>
          <w:rFonts w:ascii="Times New Roman" w:hAnsi="Times New Roman" w:eastAsia="宋体" w:cs="Times New Roman"/>
          <w:b/>
          <w:bCs/>
          <w:sz w:val="32"/>
          <w:szCs w:val="32"/>
        </w:rPr>
        <w:t>第九节 债券相关情况</w:t>
      </w:r>
      <w:bookmarkEnd w:id="91"/>
    </w:p>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适用 □不适用</w:t>
      </w:r>
    </w:p>
    <w:p>
      <w:pPr>
        <w:pStyle w:val="2"/>
        <w:spacing w:before="300" w:after="300" w:line="320" w:lineRule="exact"/>
        <w:rPr>
          <w:rFonts w:ascii="Times New Roman" w:hAnsi="Times New Roman" w:eastAsia="宋体" w:cs="Times New Roman"/>
          <w:b/>
          <w:bCs/>
          <w:sz w:val="24"/>
          <w:szCs w:val="24"/>
        </w:rPr>
      </w:pPr>
      <w:bookmarkStart w:id="92" w:name="_Toc988981"/>
      <w:r>
        <w:rPr>
          <w:rFonts w:ascii="Times New Roman" w:hAnsi="Times New Roman" w:eastAsia="宋体" w:cs="Times New Roman"/>
          <w:b/>
          <w:bCs/>
          <w:sz w:val="24"/>
          <w:szCs w:val="24"/>
        </w:rPr>
        <w:t>一、企业债券</w:t>
      </w:r>
      <w:bookmarkEnd w:id="92"/>
    </w:p>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 xml:space="preserve">□适用 </w:t>
      </w: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不适用</w:t>
      </w:r>
    </w:p>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报告期公司不存在企业债券。</w:t>
      </w:r>
    </w:p>
    <w:p>
      <w:pPr>
        <w:pStyle w:val="2"/>
        <w:spacing w:before="300" w:after="300" w:line="320" w:lineRule="exact"/>
        <w:rPr>
          <w:rFonts w:ascii="Times New Roman" w:hAnsi="Times New Roman" w:eastAsia="宋体" w:cs="Times New Roman"/>
          <w:b/>
          <w:bCs/>
          <w:sz w:val="24"/>
          <w:szCs w:val="24"/>
        </w:rPr>
      </w:pPr>
      <w:bookmarkStart w:id="93" w:name="_Toc988982"/>
      <w:r>
        <w:rPr>
          <w:rFonts w:ascii="Times New Roman" w:hAnsi="Times New Roman" w:eastAsia="宋体" w:cs="Times New Roman"/>
          <w:b/>
          <w:bCs/>
          <w:sz w:val="24"/>
          <w:szCs w:val="24"/>
        </w:rPr>
        <w:t>二、公司债券</w:t>
      </w:r>
      <w:bookmarkEnd w:id="93"/>
    </w:p>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 xml:space="preserve">□适用 </w:t>
      </w: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不适用</w:t>
      </w:r>
    </w:p>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报告期公司不存在公司债券。</w:t>
      </w:r>
    </w:p>
    <w:p>
      <w:pPr>
        <w:pStyle w:val="2"/>
        <w:spacing w:before="300" w:after="300" w:line="320" w:lineRule="exact"/>
        <w:rPr>
          <w:rFonts w:ascii="Times New Roman" w:hAnsi="Times New Roman" w:eastAsia="宋体" w:cs="Times New Roman"/>
          <w:b/>
          <w:bCs/>
          <w:sz w:val="24"/>
          <w:szCs w:val="24"/>
        </w:rPr>
      </w:pPr>
      <w:bookmarkStart w:id="94" w:name="_Toc988983"/>
      <w:r>
        <w:rPr>
          <w:rFonts w:ascii="Times New Roman" w:hAnsi="Times New Roman" w:eastAsia="宋体" w:cs="Times New Roman"/>
          <w:b/>
          <w:bCs/>
          <w:sz w:val="24"/>
          <w:szCs w:val="24"/>
        </w:rPr>
        <w:t>三、非金融企业债务融资工具</w:t>
      </w:r>
      <w:bookmarkEnd w:id="94"/>
    </w:p>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 xml:space="preserve">□适用 </w:t>
      </w: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不适用</w:t>
      </w:r>
    </w:p>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报告期公司不存在非金融企业债务融资工具。</w:t>
      </w:r>
    </w:p>
    <w:p>
      <w:pPr>
        <w:pStyle w:val="2"/>
        <w:spacing w:before="300" w:after="300" w:line="320" w:lineRule="exact"/>
        <w:rPr>
          <w:rFonts w:ascii="Times New Roman" w:hAnsi="Times New Roman" w:eastAsia="宋体" w:cs="Times New Roman"/>
          <w:b/>
          <w:bCs/>
          <w:sz w:val="24"/>
          <w:szCs w:val="24"/>
        </w:rPr>
      </w:pPr>
      <w:bookmarkStart w:id="95" w:name="_Toc988984"/>
      <w:r>
        <w:rPr>
          <w:rFonts w:ascii="Times New Roman" w:hAnsi="Times New Roman" w:eastAsia="宋体" w:cs="Times New Roman"/>
          <w:b/>
          <w:bCs/>
          <w:sz w:val="24"/>
          <w:szCs w:val="24"/>
        </w:rPr>
        <w:t>四、可转换公司债券</w:t>
      </w:r>
      <w:bookmarkEnd w:id="95"/>
    </w:p>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适用 □不适用</w:t>
      </w:r>
    </w:p>
    <w:p>
      <w:pPr>
        <w:pStyle w:val="3"/>
        <w:spacing w:line="280" w:lineRule="exact"/>
        <w:jc w:val="left"/>
        <w:rPr>
          <w:rFonts w:ascii="Times New Roman" w:hAnsi="Times New Roman" w:cs="Times New Roman"/>
          <w:b/>
          <w:bCs/>
        </w:rPr>
      </w:pPr>
      <w:bookmarkStart w:id="96" w:name="_Toc988985"/>
      <w:r>
        <w:rPr>
          <w:rFonts w:ascii="Times New Roman" w:hAnsi="Times New Roman" w:cs="Times New Roman"/>
          <w:b/>
          <w:bCs/>
        </w:rPr>
        <w:t>1、转股价格历次调整、修正情况</w:t>
      </w:r>
      <w:bookmarkEnd w:id="96"/>
    </w:p>
    <w:p>
      <w:pPr>
        <w:pStyle w:val="8"/>
        <w:spacing w:before="0" w:beforeAutospacing="0" w:after="0" w:afterAutospacing="0"/>
        <w:ind w:firstLine="420"/>
        <w:rPr>
          <w:rFonts w:ascii="Times New Roman" w:hAnsi="Times New Roman" w:eastAsia="等线" w:cs="Times New Roman"/>
          <w:sz w:val="21"/>
          <w:szCs w:val="21"/>
        </w:rPr>
      </w:pPr>
      <w:r>
        <w:rPr>
          <w:rFonts w:ascii="Times New Roman" w:hAnsi="Times New Roman" w:cs="Times New Roman"/>
          <w:sz w:val="18"/>
          <w:szCs w:val="18"/>
        </w:rPr>
        <w:t>经中国证券监督管理委员会“证监许可[2020]1077号”核准，公司于2020年7月13日公开发行了950万张可转换公司债券，每张面值100元，发行总额95,000.00万元，期限6年。经深交所“深证上[2020]683号”文同意，公司95,000.00万元可转换公司债券于2020年8月7日起在深交所挂牌交易，债券简称“龙大转债”，债券代码“128119.SZ”。</w:t>
      </w:r>
    </w:p>
    <w:p>
      <w:pPr>
        <w:pStyle w:val="8"/>
        <w:spacing w:before="0" w:beforeAutospacing="0" w:after="0" w:afterAutospacing="0"/>
        <w:ind w:firstLine="360"/>
        <w:rPr>
          <w:rFonts w:ascii="Times New Roman" w:hAnsi="Times New Roman" w:eastAsia="等线" w:cs="Times New Roman"/>
          <w:sz w:val="21"/>
          <w:szCs w:val="21"/>
        </w:rPr>
      </w:pPr>
      <w:r>
        <w:rPr>
          <w:rFonts w:ascii="Times New Roman" w:hAnsi="Times New Roman" w:cs="Times New Roman"/>
          <w:sz w:val="18"/>
          <w:szCs w:val="18"/>
        </w:rPr>
        <w:t>根据有关规定和公司《公开发行可转换债券募集说明书》的规定，公司本次发行的“龙大转债”自2021年1月18日起可转换为公司股份，转股期为2021年1月18日至2026年7月12日。“龙大转债”初始转股价格为人民币9.56元/股。</w:t>
      </w:r>
    </w:p>
    <w:p>
      <w:pPr>
        <w:pStyle w:val="8"/>
        <w:spacing w:before="0" w:beforeAutospacing="0" w:after="0" w:afterAutospacing="0"/>
        <w:ind w:firstLine="360"/>
        <w:rPr>
          <w:rFonts w:ascii="Times New Roman" w:hAnsi="Times New Roman" w:eastAsia="等线" w:cs="Times New Roman"/>
          <w:sz w:val="21"/>
          <w:szCs w:val="21"/>
        </w:rPr>
      </w:pPr>
      <w:r>
        <w:rPr>
          <w:rFonts w:ascii="Times New Roman" w:hAnsi="Times New Roman" w:cs="Times New Roman"/>
          <w:sz w:val="18"/>
          <w:szCs w:val="18"/>
        </w:rPr>
        <w:t>因公司实施完成了3名股权激励对象限制性股票的回购注销事宜，公司总股本发生变化。根据公司可转换公司债券转股价格调整的相关条款，“龙大转债”的转股价由初始转股价格9.56元/股调整为9.57元/股。调整后的转股价格自2020年12月14日起生效。</w:t>
      </w:r>
    </w:p>
    <w:p>
      <w:pPr>
        <w:pStyle w:val="8"/>
        <w:spacing w:before="0" w:beforeAutospacing="0" w:after="0" w:afterAutospacing="0"/>
        <w:ind w:firstLine="360"/>
        <w:rPr>
          <w:rFonts w:ascii="Times New Roman" w:hAnsi="Times New Roman" w:eastAsia="等线" w:cs="Times New Roman"/>
          <w:sz w:val="21"/>
          <w:szCs w:val="21"/>
        </w:rPr>
      </w:pPr>
      <w:r>
        <w:rPr>
          <w:rFonts w:ascii="Times New Roman" w:hAnsi="Times New Roman" w:cs="Times New Roman"/>
          <w:sz w:val="18"/>
          <w:szCs w:val="18"/>
        </w:rPr>
        <w:t>2021年4月30日，公司实施完成了2020年度权益分派方案。根据公司可转换公司债券转股价格调整的相关条款，“龙大转债”的转股价格由9.57元/股调整为9.38元/股。调整后的转股价格自2021年4月30日起生效。</w:t>
      </w:r>
    </w:p>
    <w:p>
      <w:pPr>
        <w:pStyle w:val="8"/>
        <w:spacing w:before="0" w:beforeAutospacing="0" w:after="0" w:afterAutospacing="0"/>
        <w:ind w:firstLine="360"/>
        <w:rPr>
          <w:rFonts w:ascii="Times New Roman" w:hAnsi="Times New Roman" w:eastAsia="等线" w:cs="Times New Roman"/>
          <w:sz w:val="21"/>
          <w:szCs w:val="21"/>
        </w:rPr>
      </w:pPr>
      <w:r>
        <w:rPr>
          <w:rFonts w:ascii="Times New Roman" w:hAnsi="Times New Roman" w:cs="Times New Roman"/>
          <w:sz w:val="18"/>
          <w:szCs w:val="18"/>
        </w:rPr>
        <w:t>自前次转股价格调整日2021年4月30日起至2021年8月2日，公司总股本因激励对象自主行权以及公司非公开发行股票上市成功发生变化，根据公司可转换公司债券转股价格调整的相关条款，“龙大转债”的转股价由9.38元/股调整为9.29元/股。调整后的转股价格自2021年8月12日起生效。</w:t>
      </w:r>
    </w:p>
    <w:p>
      <w:pPr>
        <w:pStyle w:val="8"/>
        <w:spacing w:before="0" w:beforeAutospacing="0" w:after="0" w:afterAutospacing="0"/>
        <w:ind w:firstLine="360"/>
        <w:rPr>
          <w:rFonts w:ascii="Times New Roman" w:hAnsi="Times New Roman" w:eastAsia="等线" w:cs="Times New Roman"/>
          <w:sz w:val="21"/>
          <w:szCs w:val="21"/>
        </w:rPr>
      </w:pPr>
      <w:r>
        <w:rPr>
          <w:rFonts w:ascii="Times New Roman" w:hAnsi="Times New Roman" w:cs="Times New Roman"/>
          <w:sz w:val="18"/>
          <w:szCs w:val="18"/>
        </w:rPr>
        <w:t>自前次转股价格调整日至2022年3月28日，公司总股本因激励对象自主行权以及限制性股票回购注销而发生变化，根据公司可转换公司债券转股价格调整的相关条款，“龙大转债”的转股价由9.29元/股调整为9.28元/股。调整后的转股价格自2022年3月31日起生效。</w:t>
      </w:r>
    </w:p>
    <w:p>
      <w:pPr>
        <w:pStyle w:val="8"/>
        <w:spacing w:before="0" w:beforeAutospacing="0" w:after="0" w:afterAutospacing="0"/>
        <w:rPr>
          <w:rFonts w:ascii="Times New Roman" w:hAnsi="Times New Roman" w:eastAsia="等线" w:cs="Times New Roman"/>
          <w:sz w:val="21"/>
          <w:szCs w:val="21"/>
        </w:rPr>
      </w:pPr>
      <w:r>
        <w:rPr>
          <w:rFonts w:ascii="Times New Roman" w:hAnsi="Times New Roman" w:cs="Times New Roman"/>
          <w:sz w:val="18"/>
          <w:szCs w:val="18"/>
        </w:rPr>
        <w:t>自前次转股价格调整日至2022年8月1</w:t>
      </w:r>
      <w:r>
        <w:rPr>
          <w:rFonts w:ascii="Times New Roman" w:hAnsi="Times New Roman" w:eastAsia="等线" w:cs="Times New Roman"/>
          <w:sz w:val="18"/>
          <w:szCs w:val="18"/>
        </w:rPr>
        <w:t>7</w:t>
      </w:r>
      <w:r>
        <w:rPr>
          <w:rFonts w:ascii="Times New Roman" w:hAnsi="Times New Roman" w:cs="Times New Roman"/>
          <w:sz w:val="18"/>
          <w:szCs w:val="18"/>
        </w:rPr>
        <w:t>日，公司总股本因激励对象自主行权以及限制性股票回购注销而发生变化，根据公司可转换公司债券转股价格调整的相关条款，“龙大转债”的转股价由9.28元/股调整为9.30元/股。调整后的转股价格自2022年8月19日起生效。</w:t>
      </w:r>
    </w:p>
    <w:p>
      <w:pPr>
        <w:pStyle w:val="3"/>
        <w:spacing w:line="280" w:lineRule="exact"/>
        <w:jc w:val="left"/>
        <w:rPr>
          <w:rFonts w:ascii="Times New Roman" w:hAnsi="Times New Roman" w:cs="Times New Roman"/>
          <w:b/>
          <w:bCs/>
        </w:rPr>
      </w:pPr>
      <w:bookmarkStart w:id="97" w:name="_Toc988986"/>
      <w:r>
        <w:rPr>
          <w:rFonts w:ascii="Times New Roman" w:hAnsi="Times New Roman" w:cs="Times New Roman"/>
          <w:b/>
          <w:bCs/>
        </w:rPr>
        <w:t>2、累计转股情况</w:t>
      </w:r>
      <w:bookmarkEnd w:id="97"/>
    </w:p>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适用 □不适用</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71"/>
        <w:gridCol w:w="1071"/>
        <w:gridCol w:w="1071"/>
        <w:gridCol w:w="1071"/>
        <w:gridCol w:w="1071"/>
        <w:gridCol w:w="1071"/>
        <w:gridCol w:w="1071"/>
        <w:gridCol w:w="1071"/>
        <w:gridCol w:w="107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转债简称</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转股起止日期</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发行总量（张）</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发行总金额</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累计转股金额（元）</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累计转股数</w:t>
            </w:r>
          </w:p>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（股）</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转股数量占转股开始日前公司已发行股份总额的比例</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尚未转股金额(元)</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未转股金额占发行总金额的比例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龙大转债</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2021年1月18日至2026年7月12日</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9,500,000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950,000,000.00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3,942,300.00</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417,958</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0.04%</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946,057,700.00</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99.59%</w:t>
            </w:r>
          </w:p>
        </w:tc>
      </w:tr>
    </w:tbl>
    <w:p>
      <w:pPr>
        <w:pStyle w:val="3"/>
        <w:spacing w:line="280" w:lineRule="exact"/>
        <w:jc w:val="left"/>
        <w:rPr>
          <w:rFonts w:ascii="Times New Roman" w:hAnsi="Times New Roman" w:cs="Times New Roman"/>
          <w:b/>
          <w:bCs/>
        </w:rPr>
      </w:pPr>
      <w:bookmarkStart w:id="98" w:name="_Toc988987"/>
      <w:r>
        <w:rPr>
          <w:rFonts w:ascii="Times New Roman" w:hAnsi="Times New Roman" w:cs="Times New Roman"/>
          <w:b/>
          <w:bCs/>
        </w:rPr>
        <w:t>3、前十名可转债持有人情况</w:t>
      </w:r>
      <w:bookmarkEnd w:id="98"/>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09"/>
        <w:gridCol w:w="2693"/>
        <w:gridCol w:w="1560"/>
        <w:gridCol w:w="1463"/>
        <w:gridCol w:w="1607"/>
        <w:gridCol w:w="160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0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序号</w:t>
            </w:r>
          </w:p>
        </w:tc>
        <w:tc>
          <w:tcPr>
            <w:tcW w:w="269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可转债持有人名称</w:t>
            </w:r>
          </w:p>
        </w:tc>
        <w:tc>
          <w:tcPr>
            <w:tcW w:w="156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可转债持有人性质</w:t>
            </w:r>
          </w:p>
        </w:tc>
        <w:tc>
          <w:tcPr>
            <w:tcW w:w="146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报告期末持有可转债数量（张）</w:t>
            </w:r>
          </w:p>
        </w:tc>
        <w:tc>
          <w:tcPr>
            <w:tcW w:w="160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报告期末持有可转债金额（元）</w:t>
            </w:r>
          </w:p>
        </w:tc>
        <w:tc>
          <w:tcPr>
            <w:tcW w:w="160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报告期末持有可转债占比</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0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1</w:t>
            </w:r>
          </w:p>
        </w:tc>
        <w:tc>
          <w:tcPr>
            <w:tcW w:w="269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中国民生银行股份有限公司－光大保德信信用添益债券型证券投资基金</w:t>
            </w:r>
          </w:p>
        </w:tc>
        <w:tc>
          <w:tcPr>
            <w:tcW w:w="156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境内非国有法人</w:t>
            </w:r>
          </w:p>
        </w:tc>
        <w:tc>
          <w:tcPr>
            <w:tcW w:w="14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861,354</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86,135,400.00</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9.10%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0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2</w:t>
            </w:r>
          </w:p>
        </w:tc>
        <w:tc>
          <w:tcPr>
            <w:tcW w:w="269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中国银行股份有限公司－易方达稳健收益债券型证券投资基金</w:t>
            </w:r>
          </w:p>
        </w:tc>
        <w:tc>
          <w:tcPr>
            <w:tcW w:w="156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境内非国有法人</w:t>
            </w:r>
          </w:p>
        </w:tc>
        <w:tc>
          <w:tcPr>
            <w:tcW w:w="14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550,366</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55,036,600.00</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5.82%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0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3</w:t>
            </w:r>
          </w:p>
        </w:tc>
        <w:tc>
          <w:tcPr>
            <w:tcW w:w="269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西北投资管理（香港）有限公司－西北飞龙基金有限公司</w:t>
            </w:r>
          </w:p>
        </w:tc>
        <w:tc>
          <w:tcPr>
            <w:tcW w:w="156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境外法人</w:t>
            </w:r>
          </w:p>
        </w:tc>
        <w:tc>
          <w:tcPr>
            <w:tcW w:w="14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465,099</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46,509,900.00</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4.92%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0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4</w:t>
            </w:r>
          </w:p>
        </w:tc>
        <w:tc>
          <w:tcPr>
            <w:tcW w:w="269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中金宏泰可转债固定收益型养老金产品－中国工商银行股份有限公司</w:t>
            </w:r>
          </w:p>
        </w:tc>
        <w:tc>
          <w:tcPr>
            <w:tcW w:w="156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境内非国有法人</w:t>
            </w:r>
          </w:p>
        </w:tc>
        <w:tc>
          <w:tcPr>
            <w:tcW w:w="14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457,717</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45,771,700.00</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4.84%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0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5</w:t>
            </w:r>
          </w:p>
        </w:tc>
        <w:tc>
          <w:tcPr>
            <w:tcW w:w="269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东吴证券股份有限公司</w:t>
            </w:r>
          </w:p>
        </w:tc>
        <w:tc>
          <w:tcPr>
            <w:tcW w:w="156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国有法人</w:t>
            </w:r>
          </w:p>
        </w:tc>
        <w:tc>
          <w:tcPr>
            <w:tcW w:w="14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311,010</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31,101,000.00</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3.29%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0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6</w:t>
            </w:r>
          </w:p>
        </w:tc>
        <w:tc>
          <w:tcPr>
            <w:tcW w:w="269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中国农业银行股份有限公司－鹏华可转债债券型证券投资基金</w:t>
            </w:r>
          </w:p>
        </w:tc>
        <w:tc>
          <w:tcPr>
            <w:tcW w:w="156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境内非国有法人</w:t>
            </w:r>
          </w:p>
        </w:tc>
        <w:tc>
          <w:tcPr>
            <w:tcW w:w="14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301,375</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30,137,500.00</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3.19%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0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7</w:t>
            </w:r>
          </w:p>
        </w:tc>
        <w:tc>
          <w:tcPr>
            <w:tcW w:w="269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中国工商银行－富国天利增长债券投资基金</w:t>
            </w:r>
          </w:p>
        </w:tc>
        <w:tc>
          <w:tcPr>
            <w:tcW w:w="156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境内非国有法人</w:t>
            </w:r>
          </w:p>
        </w:tc>
        <w:tc>
          <w:tcPr>
            <w:tcW w:w="14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254,248</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25,424,800.00</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2.69%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0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8</w:t>
            </w:r>
          </w:p>
        </w:tc>
        <w:tc>
          <w:tcPr>
            <w:tcW w:w="269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国寿养老安享鑫祺混合型养老金产品－中国工商银行股份有限公司</w:t>
            </w:r>
          </w:p>
        </w:tc>
        <w:tc>
          <w:tcPr>
            <w:tcW w:w="156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境内非国有法人</w:t>
            </w:r>
          </w:p>
        </w:tc>
        <w:tc>
          <w:tcPr>
            <w:tcW w:w="14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188,711</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18,871,100.00</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1.99%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0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9</w:t>
            </w:r>
          </w:p>
        </w:tc>
        <w:tc>
          <w:tcPr>
            <w:tcW w:w="269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UBS AG</w:t>
            </w:r>
          </w:p>
        </w:tc>
        <w:tc>
          <w:tcPr>
            <w:tcW w:w="156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境外法人</w:t>
            </w:r>
          </w:p>
        </w:tc>
        <w:tc>
          <w:tcPr>
            <w:tcW w:w="14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168,040</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16,804,000.00</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1.78%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0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10</w:t>
            </w:r>
          </w:p>
        </w:tc>
        <w:tc>
          <w:tcPr>
            <w:tcW w:w="269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中信银行股份有限公司－信澳信用债债券型证券投资基金</w:t>
            </w:r>
          </w:p>
        </w:tc>
        <w:tc>
          <w:tcPr>
            <w:tcW w:w="156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境内非国有法人</w:t>
            </w:r>
          </w:p>
        </w:tc>
        <w:tc>
          <w:tcPr>
            <w:tcW w:w="14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166,000</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16,600,000.00</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1.75%</w:t>
            </w:r>
          </w:p>
        </w:tc>
      </w:tr>
    </w:tbl>
    <w:p>
      <w:pPr>
        <w:pStyle w:val="3"/>
        <w:spacing w:line="280" w:lineRule="exact"/>
        <w:jc w:val="left"/>
        <w:rPr>
          <w:rFonts w:ascii="Times New Roman" w:hAnsi="Times New Roman" w:cs="Times New Roman"/>
          <w:b/>
          <w:bCs/>
        </w:rPr>
      </w:pPr>
      <w:bookmarkStart w:id="99" w:name="_Toc988988"/>
      <w:r>
        <w:rPr>
          <w:rFonts w:ascii="Times New Roman" w:hAnsi="Times New Roman" w:cs="Times New Roman"/>
          <w:b/>
          <w:bCs/>
        </w:rPr>
        <w:t>4、担保人盈利能力、资产状况和信用状况发生重大变化的情况</w:t>
      </w:r>
      <w:bookmarkEnd w:id="99"/>
    </w:p>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 xml:space="preserve">□适用 </w:t>
      </w: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不适用</w:t>
      </w:r>
    </w:p>
    <w:p>
      <w:pPr>
        <w:pStyle w:val="3"/>
        <w:spacing w:line="280" w:lineRule="exact"/>
        <w:jc w:val="left"/>
        <w:rPr>
          <w:rFonts w:ascii="Times New Roman" w:hAnsi="Times New Roman" w:cs="Times New Roman"/>
          <w:b/>
          <w:bCs/>
        </w:rPr>
      </w:pPr>
      <w:bookmarkStart w:id="100" w:name="_Toc988989"/>
      <w:r>
        <w:rPr>
          <w:rFonts w:ascii="Times New Roman" w:hAnsi="Times New Roman" w:cs="Times New Roman"/>
          <w:b/>
          <w:bCs/>
        </w:rPr>
        <w:t>5、报告期末公司的负债情况、资信变化情况以及在未来年度还债的现金安排</w:t>
      </w:r>
      <w:bookmarkEnd w:id="100"/>
    </w:p>
    <w:p>
      <w:pPr>
        <w:pStyle w:val="8"/>
        <w:spacing w:beforeAutospacing="0" w:afterAutospacing="0"/>
        <w:rPr>
          <w:rFonts w:ascii="Times New Roman" w:hAnsi="Times New Roman" w:cs="Times New Roman"/>
        </w:rPr>
      </w:pPr>
      <w:r>
        <w:rPr>
          <w:rFonts w:ascii="Times New Roman" w:hAnsi="Times New Roman" w:cs="Times New Roman"/>
          <w:sz w:val="18"/>
          <w:szCs w:val="18"/>
        </w:rPr>
        <w:t>（1）报告期末公司的会计指标详见本报告“第九节 债券相关情况”。</w:t>
      </w:r>
    </w:p>
    <w:p>
      <w:pPr>
        <w:pStyle w:val="8"/>
        <w:spacing w:beforeAutospacing="0" w:afterAutospacing="0"/>
        <w:rPr>
          <w:rFonts w:ascii="Times New Roman" w:hAnsi="Times New Roman" w:cs="Times New Roman"/>
        </w:rPr>
      </w:pPr>
      <w:r>
        <w:rPr>
          <w:rFonts w:ascii="Times New Roman" w:hAnsi="Times New Roman" w:cs="Times New Roman"/>
          <w:sz w:val="18"/>
          <w:szCs w:val="18"/>
        </w:rPr>
        <w:t>（2）本年度可转债资信评级情况</w:t>
      </w:r>
    </w:p>
    <w:p>
      <w:pPr>
        <w:pStyle w:val="8"/>
        <w:spacing w:before="0" w:beforeAutospacing="0" w:after="0" w:afterAutospacing="0"/>
        <w:ind w:firstLine="360"/>
        <w:rPr>
          <w:rFonts w:ascii="Times New Roman" w:hAnsi="Times New Roman" w:eastAsia="等线" w:cs="Times New Roman"/>
          <w:sz w:val="21"/>
          <w:szCs w:val="21"/>
        </w:rPr>
      </w:pPr>
      <w:r>
        <w:rPr>
          <w:rFonts w:ascii="Times New Roman" w:hAnsi="Times New Roman" w:cs="Times New Roman"/>
          <w:sz w:val="18"/>
          <w:szCs w:val="18"/>
        </w:rPr>
        <w:t>202</w:t>
      </w:r>
      <w:r>
        <w:rPr>
          <w:rFonts w:ascii="Times New Roman" w:hAnsi="Times New Roman" w:eastAsia="等线" w:cs="Times New Roman"/>
          <w:sz w:val="18"/>
          <w:szCs w:val="18"/>
        </w:rPr>
        <w:t>3</w:t>
      </w:r>
      <w:r>
        <w:rPr>
          <w:rFonts w:ascii="Times New Roman" w:hAnsi="Times New Roman" w:cs="Times New Roman"/>
          <w:sz w:val="18"/>
          <w:szCs w:val="18"/>
        </w:rPr>
        <w:t>年6月21日，联合资信评估股份有限公司出具了《山东龙大美食股份有限公司公开发行可转换公司债券2023年跟踪评级报告》，评定公司主体长期信用等级为AA-，评级展望为“稳定”。公司公开发行的“龙大转债”的债券信用等级为AA-。本期可转债信用等级维持AA-，评级展望维持为稳定。</w:t>
      </w:r>
    </w:p>
    <w:p>
      <w:pPr>
        <w:pStyle w:val="2"/>
        <w:spacing w:before="300" w:after="300" w:line="320" w:lineRule="exact"/>
        <w:rPr>
          <w:rFonts w:ascii="Times New Roman" w:hAnsi="Times New Roman" w:eastAsia="宋体" w:cs="Times New Roman"/>
          <w:b/>
          <w:bCs/>
          <w:sz w:val="24"/>
          <w:szCs w:val="24"/>
        </w:rPr>
      </w:pPr>
      <w:bookmarkStart w:id="101" w:name="_Toc988990"/>
      <w:r>
        <w:rPr>
          <w:rFonts w:ascii="Times New Roman" w:hAnsi="Times New Roman" w:eastAsia="宋体" w:cs="Times New Roman"/>
          <w:b/>
          <w:bCs/>
          <w:sz w:val="24"/>
          <w:szCs w:val="24"/>
        </w:rPr>
        <w:t>五、报告期内合并报表范围亏损超过上年末净资产10%</w:t>
      </w:r>
      <w:bookmarkEnd w:id="101"/>
    </w:p>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 xml:space="preserve">□适用 </w:t>
      </w: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不适用</w:t>
      </w:r>
    </w:p>
    <w:p>
      <w:pPr>
        <w:pStyle w:val="2"/>
        <w:spacing w:before="300" w:after="300" w:line="320" w:lineRule="exact"/>
        <w:rPr>
          <w:rFonts w:ascii="Times New Roman" w:hAnsi="Times New Roman" w:eastAsia="宋体" w:cs="Times New Roman"/>
          <w:b/>
          <w:bCs/>
          <w:sz w:val="24"/>
          <w:szCs w:val="24"/>
        </w:rPr>
      </w:pPr>
      <w:bookmarkStart w:id="102" w:name="_Toc988991"/>
      <w:r>
        <w:rPr>
          <w:rFonts w:ascii="Times New Roman" w:hAnsi="Times New Roman" w:eastAsia="宋体" w:cs="Times New Roman"/>
          <w:b/>
          <w:bCs/>
          <w:sz w:val="24"/>
          <w:szCs w:val="24"/>
        </w:rPr>
        <w:t>六、截至报告期末公司近两年的主要会计数据和财务指标</w:t>
      </w:r>
      <w:bookmarkEnd w:id="102"/>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单位：万元</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09"/>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本报告期末</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上年末</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本报告期末比上年末增减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流动比率</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121.31</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133.49</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-9.12%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资产负债率</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61.92%</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56.08%</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5.84%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速动比率</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54.36</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76.25</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-28.71%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本报告期</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上年同期</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本报告期比上年同期增减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扣除非经常性损益后净利润</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-46,408.77</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8,912.69</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-620.70%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EBITDA全部债务比</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-14.17%</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7.80%</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-21.97%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利息保障倍数</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-8.84</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2.1</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-520.95%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现金利息保障倍数</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-6.46</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13.22</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-148.87%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EBITDA利息保障倍数</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-7.05</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3.27</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-315.60%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贷款偿还率</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100.00%</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100.00%</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利息偿付率</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100.00%</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100.00%</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r>
    </w:tbl>
    <w:p>
      <w:pPr>
        <w:rPr>
          <w:rFonts w:ascii="Times New Roman" w:hAnsi="Times New Roman" w:cs="Times New Roman"/>
        </w:rPr>
      </w:pPr>
      <w:r>
        <w:rPr>
          <w:rFonts w:ascii="Times New Roman" w:hAnsi="Times New Roman" w:cs="Times New Roman"/>
        </w:rPr>
        <w:br w:type="page"/>
      </w:r>
    </w:p>
    <w:p>
      <w:pPr>
        <w:pStyle w:val="13"/>
        <w:spacing w:before="340" w:after="330" w:line="773" w:lineRule="exact"/>
        <w:jc w:val="center"/>
        <w:rPr>
          <w:rFonts w:ascii="Times New Roman" w:hAnsi="Times New Roman" w:eastAsia="宋体" w:cs="Times New Roman"/>
          <w:b/>
          <w:bCs/>
          <w:sz w:val="32"/>
          <w:szCs w:val="32"/>
        </w:rPr>
      </w:pPr>
      <w:bookmarkStart w:id="103" w:name="_Toc988992"/>
      <w:r>
        <w:rPr>
          <w:rFonts w:ascii="Times New Roman" w:hAnsi="Times New Roman" w:eastAsia="宋体" w:cs="Times New Roman"/>
          <w:b/>
          <w:bCs/>
          <w:sz w:val="32"/>
          <w:szCs w:val="32"/>
        </w:rPr>
        <w:t>第十节 财务报告</w:t>
      </w:r>
      <w:bookmarkEnd w:id="103"/>
    </w:p>
    <w:p>
      <w:pPr>
        <w:pStyle w:val="2"/>
        <w:spacing w:before="300" w:after="300" w:line="320" w:lineRule="exact"/>
        <w:rPr>
          <w:rFonts w:ascii="Times New Roman" w:hAnsi="Times New Roman" w:eastAsia="宋体" w:cs="Times New Roman"/>
          <w:b/>
          <w:bCs/>
          <w:sz w:val="24"/>
          <w:szCs w:val="24"/>
        </w:rPr>
      </w:pPr>
      <w:bookmarkStart w:id="104" w:name="_Toc988993"/>
      <w:r>
        <w:rPr>
          <w:rFonts w:ascii="Times New Roman" w:hAnsi="Times New Roman" w:eastAsia="宋体" w:cs="Times New Roman"/>
          <w:b/>
          <w:bCs/>
          <w:sz w:val="24"/>
          <w:szCs w:val="24"/>
        </w:rPr>
        <w:t>一、审计报告</w:t>
      </w:r>
      <w:bookmarkEnd w:id="104"/>
    </w:p>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半年度报告是否经过审计</w:t>
      </w:r>
    </w:p>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 xml:space="preserve">□是 </w:t>
      </w: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否</w:t>
      </w:r>
    </w:p>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公司半年度财务报告未经审计。</w:t>
      </w:r>
    </w:p>
    <w:p>
      <w:pPr>
        <w:pStyle w:val="2"/>
        <w:spacing w:before="300" w:after="300" w:line="320" w:lineRule="exact"/>
        <w:rPr>
          <w:rFonts w:ascii="Times New Roman" w:hAnsi="Times New Roman" w:eastAsia="宋体" w:cs="Times New Roman"/>
          <w:b/>
          <w:bCs/>
          <w:sz w:val="24"/>
          <w:szCs w:val="24"/>
        </w:rPr>
      </w:pPr>
      <w:bookmarkStart w:id="105" w:name="_Toc988994"/>
      <w:r>
        <w:rPr>
          <w:rFonts w:ascii="Times New Roman" w:hAnsi="Times New Roman" w:eastAsia="宋体" w:cs="Times New Roman"/>
          <w:b/>
          <w:bCs/>
          <w:sz w:val="24"/>
          <w:szCs w:val="24"/>
        </w:rPr>
        <w:t>二、财务报表</w:t>
      </w:r>
      <w:bookmarkEnd w:id="105"/>
    </w:p>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财务附注中报表的单位为：元</w:t>
      </w:r>
    </w:p>
    <w:p>
      <w:pPr>
        <w:pStyle w:val="3"/>
        <w:spacing w:line="280" w:lineRule="exact"/>
        <w:jc w:val="left"/>
        <w:rPr>
          <w:rFonts w:ascii="Times New Roman" w:hAnsi="Times New Roman" w:cs="Times New Roman"/>
          <w:b/>
          <w:bCs/>
        </w:rPr>
      </w:pPr>
      <w:bookmarkStart w:id="106" w:name="_Toc988995"/>
      <w:r>
        <w:rPr>
          <w:rFonts w:ascii="Times New Roman" w:hAnsi="Times New Roman" w:cs="Times New Roman"/>
          <w:b/>
          <w:bCs/>
        </w:rPr>
        <w:t>1、合并资产负债表</w:t>
      </w:r>
      <w:bookmarkEnd w:id="106"/>
    </w:p>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编制单位：山东龙大美食股份有限公司</w:t>
      </w:r>
    </w:p>
    <w:p>
      <w:pPr>
        <w:spacing w:line="240" w:lineRule="exact"/>
        <w:jc w:val="center"/>
        <w:rPr>
          <w:rFonts w:ascii="Times New Roman" w:hAnsi="Times New Roman" w:eastAsia="宋体" w:cs="Times New Roman"/>
          <w:sz w:val="18"/>
          <w:szCs w:val="18"/>
        </w:rPr>
      </w:pPr>
    </w:p>
    <w:p>
      <w:pPr>
        <w:spacing w:before="120" w:after="12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2023年6月30日</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2023年1月1日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流动资产：</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货币资金</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1,221,253,868.04</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1,855,921,035.70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结算备付金</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拆出资金</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交易性金融资产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衍生金融资产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应收票据</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1,092,075.00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6,654,920.50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应收账款</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436,595,477.22</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621,530,615.03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应收款项融资</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预付款项</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170,785,977.47</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199,303,754.59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应收保费</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应收分保账款</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应收分保合同准备金</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其他应收款</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60,402,894.87</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66,688,523.57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rPr>
                <w:rFonts w:ascii="Times New Roman" w:hAnsi="Times New Roman" w:eastAsia="宋体" w:cs="Times New Roman"/>
                <w:sz w:val="18"/>
                <w:szCs w:val="18"/>
              </w:rPr>
            </w:pPr>
            <w:r>
              <w:rPr>
                <w:rFonts w:ascii="Times New Roman" w:hAnsi="Times New Roman" w:eastAsia="宋体" w:cs="Times New Roman"/>
                <w:sz w:val="18"/>
                <w:szCs w:val="18"/>
              </w:rPr>
              <w:t>其中：应收利息</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900" w:firstLineChars="500"/>
              <w:rPr>
                <w:rFonts w:ascii="Times New Roman" w:hAnsi="Times New Roman" w:eastAsia="宋体" w:cs="Times New Roman"/>
                <w:sz w:val="18"/>
                <w:szCs w:val="18"/>
              </w:rPr>
            </w:pPr>
            <w:r>
              <w:rPr>
                <w:rFonts w:ascii="Times New Roman" w:hAnsi="Times New Roman" w:eastAsia="宋体" w:cs="Times New Roman"/>
                <w:sz w:val="18"/>
                <w:szCs w:val="18"/>
              </w:rPr>
              <w:t>应收股利</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买入返售金融资产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存货</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1,946,509,297.48</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1,715,516,935.36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合同资产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持有待售资产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一年内到期的非流动资产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其他流动资产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55,265.67</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51,570.10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流动资产合计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3,836,694,855.75</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4,465,667,354.85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非流动资产：</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发放贷款和垫款</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债权投资</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其他债权投资</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长期应收款</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长期股权投资</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其他权益工具投资</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322,179.67</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322,179.67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其他非流动金融资产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投资性房地产</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固定资产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1,755,912,427.55</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1,791,086,868.21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在建工程</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743,671,714.28</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627,981,907.00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生产性生物资产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24,107,304.11</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213,855,988.96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油气资产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使用权资产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70,207,512.52</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78,359,348.60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无形资产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148,320,234.46</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149,183,560.30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开发支出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商誉</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26,871,974.18</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26,871,974.18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长期待摊费用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9,493,593.33</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11,818,005.15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递延所得税资产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70,618,732.02</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68,566,643.14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其他非流动资产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598,279,792.16</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543,484,967.87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非流动资产合计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3,447,805,464.28</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3,511,531,443.08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资产总计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7,284,500,320.03</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7,977,198,797.93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流动负债：</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短期借款</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1,324,941,435.46</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1,514,670,257.81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向中央银行借款</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拆入资金</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交易性金融负债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衍生金融负债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应付票据</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590,187,500.00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631,831,450.18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应付账款</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626,518,666.40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574,589,132.90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预收款项</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合同负债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190,605,760.36</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185,629,725.61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卖出回购金融资产款</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吸收存款及同业存放</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代理买卖证券款</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代理承销证券款</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应付职工薪酬</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36,257,797.18</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38,034,174.23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应交税费</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9,149,084.64</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11,801,063.58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其他应付款</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227,904,527.32</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227,027,091.46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rPr>
                <w:rFonts w:ascii="Times New Roman" w:hAnsi="Times New Roman" w:eastAsia="宋体" w:cs="Times New Roman"/>
                <w:sz w:val="18"/>
                <w:szCs w:val="18"/>
              </w:rPr>
            </w:pPr>
            <w:r>
              <w:rPr>
                <w:rFonts w:ascii="Times New Roman" w:hAnsi="Times New Roman" w:eastAsia="宋体" w:cs="Times New Roman"/>
                <w:sz w:val="18"/>
                <w:szCs w:val="18"/>
              </w:rPr>
              <w:t>其中：应付利息</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900" w:firstLineChars="500"/>
              <w:rPr>
                <w:rFonts w:ascii="Times New Roman" w:hAnsi="Times New Roman" w:eastAsia="宋体" w:cs="Times New Roman"/>
                <w:sz w:val="18"/>
                <w:szCs w:val="18"/>
              </w:rPr>
            </w:pPr>
            <w:r>
              <w:rPr>
                <w:rFonts w:ascii="Times New Roman" w:hAnsi="Times New Roman" w:eastAsia="宋体" w:cs="Times New Roman"/>
                <w:sz w:val="18"/>
                <w:szCs w:val="18"/>
              </w:rPr>
              <w:t>应付股利</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应付手续费及佣金</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应付分保账款</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持有待售负债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一年内到期的非流动负债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143,328,757.43</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145,845,446.48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其他流动负债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13,774,085.14</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15,948,516.17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流动负债合计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3,162,667,613.93</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3,345,376,858.42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非流动负债：</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保险合同准备金</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长期借款</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307,441,297.64</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157,500,000.00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应付债券</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884,130,501.28</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860,965,824.90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rPr>
                <w:rFonts w:ascii="Times New Roman" w:hAnsi="Times New Roman" w:eastAsia="宋体" w:cs="Times New Roman"/>
                <w:sz w:val="18"/>
                <w:szCs w:val="18"/>
              </w:rPr>
            </w:pPr>
            <w:r>
              <w:rPr>
                <w:rFonts w:ascii="Times New Roman" w:hAnsi="Times New Roman" w:eastAsia="宋体" w:cs="Times New Roman"/>
                <w:sz w:val="18"/>
                <w:szCs w:val="18"/>
              </w:rPr>
              <w:t>其中：优先股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900" w:firstLineChars="500"/>
              <w:rPr>
                <w:rFonts w:ascii="Times New Roman" w:hAnsi="Times New Roman" w:eastAsia="宋体" w:cs="Times New Roman"/>
                <w:sz w:val="18"/>
                <w:szCs w:val="18"/>
              </w:rPr>
            </w:pPr>
            <w:r>
              <w:rPr>
                <w:rFonts w:ascii="Times New Roman" w:hAnsi="Times New Roman" w:eastAsia="宋体" w:cs="Times New Roman"/>
                <w:sz w:val="18"/>
                <w:szCs w:val="18"/>
              </w:rPr>
              <w:t>永续债</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租赁负债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54,690,388.17</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58,075,383.36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长期应付款</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54,500,043.70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2,791,007.44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长期应付职工薪酬</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预计负债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递延收益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44,577,583.69</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46,570,043.69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递延所得税负债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2,125,704.63</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2,125,662.13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其他非流动负债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非流动负债合计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1,347,465,519.11</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1,128,027,921.52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负债合计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4,510,133,133.04</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4,473,404,779.94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所有者权益：</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股本</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1,079,159,725.00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1,079,128,488.00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其他权益工具</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171,571,063.33</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171,571,679.93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360" w:firstLineChars="200"/>
              <w:rPr>
                <w:rFonts w:ascii="Times New Roman" w:hAnsi="Times New Roman" w:eastAsia="宋体" w:cs="Times New Roman"/>
                <w:sz w:val="18"/>
                <w:szCs w:val="18"/>
              </w:rPr>
            </w:pPr>
            <w:r>
              <w:rPr>
                <w:rFonts w:ascii="Times New Roman" w:hAnsi="Times New Roman" w:eastAsia="宋体" w:cs="Times New Roman"/>
                <w:sz w:val="18"/>
                <w:szCs w:val="18"/>
              </w:rPr>
              <w:t>其中：优先股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900" w:firstLineChars="500"/>
              <w:rPr>
                <w:rFonts w:ascii="Times New Roman" w:hAnsi="Times New Roman" w:eastAsia="宋体" w:cs="Times New Roman"/>
                <w:sz w:val="18"/>
                <w:szCs w:val="18"/>
              </w:rPr>
            </w:pPr>
            <w:r>
              <w:rPr>
                <w:rFonts w:ascii="Times New Roman" w:hAnsi="Times New Roman" w:eastAsia="宋体" w:cs="Times New Roman"/>
                <w:sz w:val="18"/>
                <w:szCs w:val="18"/>
              </w:rPr>
              <w:t>永续债</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资本公积</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829,387,730.86</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831,830,715.12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减：库存股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99,013,276.73</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37,244,672.24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-11,777,820.33</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-11,777,820.33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专项储备</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盈余公积</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263,717,929.16</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263,717,929.16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一般风险准备</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未分配利润</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398,716,911.10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1,023,054,329.92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归属于母公司所有者权益合计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2,631,762,262.39</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3,320,280,649.56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少数股东权益</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142,604,924.60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183,513,368.43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所有者权益合计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2,774,367,186.99</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3,503,794,017.99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负债和所有者权益总计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7,284,500,320.03</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7,977,198,797.93</w:t>
            </w:r>
          </w:p>
        </w:tc>
      </w:tr>
    </w:tbl>
    <w:p>
      <w:pPr>
        <w:spacing w:before="100" w:after="100" w:line="240" w:lineRule="exact"/>
        <w:jc w:val="both"/>
        <w:rPr>
          <w:rFonts w:ascii="Times New Roman" w:hAnsi="Times New Roman" w:eastAsia="宋体" w:cs="Times New Roman"/>
          <w:sz w:val="18"/>
          <w:szCs w:val="18"/>
        </w:rPr>
      </w:pPr>
      <w:r>
        <w:rPr>
          <w:rFonts w:ascii="Times New Roman" w:hAnsi="Times New Roman" w:eastAsia="宋体" w:cs="Times New Roman"/>
          <w:sz w:val="18"/>
          <w:szCs w:val="18"/>
        </w:rPr>
        <w:t>法定代表人：杨晓初                                             主管会计工作负责人：张凌                                     会计机构负责人：刘璐希</w:t>
      </w:r>
    </w:p>
    <w:p>
      <w:pPr>
        <w:pStyle w:val="3"/>
        <w:spacing w:line="320" w:lineRule="exact"/>
        <w:jc w:val="left"/>
        <w:rPr>
          <w:rFonts w:ascii="Times New Roman" w:hAnsi="Times New Roman" w:cs="Times New Roman"/>
          <w:b/>
          <w:bCs/>
          <w:sz w:val="24"/>
          <w:szCs w:val="24"/>
        </w:rPr>
      </w:pPr>
      <w:bookmarkStart w:id="107" w:name="_Toc988996"/>
      <w:r>
        <w:rPr>
          <w:rFonts w:ascii="Times New Roman" w:hAnsi="Times New Roman" w:cs="Times New Roman"/>
          <w:b/>
          <w:bCs/>
          <w:sz w:val="24"/>
          <w:szCs w:val="24"/>
        </w:rPr>
        <w:t>2、母公司资产负债表</w:t>
      </w:r>
      <w:bookmarkEnd w:id="107"/>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2023年6月30日</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2023年1月1日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流动资产：</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货币资金</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277,614,081.44</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475,797,627.63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交易性金融资产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衍生金融资产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应收票据</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1,092,075.00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41,340,000.00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应收账款</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337,620,330.26</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401,088,855.57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应收款项融资</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预付款项</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85,052,977.86</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17,754,882.20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其他应收款</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1,317,701,164.66</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1,275,606,011.35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rPr>
                <w:rFonts w:ascii="Times New Roman" w:hAnsi="Times New Roman" w:eastAsia="宋体" w:cs="Times New Roman"/>
                <w:sz w:val="18"/>
                <w:szCs w:val="18"/>
              </w:rPr>
            </w:pPr>
            <w:r>
              <w:rPr>
                <w:rFonts w:ascii="Times New Roman" w:hAnsi="Times New Roman" w:eastAsia="宋体" w:cs="Times New Roman"/>
                <w:sz w:val="18"/>
                <w:szCs w:val="18"/>
              </w:rPr>
              <w:t>其中：应收利息</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900" w:firstLineChars="500"/>
              <w:rPr>
                <w:rFonts w:ascii="Times New Roman" w:hAnsi="Times New Roman" w:eastAsia="宋体" w:cs="Times New Roman"/>
                <w:sz w:val="18"/>
                <w:szCs w:val="18"/>
              </w:rPr>
            </w:pPr>
            <w:r>
              <w:rPr>
                <w:rFonts w:ascii="Times New Roman" w:hAnsi="Times New Roman" w:eastAsia="宋体" w:cs="Times New Roman"/>
                <w:sz w:val="18"/>
                <w:szCs w:val="18"/>
              </w:rPr>
              <w:t>应收股利</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存货</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643,677,978.07</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425,409,689.47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合同资产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持有待售资产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一年内到期的非流动资产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其他流动资产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流动资产合计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2,662,758,607.29</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2,636,997,066.22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非流动资产：</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债权投资</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其他债权投资</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长期应收款</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长期股权投资</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2,434,699,689.15</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2,434,699,689.15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其他权益工具投资</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322,179.67</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322,179.67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其他非流动金融资产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投资性房地产</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固定资产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563,616,286.51</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562,117,014.05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在建工程</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4,388,403.97</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3,883,381.13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生产性生物资产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油气资产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使用权资产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9,913,606.31</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14,350,147.90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无形资产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16,095,831.12</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14,978,952.71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开发支出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商誉</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长期待摊费用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732,851.65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递延所得税资产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40,021,275.41</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37,795,318.74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其他非流动资产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69,024,446.31</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123,620,910.65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非流动资产合计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3,138,081,718.45</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3,192,500,445.65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资产总计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5,800,840,325.74</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5,829,497,511.87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流动负债：</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短期借款</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489,526,341.65</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662,602,309.73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交易性金融负债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衍生金融负债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应付票据</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414,500,000.00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330,800,000.00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应付账款</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386,250,922.94</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478,296,724.48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预收款项</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合同负债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288,295,305.56</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131,662,429.51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应付职工薪酬</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16,817,221.42</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17,494,239.07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应交税费</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2,003,967.54</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2,092,457.20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其他应付款</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485,083,776.70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400,820,214.78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rPr>
                <w:rFonts w:ascii="Times New Roman" w:hAnsi="Times New Roman" w:eastAsia="宋体" w:cs="Times New Roman"/>
                <w:sz w:val="18"/>
                <w:szCs w:val="18"/>
              </w:rPr>
            </w:pPr>
            <w:r>
              <w:rPr>
                <w:rFonts w:ascii="Times New Roman" w:hAnsi="Times New Roman" w:eastAsia="宋体" w:cs="Times New Roman"/>
                <w:sz w:val="18"/>
                <w:szCs w:val="18"/>
              </w:rPr>
              <w:t>其中：应付利息</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900" w:firstLineChars="500"/>
              <w:rPr>
                <w:rFonts w:ascii="Times New Roman" w:hAnsi="Times New Roman" w:eastAsia="宋体" w:cs="Times New Roman"/>
                <w:sz w:val="18"/>
                <w:szCs w:val="18"/>
              </w:rPr>
            </w:pPr>
            <w:r>
              <w:rPr>
                <w:rFonts w:ascii="Times New Roman" w:hAnsi="Times New Roman" w:eastAsia="宋体" w:cs="Times New Roman"/>
                <w:sz w:val="18"/>
                <w:szCs w:val="18"/>
              </w:rPr>
              <w:t>应付股利</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持有待售负债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一年内到期的非流动负债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137,695,553.60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138,047,445.67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其他流动负债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25,946,577.50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11,849,618.66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流动负债合计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2,246,119,666.91</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2,173,665,439.10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非流动负债：</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长期借款</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126,000,000.00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157,500,000.00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应付债券</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884,130,501.28</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860,965,824.90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rPr>
                <w:rFonts w:ascii="Times New Roman" w:hAnsi="Times New Roman" w:eastAsia="宋体" w:cs="Times New Roman"/>
                <w:sz w:val="18"/>
                <w:szCs w:val="18"/>
              </w:rPr>
            </w:pPr>
            <w:r>
              <w:rPr>
                <w:rFonts w:ascii="Times New Roman" w:hAnsi="Times New Roman" w:eastAsia="宋体" w:cs="Times New Roman"/>
                <w:sz w:val="18"/>
                <w:szCs w:val="18"/>
              </w:rPr>
              <w:t>其中：优先股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900" w:firstLineChars="500"/>
              <w:rPr>
                <w:rFonts w:ascii="Times New Roman" w:hAnsi="Times New Roman" w:eastAsia="宋体" w:cs="Times New Roman"/>
                <w:sz w:val="18"/>
                <w:szCs w:val="18"/>
              </w:rPr>
            </w:pPr>
            <w:r>
              <w:rPr>
                <w:rFonts w:ascii="Times New Roman" w:hAnsi="Times New Roman" w:eastAsia="宋体" w:cs="Times New Roman"/>
                <w:sz w:val="18"/>
                <w:szCs w:val="18"/>
              </w:rPr>
              <w:t>永续债</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租赁负债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3,509,579.67</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6,584,250.18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长期应付款</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345,570,181.89</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302,600,000.00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长期应付职工薪酬</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预计负债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递延收益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16,502,965.87</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17,309,965.85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递延所得税负债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其他非流动负债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非流动负债合计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1,375,713,228.71</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1,344,960,040.93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负债合计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3,621,832,895.62</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3,518,625,480.03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所有者权益：</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股本</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1,079,159,725.00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1,079,128,488.00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其他权益工具</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171,571,063.33</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171,571,679.93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360" w:firstLineChars="200"/>
              <w:rPr>
                <w:rFonts w:ascii="Times New Roman" w:hAnsi="Times New Roman" w:eastAsia="宋体" w:cs="Times New Roman"/>
                <w:sz w:val="18"/>
                <w:szCs w:val="18"/>
              </w:rPr>
            </w:pPr>
            <w:r>
              <w:rPr>
                <w:rFonts w:ascii="Times New Roman" w:hAnsi="Times New Roman" w:eastAsia="宋体" w:cs="Times New Roman"/>
                <w:sz w:val="18"/>
                <w:szCs w:val="18"/>
              </w:rPr>
              <w:t>其中：优先股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900" w:firstLineChars="500"/>
              <w:rPr>
                <w:rFonts w:ascii="Times New Roman" w:hAnsi="Times New Roman" w:eastAsia="宋体" w:cs="Times New Roman"/>
                <w:sz w:val="18"/>
                <w:szCs w:val="18"/>
              </w:rPr>
            </w:pPr>
            <w:r>
              <w:rPr>
                <w:rFonts w:ascii="Times New Roman" w:hAnsi="Times New Roman" w:eastAsia="宋体" w:cs="Times New Roman"/>
                <w:sz w:val="18"/>
                <w:szCs w:val="18"/>
              </w:rPr>
              <w:t>永续债</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资本公积</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830,434,411.01</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830,246,509.95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减：库存股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99,013,276.73</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37,244,672.24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-11,777,820.33</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-11,777,820.33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专项储备</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盈余公积</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263,717,929.16</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263,717,929.16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未分配利润</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-55,084,601.32</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15,229,917.37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所有者权益合计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2,179,007,430.12</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2,310,872,031.84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负债和所有者权益总计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5,800,840,325.74</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5,829,497,511.87</w:t>
            </w:r>
          </w:p>
        </w:tc>
      </w:tr>
    </w:tbl>
    <w:p>
      <w:pPr>
        <w:pStyle w:val="3"/>
        <w:spacing w:line="280" w:lineRule="exact"/>
        <w:jc w:val="left"/>
        <w:rPr>
          <w:rFonts w:ascii="Times New Roman" w:hAnsi="Times New Roman" w:cs="Times New Roman"/>
          <w:b/>
          <w:bCs/>
        </w:rPr>
      </w:pPr>
      <w:bookmarkStart w:id="108" w:name="_Toc988997"/>
      <w:r>
        <w:rPr>
          <w:rFonts w:ascii="Times New Roman" w:hAnsi="Times New Roman" w:cs="Times New Roman"/>
          <w:b/>
          <w:bCs/>
        </w:rPr>
        <w:t>3、合并利润表</w:t>
      </w:r>
      <w:bookmarkEnd w:id="108"/>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2023年半年度</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2022年半年度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一、营业总收入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6,726,422,093.49</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6,815,217,068.63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其中：营业收入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6,726,422,093.49</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6,815,217,068.63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rPr>
                <w:rFonts w:ascii="Times New Roman" w:hAnsi="Times New Roman" w:eastAsia="宋体" w:cs="Times New Roman"/>
                <w:sz w:val="18"/>
                <w:szCs w:val="18"/>
              </w:rPr>
            </w:pPr>
            <w:r>
              <w:rPr>
                <w:rFonts w:ascii="Times New Roman" w:hAnsi="Times New Roman" w:eastAsia="宋体" w:cs="Times New Roman"/>
                <w:sz w:val="18"/>
                <w:szCs w:val="18"/>
              </w:rPr>
              <w:t>利息收入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rPr>
                <w:rFonts w:ascii="Times New Roman" w:hAnsi="Times New Roman" w:eastAsia="宋体" w:cs="Times New Roman"/>
                <w:sz w:val="18"/>
                <w:szCs w:val="18"/>
              </w:rPr>
            </w:pPr>
            <w:r>
              <w:rPr>
                <w:rFonts w:ascii="Times New Roman" w:hAnsi="Times New Roman" w:eastAsia="宋体" w:cs="Times New Roman"/>
                <w:sz w:val="18"/>
                <w:szCs w:val="18"/>
              </w:rPr>
              <w:t>已赚保费</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rPr>
                <w:rFonts w:ascii="Times New Roman" w:hAnsi="Times New Roman" w:eastAsia="宋体" w:cs="Times New Roman"/>
                <w:sz w:val="18"/>
                <w:szCs w:val="18"/>
              </w:rPr>
            </w:pPr>
            <w:r>
              <w:rPr>
                <w:rFonts w:ascii="Times New Roman" w:hAnsi="Times New Roman" w:eastAsia="宋体" w:cs="Times New Roman"/>
                <w:sz w:val="18"/>
                <w:szCs w:val="18"/>
              </w:rPr>
              <w:t>手续费及佣金收入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二、营业总成本</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7,050,931,529.25</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6,769,382,629.23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其中：营业成本</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6,791,252,996.63</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6,514,347,623.40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rPr>
                <w:rFonts w:ascii="Times New Roman" w:hAnsi="Times New Roman" w:eastAsia="宋体" w:cs="Times New Roman"/>
                <w:sz w:val="18"/>
                <w:szCs w:val="18"/>
              </w:rPr>
            </w:pPr>
            <w:r>
              <w:rPr>
                <w:rFonts w:ascii="Times New Roman" w:hAnsi="Times New Roman" w:eastAsia="宋体" w:cs="Times New Roman"/>
                <w:sz w:val="18"/>
                <w:szCs w:val="18"/>
              </w:rPr>
              <w:t>利息支出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rPr>
                <w:rFonts w:ascii="Times New Roman" w:hAnsi="Times New Roman" w:eastAsia="宋体" w:cs="Times New Roman"/>
                <w:sz w:val="18"/>
                <w:szCs w:val="18"/>
              </w:rPr>
            </w:pPr>
            <w:r>
              <w:rPr>
                <w:rFonts w:ascii="Times New Roman" w:hAnsi="Times New Roman" w:eastAsia="宋体" w:cs="Times New Roman"/>
                <w:sz w:val="18"/>
                <w:szCs w:val="18"/>
              </w:rPr>
              <w:t>手续费及佣金支出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rPr>
                <w:rFonts w:ascii="Times New Roman" w:hAnsi="Times New Roman" w:eastAsia="宋体" w:cs="Times New Roman"/>
                <w:sz w:val="18"/>
                <w:szCs w:val="18"/>
              </w:rPr>
            </w:pPr>
            <w:r>
              <w:rPr>
                <w:rFonts w:ascii="Times New Roman" w:hAnsi="Times New Roman" w:eastAsia="宋体" w:cs="Times New Roman"/>
                <w:sz w:val="18"/>
                <w:szCs w:val="18"/>
              </w:rPr>
              <w:t>退保金</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rPr>
                <w:rFonts w:ascii="Times New Roman" w:hAnsi="Times New Roman" w:eastAsia="宋体" w:cs="Times New Roman"/>
                <w:sz w:val="18"/>
                <w:szCs w:val="18"/>
              </w:rPr>
            </w:pPr>
            <w:r>
              <w:rPr>
                <w:rFonts w:ascii="Times New Roman" w:hAnsi="Times New Roman" w:eastAsia="宋体" w:cs="Times New Roman"/>
                <w:sz w:val="18"/>
                <w:szCs w:val="18"/>
              </w:rPr>
              <w:t>赔付支出净额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rPr>
                <w:rFonts w:ascii="Times New Roman" w:hAnsi="Times New Roman" w:eastAsia="宋体" w:cs="Times New Roman"/>
                <w:sz w:val="18"/>
                <w:szCs w:val="18"/>
              </w:rPr>
            </w:pPr>
            <w:r>
              <w:rPr>
                <w:rFonts w:ascii="Times New Roman" w:hAnsi="Times New Roman" w:eastAsia="宋体" w:cs="Times New Roman"/>
                <w:sz w:val="18"/>
                <w:szCs w:val="18"/>
              </w:rPr>
              <w:t>提取保险责任准备金净额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rPr>
                <w:rFonts w:ascii="Times New Roman" w:hAnsi="Times New Roman" w:eastAsia="宋体" w:cs="Times New Roman"/>
                <w:sz w:val="18"/>
                <w:szCs w:val="18"/>
              </w:rPr>
            </w:pPr>
            <w:r>
              <w:rPr>
                <w:rFonts w:ascii="Times New Roman" w:hAnsi="Times New Roman" w:eastAsia="宋体" w:cs="Times New Roman"/>
                <w:sz w:val="18"/>
                <w:szCs w:val="18"/>
              </w:rPr>
              <w:t>保单红利支出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rPr>
                <w:rFonts w:ascii="Times New Roman" w:hAnsi="Times New Roman" w:eastAsia="宋体" w:cs="Times New Roman"/>
                <w:sz w:val="18"/>
                <w:szCs w:val="18"/>
              </w:rPr>
            </w:pPr>
            <w:r>
              <w:rPr>
                <w:rFonts w:ascii="Times New Roman" w:hAnsi="Times New Roman" w:eastAsia="宋体" w:cs="Times New Roman"/>
                <w:sz w:val="18"/>
                <w:szCs w:val="18"/>
              </w:rPr>
              <w:t>分保费用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rPr>
                <w:rFonts w:ascii="Times New Roman" w:hAnsi="Times New Roman" w:eastAsia="宋体" w:cs="Times New Roman"/>
                <w:sz w:val="18"/>
                <w:szCs w:val="18"/>
              </w:rPr>
            </w:pPr>
            <w:r>
              <w:rPr>
                <w:rFonts w:ascii="Times New Roman" w:hAnsi="Times New Roman" w:eastAsia="宋体" w:cs="Times New Roman"/>
                <w:sz w:val="18"/>
                <w:szCs w:val="18"/>
              </w:rPr>
              <w:t>税金及附加</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11,054,848.47</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8,722,861.96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rPr>
                <w:rFonts w:ascii="Times New Roman" w:hAnsi="Times New Roman" w:eastAsia="宋体" w:cs="Times New Roman"/>
                <w:sz w:val="18"/>
                <w:szCs w:val="18"/>
              </w:rPr>
            </w:pPr>
            <w:r>
              <w:rPr>
                <w:rFonts w:ascii="Times New Roman" w:hAnsi="Times New Roman" w:eastAsia="宋体" w:cs="Times New Roman"/>
                <w:sz w:val="18"/>
                <w:szCs w:val="18"/>
              </w:rPr>
              <w:t>销售费用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79,532,772.76</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88,977,101.02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rPr>
                <w:rFonts w:ascii="Times New Roman" w:hAnsi="Times New Roman" w:eastAsia="宋体" w:cs="Times New Roman"/>
                <w:sz w:val="18"/>
                <w:szCs w:val="18"/>
              </w:rPr>
            </w:pPr>
            <w:r>
              <w:rPr>
                <w:rFonts w:ascii="Times New Roman" w:hAnsi="Times New Roman" w:eastAsia="宋体" w:cs="Times New Roman"/>
                <w:sz w:val="18"/>
                <w:szCs w:val="18"/>
              </w:rPr>
              <w:t>管理费用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133,840,139.68</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127,126,210.54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rPr>
                <w:rFonts w:ascii="Times New Roman" w:hAnsi="Times New Roman" w:eastAsia="宋体" w:cs="Times New Roman"/>
                <w:sz w:val="18"/>
                <w:szCs w:val="18"/>
              </w:rPr>
            </w:pPr>
            <w:r>
              <w:rPr>
                <w:rFonts w:ascii="Times New Roman" w:hAnsi="Times New Roman" w:eastAsia="宋体" w:cs="Times New Roman"/>
                <w:sz w:val="18"/>
                <w:szCs w:val="18"/>
              </w:rPr>
              <w:t>研发费用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5,047,399.43</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4,108,832.23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rPr>
                <w:rFonts w:ascii="Times New Roman" w:hAnsi="Times New Roman" w:eastAsia="宋体" w:cs="Times New Roman"/>
                <w:sz w:val="18"/>
                <w:szCs w:val="18"/>
              </w:rPr>
            </w:pPr>
            <w:r>
              <w:rPr>
                <w:rFonts w:ascii="Times New Roman" w:hAnsi="Times New Roman" w:eastAsia="宋体" w:cs="Times New Roman"/>
                <w:sz w:val="18"/>
                <w:szCs w:val="18"/>
              </w:rPr>
              <w:t>财务费用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30,203,372.28</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26,100,000.08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900" w:firstLineChars="500"/>
              <w:rPr>
                <w:rFonts w:ascii="Times New Roman" w:hAnsi="Times New Roman" w:eastAsia="宋体" w:cs="Times New Roman"/>
                <w:sz w:val="18"/>
                <w:szCs w:val="18"/>
              </w:rPr>
            </w:pPr>
            <w:r>
              <w:rPr>
                <w:rFonts w:ascii="Times New Roman" w:hAnsi="Times New Roman" w:eastAsia="宋体" w:cs="Times New Roman"/>
                <w:sz w:val="18"/>
                <w:szCs w:val="18"/>
              </w:rPr>
              <w:t>其中：利息费用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48,892,795.35</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56,185,841.44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440" w:firstLineChars="800"/>
              <w:rPr>
                <w:rFonts w:ascii="Times New Roman" w:hAnsi="Times New Roman" w:eastAsia="宋体" w:cs="Times New Roman"/>
                <w:sz w:val="18"/>
                <w:szCs w:val="18"/>
              </w:rPr>
            </w:pPr>
            <w:r>
              <w:rPr>
                <w:rFonts w:ascii="Times New Roman" w:hAnsi="Times New Roman" w:eastAsia="宋体" w:cs="Times New Roman"/>
                <w:sz w:val="18"/>
                <w:szCs w:val="18"/>
              </w:rPr>
              <w:t>利息收入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19,739,406.54</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34,152,878.12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加：其他收益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6,313,221.02</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7,327,652.23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rPr>
                <w:rFonts w:ascii="Times New Roman" w:hAnsi="Times New Roman" w:eastAsia="宋体" w:cs="Times New Roman"/>
                <w:sz w:val="18"/>
                <w:szCs w:val="18"/>
              </w:rPr>
            </w:pPr>
            <w:r>
              <w:rPr>
                <w:rFonts w:ascii="Times New Roman" w:hAnsi="Times New Roman" w:eastAsia="宋体" w:cs="Times New Roman"/>
                <w:sz w:val="18"/>
                <w:szCs w:val="18"/>
              </w:rPr>
              <w:t>投资收益（损失以“－”号填列）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900" w:firstLineChars="500"/>
              <w:rPr>
                <w:rFonts w:ascii="Times New Roman" w:hAnsi="Times New Roman" w:eastAsia="宋体" w:cs="Times New Roman"/>
                <w:sz w:val="18"/>
                <w:szCs w:val="18"/>
              </w:rPr>
            </w:pPr>
            <w:r>
              <w:rPr>
                <w:rFonts w:ascii="Times New Roman" w:hAnsi="Times New Roman" w:eastAsia="宋体" w:cs="Times New Roman"/>
                <w:sz w:val="18"/>
                <w:szCs w:val="18"/>
              </w:rPr>
              <w:t>其中：对联营企业和合营企业的投资收益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440" w:firstLineChars="800"/>
              <w:rPr>
                <w:rFonts w:ascii="Times New Roman" w:hAnsi="Times New Roman" w:eastAsia="宋体" w:cs="Times New Roman"/>
                <w:sz w:val="18"/>
                <w:szCs w:val="18"/>
              </w:rPr>
            </w:pPr>
            <w:r>
              <w:rPr>
                <w:rFonts w:ascii="Times New Roman" w:hAnsi="Times New Roman" w:eastAsia="宋体" w:cs="Times New Roman"/>
                <w:sz w:val="18"/>
                <w:szCs w:val="18"/>
              </w:rPr>
              <w:t>以摊余成本计量的金融资产终止确认收益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rPr>
                <w:rFonts w:ascii="Times New Roman" w:hAnsi="Times New Roman" w:eastAsia="宋体" w:cs="Times New Roman"/>
                <w:sz w:val="18"/>
                <w:szCs w:val="18"/>
              </w:rPr>
            </w:pPr>
            <w:r>
              <w:rPr>
                <w:rFonts w:ascii="Times New Roman" w:hAnsi="Times New Roman" w:eastAsia="宋体" w:cs="Times New Roman"/>
                <w:sz w:val="18"/>
                <w:szCs w:val="18"/>
              </w:rPr>
              <w:t>汇兑收益（损失以“-”号填列）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rPr>
                <w:rFonts w:ascii="Times New Roman" w:hAnsi="Times New Roman" w:eastAsia="宋体" w:cs="Times New Roman"/>
                <w:sz w:val="18"/>
                <w:szCs w:val="18"/>
              </w:rPr>
            </w:pPr>
            <w:r>
              <w:rPr>
                <w:rFonts w:ascii="Times New Roman" w:hAnsi="Times New Roman" w:eastAsia="宋体" w:cs="Times New Roman"/>
                <w:sz w:val="18"/>
                <w:szCs w:val="18"/>
              </w:rPr>
              <w:t>净敞口套期收益（损失以“－”号填列）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rPr>
                <w:rFonts w:ascii="Times New Roman" w:hAnsi="Times New Roman" w:eastAsia="宋体" w:cs="Times New Roman"/>
                <w:sz w:val="18"/>
                <w:szCs w:val="18"/>
              </w:rPr>
            </w:pPr>
            <w:r>
              <w:rPr>
                <w:rFonts w:ascii="Times New Roman" w:hAnsi="Times New Roman" w:eastAsia="宋体" w:cs="Times New Roman"/>
                <w:sz w:val="18"/>
                <w:szCs w:val="18"/>
              </w:rPr>
              <w:t>公允价值变动收益（损失以“－”号填列）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rPr>
                <w:rFonts w:ascii="Times New Roman" w:hAnsi="Times New Roman" w:eastAsia="宋体" w:cs="Times New Roman"/>
                <w:sz w:val="18"/>
                <w:szCs w:val="18"/>
              </w:rPr>
            </w:pPr>
            <w:r>
              <w:rPr>
                <w:rFonts w:ascii="Times New Roman" w:hAnsi="Times New Roman" w:eastAsia="宋体" w:cs="Times New Roman"/>
                <w:sz w:val="18"/>
                <w:szCs w:val="18"/>
              </w:rPr>
              <w:t>信用减值损失（损失以“-”号填列）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2,402,683.87</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6,142,383.73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rPr>
                <w:rFonts w:ascii="Times New Roman" w:hAnsi="Times New Roman" w:eastAsia="宋体" w:cs="Times New Roman"/>
                <w:sz w:val="18"/>
                <w:szCs w:val="18"/>
              </w:rPr>
            </w:pPr>
            <w:r>
              <w:rPr>
                <w:rFonts w:ascii="Times New Roman" w:hAnsi="Times New Roman" w:eastAsia="宋体" w:cs="Times New Roman"/>
                <w:sz w:val="18"/>
                <w:szCs w:val="18"/>
              </w:rPr>
              <w:t>资产减值损失（损失以“-”号填列）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-187,857,128.38</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106,796,687.79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rPr>
                <w:rFonts w:ascii="Times New Roman" w:hAnsi="Times New Roman" w:eastAsia="宋体" w:cs="Times New Roman"/>
                <w:sz w:val="18"/>
                <w:szCs w:val="18"/>
              </w:rPr>
            </w:pPr>
            <w:r>
              <w:rPr>
                <w:rFonts w:ascii="Times New Roman" w:hAnsi="Times New Roman" w:eastAsia="宋体" w:cs="Times New Roman"/>
                <w:sz w:val="18"/>
                <w:szCs w:val="18"/>
              </w:rPr>
              <w:t>资产处置收益（损失以“-”号填列）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-169,167,507.67</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-61,744,197.18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三、营业利润（亏损以“－”号填列）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-672,818,166.92</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104,356,965.97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加：营业外收入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5,084,589.62</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4,430,684.58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减：营业外支出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2,055,841.34</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1,113,372.13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四、利润总额（亏损总额以“－”号填列）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-669,789,418.64</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107,674,278.42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减：所得税费用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-1,912,670.67</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17,396,638.93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五、净利润（净亏损以“－”号填列）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-667,876,747.97</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90,277,639.49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（一）按经营持续性分类</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360" w:firstLineChars="200"/>
              <w:rPr>
                <w:rFonts w:ascii="Times New Roman" w:hAnsi="Times New Roman" w:eastAsia="宋体" w:cs="Times New Roman"/>
                <w:sz w:val="18"/>
                <w:szCs w:val="18"/>
              </w:rPr>
            </w:pPr>
            <w:r>
              <w:rPr>
                <w:rFonts w:ascii="Times New Roman" w:hAnsi="Times New Roman" w:eastAsia="宋体" w:cs="Times New Roman"/>
                <w:sz w:val="18"/>
                <w:szCs w:val="18"/>
              </w:rPr>
              <w:t>1.持续经营净利润（净亏损以“－”号填列）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-667,876,747.97</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90,277,639.49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360" w:firstLineChars="200"/>
              <w:rPr>
                <w:rFonts w:ascii="Times New Roman" w:hAnsi="Times New Roman" w:eastAsia="宋体" w:cs="Times New Roman"/>
                <w:sz w:val="18"/>
                <w:szCs w:val="18"/>
              </w:rPr>
            </w:pPr>
            <w:r>
              <w:rPr>
                <w:rFonts w:ascii="Times New Roman" w:hAnsi="Times New Roman" w:eastAsia="宋体" w:cs="Times New Roman"/>
                <w:sz w:val="18"/>
                <w:szCs w:val="18"/>
              </w:rPr>
              <w:t>2.终止经营净利润（净亏损以“－”号填列）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（二）按所有权归属分类</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360" w:firstLineChars="200"/>
              <w:rPr>
                <w:rFonts w:ascii="Times New Roman" w:hAnsi="Times New Roman" w:eastAsia="宋体" w:cs="Times New Roman"/>
                <w:sz w:val="18"/>
                <w:szCs w:val="18"/>
              </w:rPr>
            </w:pPr>
            <w:r>
              <w:rPr>
                <w:rFonts w:ascii="Times New Roman" w:hAnsi="Times New Roman" w:eastAsia="宋体" w:cs="Times New Roman"/>
                <w:sz w:val="18"/>
                <w:szCs w:val="18"/>
              </w:rPr>
              <w:t>1.归属于母公司股东的净利润（净亏损以“-”号填列）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-624,337,418.82</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36,180,690.39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360" w:firstLineChars="200"/>
              <w:rPr>
                <w:rFonts w:ascii="Times New Roman" w:hAnsi="Times New Roman" w:eastAsia="宋体" w:cs="Times New Roman"/>
                <w:sz w:val="18"/>
                <w:szCs w:val="18"/>
              </w:rPr>
            </w:pPr>
            <w:r>
              <w:rPr>
                <w:rFonts w:ascii="Times New Roman" w:hAnsi="Times New Roman" w:eastAsia="宋体" w:cs="Times New Roman"/>
                <w:sz w:val="18"/>
                <w:szCs w:val="18"/>
              </w:rPr>
              <w:t>2.少数股东损益（净亏损以“-”号填列）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-43,539,329.15</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54,096,949.10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六、其他综合收益的税后净额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归属母公司所有者的其他综合收益的税后净额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360" w:firstLineChars="200"/>
              <w:rPr>
                <w:rFonts w:ascii="Times New Roman" w:hAnsi="Times New Roman" w:eastAsia="宋体" w:cs="Times New Roman"/>
                <w:sz w:val="18"/>
                <w:szCs w:val="18"/>
              </w:rPr>
            </w:pPr>
            <w:r>
              <w:rPr>
                <w:rFonts w:ascii="Times New Roman" w:hAnsi="Times New Roman" w:eastAsia="宋体" w:cs="Times New Roman"/>
                <w:sz w:val="18"/>
                <w:szCs w:val="18"/>
              </w:rPr>
              <w:t>（一）不能重分类进损益的其他综合收益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540" w:firstLineChars="300"/>
              <w:rPr>
                <w:rFonts w:ascii="Times New Roman" w:hAnsi="Times New Roman" w:eastAsia="宋体" w:cs="Times New Roman"/>
                <w:sz w:val="18"/>
                <w:szCs w:val="18"/>
              </w:rPr>
            </w:pPr>
            <w:r>
              <w:rPr>
                <w:rFonts w:ascii="Times New Roman" w:hAnsi="Times New Roman" w:eastAsia="宋体" w:cs="Times New Roman"/>
                <w:sz w:val="18"/>
                <w:szCs w:val="18"/>
              </w:rPr>
              <w:t>1.重新计量设定受益计划变动额</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540" w:firstLineChars="300"/>
              <w:rPr>
                <w:rFonts w:ascii="Times New Roman" w:hAnsi="Times New Roman" w:eastAsia="宋体" w:cs="Times New Roman"/>
                <w:sz w:val="18"/>
                <w:szCs w:val="18"/>
              </w:rPr>
            </w:pPr>
            <w:r>
              <w:rPr>
                <w:rFonts w:ascii="Times New Roman" w:hAnsi="Times New Roman" w:eastAsia="宋体" w:cs="Times New Roman"/>
                <w:sz w:val="18"/>
                <w:szCs w:val="18"/>
              </w:rPr>
              <w:t>2.权益法下不能转损益的其他综合收益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540" w:firstLineChars="300"/>
              <w:rPr>
                <w:rFonts w:ascii="Times New Roman" w:hAnsi="Times New Roman" w:eastAsia="宋体" w:cs="Times New Roman"/>
                <w:sz w:val="18"/>
                <w:szCs w:val="18"/>
              </w:rPr>
            </w:pPr>
            <w:r>
              <w:rPr>
                <w:rFonts w:ascii="Times New Roman" w:hAnsi="Times New Roman" w:eastAsia="宋体" w:cs="Times New Roman"/>
                <w:sz w:val="18"/>
                <w:szCs w:val="18"/>
              </w:rPr>
              <w:t>3.其他权益工具投资公允价值变动</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540" w:firstLineChars="300"/>
              <w:rPr>
                <w:rFonts w:ascii="Times New Roman" w:hAnsi="Times New Roman" w:eastAsia="宋体" w:cs="Times New Roman"/>
                <w:sz w:val="18"/>
                <w:szCs w:val="18"/>
              </w:rPr>
            </w:pPr>
            <w:r>
              <w:rPr>
                <w:rFonts w:ascii="Times New Roman" w:hAnsi="Times New Roman" w:eastAsia="宋体" w:cs="Times New Roman"/>
                <w:sz w:val="18"/>
                <w:szCs w:val="18"/>
              </w:rPr>
              <w:t>4.企业自身信用风险公允价值变动</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540" w:firstLineChars="300"/>
              <w:rPr>
                <w:rFonts w:ascii="Times New Roman" w:hAnsi="Times New Roman" w:eastAsia="宋体" w:cs="Times New Roman"/>
                <w:sz w:val="18"/>
                <w:szCs w:val="18"/>
              </w:rPr>
            </w:pPr>
            <w:r>
              <w:rPr>
                <w:rFonts w:ascii="Times New Roman" w:hAnsi="Times New Roman" w:eastAsia="宋体" w:cs="Times New Roman"/>
                <w:sz w:val="18"/>
                <w:szCs w:val="18"/>
              </w:rPr>
              <w:t>5.其他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360" w:firstLineChars="200"/>
              <w:rPr>
                <w:rFonts w:ascii="Times New Roman" w:hAnsi="Times New Roman" w:eastAsia="宋体" w:cs="Times New Roman"/>
                <w:sz w:val="18"/>
                <w:szCs w:val="18"/>
              </w:rPr>
            </w:pPr>
            <w:r>
              <w:rPr>
                <w:rFonts w:ascii="Times New Roman" w:hAnsi="Times New Roman" w:eastAsia="宋体" w:cs="Times New Roman"/>
                <w:sz w:val="18"/>
                <w:szCs w:val="18"/>
              </w:rPr>
              <w:t>（二）将重分类进损益的其他综合收益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540" w:firstLineChars="300"/>
              <w:rPr>
                <w:rFonts w:ascii="Times New Roman" w:hAnsi="Times New Roman" w:eastAsia="宋体" w:cs="Times New Roman"/>
                <w:sz w:val="18"/>
                <w:szCs w:val="18"/>
              </w:rPr>
            </w:pPr>
            <w:r>
              <w:rPr>
                <w:rFonts w:ascii="Times New Roman" w:hAnsi="Times New Roman" w:eastAsia="宋体" w:cs="Times New Roman"/>
                <w:sz w:val="18"/>
                <w:szCs w:val="18"/>
              </w:rPr>
              <w:t>1.权益法下可转损益的其他综合收益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540" w:firstLineChars="300"/>
              <w:rPr>
                <w:rFonts w:ascii="Times New Roman" w:hAnsi="Times New Roman" w:eastAsia="宋体" w:cs="Times New Roman"/>
                <w:sz w:val="18"/>
                <w:szCs w:val="18"/>
              </w:rPr>
            </w:pPr>
            <w:r>
              <w:rPr>
                <w:rFonts w:ascii="Times New Roman" w:hAnsi="Times New Roman" w:eastAsia="宋体" w:cs="Times New Roman"/>
                <w:sz w:val="18"/>
                <w:szCs w:val="18"/>
              </w:rPr>
              <w:t>2.其他债权投资公允价值变动</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540" w:firstLineChars="300"/>
              <w:rPr>
                <w:rFonts w:ascii="Times New Roman" w:hAnsi="Times New Roman" w:eastAsia="宋体" w:cs="Times New Roman"/>
                <w:sz w:val="18"/>
                <w:szCs w:val="18"/>
              </w:rPr>
            </w:pPr>
            <w:r>
              <w:rPr>
                <w:rFonts w:ascii="Times New Roman" w:hAnsi="Times New Roman" w:eastAsia="宋体" w:cs="Times New Roman"/>
                <w:sz w:val="18"/>
                <w:szCs w:val="18"/>
              </w:rPr>
              <w:t>3.金融资产重分类计入其他综合收益的金额</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540" w:firstLineChars="300"/>
              <w:rPr>
                <w:rFonts w:ascii="Times New Roman" w:hAnsi="Times New Roman" w:eastAsia="宋体" w:cs="Times New Roman"/>
                <w:sz w:val="18"/>
                <w:szCs w:val="18"/>
              </w:rPr>
            </w:pPr>
            <w:r>
              <w:rPr>
                <w:rFonts w:ascii="Times New Roman" w:hAnsi="Times New Roman" w:eastAsia="宋体" w:cs="Times New Roman"/>
                <w:sz w:val="18"/>
                <w:szCs w:val="18"/>
              </w:rPr>
              <w:t>4.其他债权投资信用减值准备</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540" w:firstLineChars="300"/>
              <w:rPr>
                <w:rFonts w:ascii="Times New Roman" w:hAnsi="Times New Roman" w:eastAsia="宋体" w:cs="Times New Roman"/>
                <w:sz w:val="18"/>
                <w:szCs w:val="18"/>
              </w:rPr>
            </w:pPr>
            <w:r>
              <w:rPr>
                <w:rFonts w:ascii="Times New Roman" w:hAnsi="Times New Roman" w:eastAsia="宋体" w:cs="Times New Roman"/>
                <w:sz w:val="18"/>
                <w:szCs w:val="18"/>
              </w:rPr>
              <w:t>5.现金流量套期储备</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540" w:firstLineChars="300"/>
              <w:rPr>
                <w:rFonts w:ascii="Times New Roman" w:hAnsi="Times New Roman" w:eastAsia="宋体" w:cs="Times New Roman"/>
                <w:sz w:val="18"/>
                <w:szCs w:val="18"/>
              </w:rPr>
            </w:pPr>
            <w:r>
              <w:rPr>
                <w:rFonts w:ascii="Times New Roman" w:hAnsi="Times New Roman" w:eastAsia="宋体" w:cs="Times New Roman"/>
                <w:sz w:val="18"/>
                <w:szCs w:val="18"/>
              </w:rPr>
              <w:t>6.外币财务报表折算差额</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540" w:firstLineChars="300"/>
              <w:rPr>
                <w:rFonts w:ascii="Times New Roman" w:hAnsi="Times New Roman" w:eastAsia="宋体" w:cs="Times New Roman"/>
                <w:sz w:val="18"/>
                <w:szCs w:val="18"/>
              </w:rPr>
            </w:pPr>
            <w:r>
              <w:rPr>
                <w:rFonts w:ascii="Times New Roman" w:hAnsi="Times New Roman" w:eastAsia="宋体" w:cs="Times New Roman"/>
                <w:sz w:val="18"/>
                <w:szCs w:val="18"/>
              </w:rPr>
              <w:t>7.其他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归属于少数股东的其他综合收益的税后净额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七、综合收益总额</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-667,876,747.97</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90,277,639.49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归属于母公司所有者的综合收益总额</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-624,337,418.82</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36,180,690.39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归属于少数股东的综合收益总额</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-43,539,329.15</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54,096,949.10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八、每股收益：</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（一）基本每股收益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-0.58</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（二）稀释每股收益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-0.53</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0.03</w:t>
            </w:r>
          </w:p>
        </w:tc>
      </w:tr>
    </w:tbl>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本期发生同一控制下企业合并的，被合并方在合并前实现的净利润为：0.00元，上期被合并方实现的净利润为：0.00元。</w:t>
      </w: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法定代表人：杨晓初                                        主管会计工作负责人：张凌                                       会计机构负责人：刘璐希</w:t>
      </w:r>
    </w:p>
    <w:p>
      <w:pPr>
        <w:pStyle w:val="3"/>
        <w:spacing w:line="280" w:lineRule="exact"/>
        <w:jc w:val="left"/>
        <w:rPr>
          <w:rFonts w:ascii="Times New Roman" w:hAnsi="Times New Roman" w:cs="Times New Roman"/>
          <w:b/>
          <w:bCs/>
        </w:rPr>
      </w:pPr>
      <w:bookmarkStart w:id="109" w:name="_Toc988998"/>
      <w:r>
        <w:rPr>
          <w:rFonts w:ascii="Times New Roman" w:hAnsi="Times New Roman" w:cs="Times New Roman"/>
          <w:b/>
          <w:bCs/>
        </w:rPr>
        <w:t>4、母公司利润表</w:t>
      </w:r>
      <w:bookmarkEnd w:id="109"/>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2023年半年度</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2022年半年度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一、营业收入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2,250,987,549.85</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2,357,316,713.91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减：营业成本</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2,105,088,450.66</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2,203,775,036.94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rPr>
                <w:rFonts w:ascii="Times New Roman" w:hAnsi="Times New Roman" w:eastAsia="宋体" w:cs="Times New Roman"/>
                <w:sz w:val="18"/>
                <w:szCs w:val="18"/>
              </w:rPr>
            </w:pPr>
            <w:r>
              <w:rPr>
                <w:rFonts w:ascii="Times New Roman" w:hAnsi="Times New Roman" w:eastAsia="宋体" w:cs="Times New Roman"/>
                <w:sz w:val="18"/>
                <w:szCs w:val="18"/>
              </w:rPr>
              <w:t>税金及附加</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3,557,007.86</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2,868,977.57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rPr>
                <w:rFonts w:ascii="Times New Roman" w:hAnsi="Times New Roman" w:eastAsia="宋体" w:cs="Times New Roman"/>
                <w:sz w:val="18"/>
                <w:szCs w:val="18"/>
              </w:rPr>
            </w:pPr>
            <w:r>
              <w:rPr>
                <w:rFonts w:ascii="Times New Roman" w:hAnsi="Times New Roman" w:eastAsia="宋体" w:cs="Times New Roman"/>
                <w:sz w:val="18"/>
                <w:szCs w:val="18"/>
              </w:rPr>
              <w:t>销售费用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87,804,909.44</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90,429,679.39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rPr>
                <w:rFonts w:ascii="Times New Roman" w:hAnsi="Times New Roman" w:eastAsia="宋体" w:cs="Times New Roman"/>
                <w:sz w:val="18"/>
                <w:szCs w:val="18"/>
              </w:rPr>
            </w:pPr>
            <w:r>
              <w:rPr>
                <w:rFonts w:ascii="Times New Roman" w:hAnsi="Times New Roman" w:eastAsia="宋体" w:cs="Times New Roman"/>
                <w:sz w:val="18"/>
                <w:szCs w:val="18"/>
              </w:rPr>
              <w:t>管理费用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63,176,473.84</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52,190,103.15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rPr>
                <w:rFonts w:ascii="Times New Roman" w:hAnsi="Times New Roman" w:eastAsia="宋体" w:cs="Times New Roman"/>
                <w:sz w:val="18"/>
                <w:szCs w:val="18"/>
              </w:rPr>
            </w:pPr>
            <w:r>
              <w:rPr>
                <w:rFonts w:ascii="Times New Roman" w:hAnsi="Times New Roman" w:eastAsia="宋体" w:cs="Times New Roman"/>
                <w:sz w:val="18"/>
                <w:szCs w:val="18"/>
              </w:rPr>
              <w:t>研发费用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282,415.64</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26,615.07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rPr>
                <w:rFonts w:ascii="Times New Roman" w:hAnsi="Times New Roman" w:eastAsia="宋体" w:cs="Times New Roman"/>
                <w:sz w:val="18"/>
                <w:szCs w:val="18"/>
              </w:rPr>
            </w:pPr>
            <w:r>
              <w:rPr>
                <w:rFonts w:ascii="Times New Roman" w:hAnsi="Times New Roman" w:eastAsia="宋体" w:cs="Times New Roman"/>
                <w:sz w:val="18"/>
                <w:szCs w:val="18"/>
              </w:rPr>
              <w:t>财务费用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37,477,848.68</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23,116,266.00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rPr>
                <w:rFonts w:ascii="Times New Roman" w:hAnsi="Times New Roman" w:eastAsia="宋体" w:cs="Times New Roman"/>
                <w:sz w:val="18"/>
                <w:szCs w:val="18"/>
              </w:rPr>
            </w:pPr>
            <w:r>
              <w:rPr>
                <w:rFonts w:ascii="Times New Roman" w:hAnsi="Times New Roman" w:eastAsia="宋体" w:cs="Times New Roman"/>
                <w:sz w:val="18"/>
                <w:szCs w:val="18"/>
              </w:rPr>
              <w:t>其中：利息费用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40,029,330.02</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38,529,847.08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260" w:firstLineChars="700"/>
              <w:rPr>
                <w:rFonts w:ascii="Times New Roman" w:hAnsi="Times New Roman" w:eastAsia="宋体" w:cs="Times New Roman"/>
                <w:sz w:val="18"/>
                <w:szCs w:val="18"/>
              </w:rPr>
            </w:pPr>
            <w:r>
              <w:rPr>
                <w:rFonts w:ascii="Times New Roman" w:hAnsi="Times New Roman" w:eastAsia="宋体" w:cs="Times New Roman"/>
                <w:sz w:val="18"/>
                <w:szCs w:val="18"/>
              </w:rPr>
              <w:t>利息收入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2,949,682.12</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15,742,984.30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加：其他收益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2,601,958.32</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1,980,736.94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rPr>
                <w:rFonts w:ascii="Times New Roman" w:hAnsi="Times New Roman" w:eastAsia="宋体" w:cs="Times New Roman"/>
                <w:sz w:val="18"/>
                <w:szCs w:val="18"/>
              </w:rPr>
            </w:pPr>
            <w:r>
              <w:rPr>
                <w:rFonts w:ascii="Times New Roman" w:hAnsi="Times New Roman" w:eastAsia="宋体" w:cs="Times New Roman"/>
                <w:sz w:val="18"/>
                <w:szCs w:val="18"/>
              </w:rPr>
              <w:t>投资收益（损失以“－”号填列）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560,000.00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rPr>
                <w:rFonts w:ascii="Times New Roman" w:hAnsi="Times New Roman" w:eastAsia="宋体" w:cs="Times New Roman"/>
                <w:sz w:val="18"/>
                <w:szCs w:val="18"/>
              </w:rPr>
            </w:pPr>
            <w:r>
              <w:rPr>
                <w:rFonts w:ascii="Times New Roman" w:hAnsi="Times New Roman" w:eastAsia="宋体" w:cs="Times New Roman"/>
                <w:sz w:val="18"/>
                <w:szCs w:val="18"/>
              </w:rPr>
              <w:t>其中：对联营企业和合营企业的投资收益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260" w:firstLineChars="700"/>
              <w:rPr>
                <w:rFonts w:ascii="Times New Roman" w:hAnsi="Times New Roman" w:eastAsia="宋体" w:cs="Times New Roman"/>
                <w:sz w:val="18"/>
                <w:szCs w:val="18"/>
              </w:rPr>
            </w:pPr>
            <w:r>
              <w:rPr>
                <w:rFonts w:ascii="Times New Roman" w:hAnsi="Times New Roman" w:eastAsia="宋体" w:cs="Times New Roman"/>
                <w:sz w:val="18"/>
                <w:szCs w:val="18"/>
              </w:rPr>
              <w:t>以摊余成本计量的金融资产终止确认收益（损失以“-”号填列）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rPr>
                <w:rFonts w:ascii="Times New Roman" w:hAnsi="Times New Roman" w:eastAsia="宋体" w:cs="Times New Roman"/>
                <w:sz w:val="18"/>
                <w:szCs w:val="18"/>
              </w:rPr>
            </w:pPr>
            <w:r>
              <w:rPr>
                <w:rFonts w:ascii="Times New Roman" w:hAnsi="Times New Roman" w:eastAsia="宋体" w:cs="Times New Roman"/>
                <w:sz w:val="18"/>
                <w:szCs w:val="18"/>
              </w:rPr>
              <w:t>净敞口套期收益（损失以“－”号填列）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rPr>
                <w:rFonts w:ascii="Times New Roman" w:hAnsi="Times New Roman" w:eastAsia="宋体" w:cs="Times New Roman"/>
                <w:sz w:val="18"/>
                <w:szCs w:val="18"/>
              </w:rPr>
            </w:pPr>
            <w:r>
              <w:rPr>
                <w:rFonts w:ascii="Times New Roman" w:hAnsi="Times New Roman" w:eastAsia="宋体" w:cs="Times New Roman"/>
                <w:sz w:val="18"/>
                <w:szCs w:val="18"/>
              </w:rPr>
              <w:t>公允价值变动收益（损失以“－”号填列）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rPr>
                <w:rFonts w:ascii="Times New Roman" w:hAnsi="Times New Roman" w:eastAsia="宋体" w:cs="Times New Roman"/>
                <w:sz w:val="18"/>
                <w:szCs w:val="18"/>
              </w:rPr>
            </w:pPr>
            <w:r>
              <w:rPr>
                <w:rFonts w:ascii="Times New Roman" w:hAnsi="Times New Roman" w:eastAsia="宋体" w:cs="Times New Roman"/>
                <w:sz w:val="18"/>
                <w:szCs w:val="18"/>
              </w:rPr>
              <w:t>信用减值损失（损失以“-”号填列）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3,990,001.37</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7,533,489.24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rPr>
                <w:rFonts w:ascii="Times New Roman" w:hAnsi="Times New Roman" w:eastAsia="宋体" w:cs="Times New Roman"/>
                <w:sz w:val="18"/>
                <w:szCs w:val="18"/>
              </w:rPr>
            </w:pPr>
            <w:r>
              <w:rPr>
                <w:rFonts w:ascii="Times New Roman" w:hAnsi="Times New Roman" w:eastAsia="宋体" w:cs="Times New Roman"/>
                <w:sz w:val="18"/>
                <w:szCs w:val="18"/>
              </w:rPr>
              <w:t>资产减值损失（损失以“-”号填列）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-32,304,710.66</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43,012,454.67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rPr>
                <w:rFonts w:ascii="Times New Roman" w:hAnsi="Times New Roman" w:eastAsia="宋体" w:cs="Times New Roman"/>
                <w:sz w:val="18"/>
                <w:szCs w:val="18"/>
              </w:rPr>
            </w:pPr>
            <w:r>
              <w:rPr>
                <w:rFonts w:ascii="Times New Roman" w:hAnsi="Times New Roman" w:eastAsia="宋体" w:cs="Times New Roman"/>
                <w:sz w:val="18"/>
                <w:szCs w:val="18"/>
              </w:rPr>
              <w:t>资产处置收益（损失以“-”号填列）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37,682.96</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-737,727.97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二、营业利润（亏损以“－”号填列）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-72,074,624.28</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37,258,988.67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加：营业外收入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924,029.42</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339,056.93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减：营业外支出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1,389,880.50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239,451.66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三、利润总额（亏损总额以“－”号填列）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-72,540,475.36</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37,358,593.94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减：所得税费用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-2,225,956.67</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17,305,998.03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四、净利润（净亏损以“－”号填列）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-70,314,518.69</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20,052,595.91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（一）持续经营净利润（净亏损以“－”号填列）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-70,314,518.69</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20,052,595.91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（二）终止经营净利润（净亏损以“－”号填列）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五、其他综合收益的税后净额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360" w:firstLineChars="200"/>
              <w:rPr>
                <w:rFonts w:ascii="Times New Roman" w:hAnsi="Times New Roman" w:eastAsia="宋体" w:cs="Times New Roman"/>
                <w:sz w:val="18"/>
                <w:szCs w:val="18"/>
              </w:rPr>
            </w:pPr>
            <w:r>
              <w:rPr>
                <w:rFonts w:ascii="Times New Roman" w:hAnsi="Times New Roman" w:eastAsia="宋体" w:cs="Times New Roman"/>
                <w:sz w:val="18"/>
                <w:szCs w:val="18"/>
              </w:rPr>
              <w:t>（一）不能重分类进损益的其他综合收益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540" w:firstLineChars="300"/>
              <w:rPr>
                <w:rFonts w:ascii="Times New Roman" w:hAnsi="Times New Roman" w:eastAsia="宋体" w:cs="Times New Roman"/>
                <w:sz w:val="18"/>
                <w:szCs w:val="18"/>
              </w:rPr>
            </w:pPr>
            <w:r>
              <w:rPr>
                <w:rFonts w:ascii="Times New Roman" w:hAnsi="Times New Roman" w:eastAsia="宋体" w:cs="Times New Roman"/>
                <w:sz w:val="18"/>
                <w:szCs w:val="18"/>
              </w:rPr>
              <w:t>1.重新计量设定受益计划变动额</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540" w:firstLineChars="300"/>
              <w:rPr>
                <w:rFonts w:ascii="Times New Roman" w:hAnsi="Times New Roman" w:eastAsia="宋体" w:cs="Times New Roman"/>
                <w:sz w:val="18"/>
                <w:szCs w:val="18"/>
              </w:rPr>
            </w:pPr>
            <w:r>
              <w:rPr>
                <w:rFonts w:ascii="Times New Roman" w:hAnsi="Times New Roman" w:eastAsia="宋体" w:cs="Times New Roman"/>
                <w:sz w:val="18"/>
                <w:szCs w:val="18"/>
              </w:rPr>
              <w:t>2.权益法下不能转损益的其他综合收益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540" w:firstLineChars="300"/>
              <w:rPr>
                <w:rFonts w:ascii="Times New Roman" w:hAnsi="Times New Roman" w:eastAsia="宋体" w:cs="Times New Roman"/>
                <w:sz w:val="18"/>
                <w:szCs w:val="18"/>
              </w:rPr>
            </w:pPr>
            <w:r>
              <w:rPr>
                <w:rFonts w:ascii="Times New Roman" w:hAnsi="Times New Roman" w:eastAsia="宋体" w:cs="Times New Roman"/>
                <w:sz w:val="18"/>
                <w:szCs w:val="18"/>
              </w:rPr>
              <w:t>3.其他权益工具投资公允价值变动</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540" w:firstLineChars="300"/>
              <w:rPr>
                <w:rFonts w:ascii="Times New Roman" w:hAnsi="Times New Roman" w:eastAsia="宋体" w:cs="Times New Roman"/>
                <w:sz w:val="18"/>
                <w:szCs w:val="18"/>
              </w:rPr>
            </w:pPr>
            <w:r>
              <w:rPr>
                <w:rFonts w:ascii="Times New Roman" w:hAnsi="Times New Roman" w:eastAsia="宋体" w:cs="Times New Roman"/>
                <w:sz w:val="18"/>
                <w:szCs w:val="18"/>
              </w:rPr>
              <w:t>4.企业自身信用风险公允价值变动</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540" w:firstLineChars="300"/>
              <w:rPr>
                <w:rFonts w:ascii="Times New Roman" w:hAnsi="Times New Roman" w:eastAsia="宋体" w:cs="Times New Roman"/>
                <w:sz w:val="18"/>
                <w:szCs w:val="18"/>
              </w:rPr>
            </w:pPr>
            <w:r>
              <w:rPr>
                <w:rFonts w:ascii="Times New Roman" w:hAnsi="Times New Roman" w:eastAsia="宋体" w:cs="Times New Roman"/>
                <w:sz w:val="18"/>
                <w:szCs w:val="18"/>
              </w:rPr>
              <w:t>5.其他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360" w:firstLineChars="200"/>
              <w:rPr>
                <w:rFonts w:ascii="Times New Roman" w:hAnsi="Times New Roman" w:eastAsia="宋体" w:cs="Times New Roman"/>
                <w:sz w:val="18"/>
                <w:szCs w:val="18"/>
              </w:rPr>
            </w:pPr>
            <w:r>
              <w:rPr>
                <w:rFonts w:ascii="Times New Roman" w:hAnsi="Times New Roman" w:eastAsia="宋体" w:cs="Times New Roman"/>
                <w:sz w:val="18"/>
                <w:szCs w:val="18"/>
              </w:rPr>
              <w:t>（二）将重分类进损益的其他综合收益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540" w:firstLineChars="300"/>
              <w:rPr>
                <w:rFonts w:ascii="Times New Roman" w:hAnsi="Times New Roman" w:eastAsia="宋体" w:cs="Times New Roman"/>
                <w:sz w:val="18"/>
                <w:szCs w:val="18"/>
              </w:rPr>
            </w:pPr>
            <w:r>
              <w:rPr>
                <w:rFonts w:ascii="Times New Roman" w:hAnsi="Times New Roman" w:eastAsia="宋体" w:cs="Times New Roman"/>
                <w:sz w:val="18"/>
                <w:szCs w:val="18"/>
              </w:rPr>
              <w:t>1.权益法下可转损益的其他综合收益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540" w:firstLineChars="300"/>
              <w:rPr>
                <w:rFonts w:ascii="Times New Roman" w:hAnsi="Times New Roman" w:eastAsia="宋体" w:cs="Times New Roman"/>
                <w:sz w:val="18"/>
                <w:szCs w:val="18"/>
              </w:rPr>
            </w:pPr>
            <w:r>
              <w:rPr>
                <w:rFonts w:ascii="Times New Roman" w:hAnsi="Times New Roman" w:eastAsia="宋体" w:cs="Times New Roman"/>
                <w:sz w:val="18"/>
                <w:szCs w:val="18"/>
              </w:rPr>
              <w:t>2.其他债权投资公允价值变动</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540" w:firstLineChars="300"/>
              <w:rPr>
                <w:rFonts w:ascii="Times New Roman" w:hAnsi="Times New Roman" w:eastAsia="宋体" w:cs="Times New Roman"/>
                <w:sz w:val="18"/>
                <w:szCs w:val="18"/>
              </w:rPr>
            </w:pPr>
            <w:r>
              <w:rPr>
                <w:rFonts w:ascii="Times New Roman" w:hAnsi="Times New Roman" w:eastAsia="宋体" w:cs="Times New Roman"/>
                <w:sz w:val="18"/>
                <w:szCs w:val="18"/>
              </w:rPr>
              <w:t>3.金融资产重分类计入其他综合收益的金额</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540" w:firstLineChars="300"/>
              <w:rPr>
                <w:rFonts w:ascii="Times New Roman" w:hAnsi="Times New Roman" w:eastAsia="宋体" w:cs="Times New Roman"/>
                <w:sz w:val="18"/>
                <w:szCs w:val="18"/>
              </w:rPr>
            </w:pPr>
            <w:r>
              <w:rPr>
                <w:rFonts w:ascii="Times New Roman" w:hAnsi="Times New Roman" w:eastAsia="宋体" w:cs="Times New Roman"/>
                <w:sz w:val="18"/>
                <w:szCs w:val="18"/>
              </w:rPr>
              <w:t>4.其他债权投资信用减值准备</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540" w:firstLineChars="300"/>
              <w:rPr>
                <w:rFonts w:ascii="Times New Roman" w:hAnsi="Times New Roman" w:eastAsia="宋体" w:cs="Times New Roman"/>
                <w:sz w:val="18"/>
                <w:szCs w:val="18"/>
              </w:rPr>
            </w:pPr>
            <w:r>
              <w:rPr>
                <w:rFonts w:ascii="Times New Roman" w:hAnsi="Times New Roman" w:eastAsia="宋体" w:cs="Times New Roman"/>
                <w:sz w:val="18"/>
                <w:szCs w:val="18"/>
              </w:rPr>
              <w:t>5.现金流量套期储备</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540" w:firstLineChars="300"/>
              <w:rPr>
                <w:rFonts w:ascii="Times New Roman" w:hAnsi="Times New Roman" w:eastAsia="宋体" w:cs="Times New Roman"/>
                <w:sz w:val="18"/>
                <w:szCs w:val="18"/>
              </w:rPr>
            </w:pPr>
            <w:r>
              <w:rPr>
                <w:rFonts w:ascii="Times New Roman" w:hAnsi="Times New Roman" w:eastAsia="宋体" w:cs="Times New Roman"/>
                <w:sz w:val="18"/>
                <w:szCs w:val="18"/>
              </w:rPr>
              <w:t>6.外币财务报表折算差额</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540" w:firstLineChars="300"/>
              <w:rPr>
                <w:rFonts w:ascii="Times New Roman" w:hAnsi="Times New Roman" w:eastAsia="宋体" w:cs="Times New Roman"/>
                <w:sz w:val="18"/>
                <w:szCs w:val="18"/>
              </w:rPr>
            </w:pPr>
            <w:r>
              <w:rPr>
                <w:rFonts w:ascii="Times New Roman" w:hAnsi="Times New Roman" w:eastAsia="宋体" w:cs="Times New Roman"/>
                <w:sz w:val="18"/>
                <w:szCs w:val="18"/>
              </w:rPr>
              <w:t>7.其他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六、综合收益总额</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-70,314,518.69</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20,052,595.91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七、每股收益：</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（一）基本每股收益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（二）稀释每股收益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bl>
    <w:p>
      <w:pPr>
        <w:pStyle w:val="3"/>
        <w:spacing w:line="280" w:lineRule="exact"/>
        <w:jc w:val="left"/>
        <w:rPr>
          <w:rFonts w:ascii="Times New Roman" w:hAnsi="Times New Roman" w:cs="Times New Roman"/>
          <w:b/>
          <w:bCs/>
        </w:rPr>
      </w:pPr>
      <w:bookmarkStart w:id="110" w:name="_Toc988999"/>
      <w:r>
        <w:rPr>
          <w:rFonts w:ascii="Times New Roman" w:hAnsi="Times New Roman" w:cs="Times New Roman"/>
          <w:b/>
          <w:bCs/>
        </w:rPr>
        <w:t>5、合并现金流量表</w:t>
      </w:r>
      <w:bookmarkEnd w:id="110"/>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2023年半年度</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2022年半年度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一、经营活动产生的现金流量：</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销售商品、提供劳务收到的现金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7,514,806,304.66</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7,756,891,804.55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客户存款和同业存放款项净增加额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向中央银行借款净增加额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向其他金融机构拆入资金净增加额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收到原保险合同保费取得的现金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收到再保业务现金净额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保户储金及投资款净增加额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收取利息、手续费及佣金的现金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拆入资金净增加额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回购业务资金净增加额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代理买卖证券收到的现金净额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收到的税费返还</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37,759,604.07</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39,881,596.42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收到其他与经营活动有关的现金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124,584,149.56</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81,590,693.35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经营活动现金流入小计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7,677,150,058.29</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7,878,364,094.32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购买商品、接受劳务支付的现金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7,624,057,916.15</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6,712,848,108.71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客户贷款及垫款净增加额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存放中央银行和同业款项净增加额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支付原保险合同赔付款项的现金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拆出资金净增加额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支付利息、手续费及佣金的现金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支付保单红利的现金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支付给职工以及为职工支付的现金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265,630,342.59</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283,684,825.36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支付的各项税费</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16,347,617.62</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25,081,681.50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支付其他与经营活动有关的现金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137,669,626.37</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129,192,284.69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经营活动现金流出小计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8,043,705,502.73</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7,150,806,900.26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经营活动产生的现金流量净额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-366,555,444.44</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727,557,194.06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二、投资活动产生的现金流量：</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收回投资收到的现金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600,000,000.00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取得投资收益收到的现金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12,000,000.00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处置固定资产、无形资产和其他长期资产收回的现金净额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42,110,286.14</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41,342,360.88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处置子公司及其他营业单位收到的现金净额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收到其他与投资活动有关的现金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投资活动现金流入小计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654,110,286.14</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41,342,360.88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购建固定资产、无形资产和其他长期资产支付的现金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327,556,998.56</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375,222,805.50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投资支付的现金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12,211,500.00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质押贷款净增加额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取得子公司及其他营业单位支付的现金净额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支付其他与投资活动有关的现金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投资活动现金流出小计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339,768,498.56</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375,222,805.50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投资活动产生的现金流量净额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314,341,787.58</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-333,880,444.62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三、筹资活动产生的现金流量：</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吸收投资收到的现金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3,786,675.95</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29,343,461.39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其中：子公司吸收少数股东投资收到的现金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取得借款收到的现金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964,584,767.07</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1,528,591,172.11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收到其他与筹资活动有关的现金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659,496,106.18</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筹资活动现金流入小计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1,627,867,549.20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1,557,934,633.50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偿还债务支付的现金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956,617,772.83</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1,915,975,231.13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分配股利、利润或偿付利息支付的现金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26,000,344.48</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37,456,807.07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其中：子公司支付给少数股东的股利、利润</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支付其他与筹资活动有关的现金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496,017,775.27</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12,443,130.82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筹资活动现金流出小计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1,478,635,892.58</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1,965,875,169.02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筹资活动产生的现金流量净额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149,231,656.62</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-407,940,535.52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四、汇率变动对现金及现金等价物的影响</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69,269.64</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-934,742.61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五、现金及现金等价物净增加额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97,087,269.40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-15,198,528.69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加：期初现金及现金等价物余额</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749,118,356.19</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1,746,221,993.07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六、期末现金及现金等价物余额</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846,205,625.59</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1,731,023,464.38</w:t>
            </w:r>
          </w:p>
        </w:tc>
      </w:tr>
    </w:tbl>
    <w:p>
      <w:pPr>
        <w:pStyle w:val="3"/>
        <w:spacing w:line="280" w:lineRule="exact"/>
        <w:jc w:val="left"/>
        <w:rPr>
          <w:rFonts w:ascii="Times New Roman" w:hAnsi="Times New Roman" w:cs="Times New Roman"/>
          <w:b/>
          <w:bCs/>
        </w:rPr>
      </w:pPr>
      <w:bookmarkStart w:id="111" w:name="_Toc989000"/>
      <w:r>
        <w:rPr>
          <w:rFonts w:ascii="Times New Roman" w:hAnsi="Times New Roman" w:cs="Times New Roman"/>
          <w:b/>
          <w:bCs/>
        </w:rPr>
        <w:t>6、母公司现金流量表</w:t>
      </w:r>
      <w:bookmarkEnd w:id="111"/>
    </w:p>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2023年半年度</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2022年半年度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一、经营活动产生的现金流量：</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销售商品、提供劳务收到的现金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2,673,700,392.10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2,759,316,749.70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收到的税费返还</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27,487,047.87</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11,157,251.89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收到其他与经营活动有关的现金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39,347,953.74</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42,633,037.04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经营活动现金流入小计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2,740,535,393.71</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2,813,107,038.63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购买商品、接受劳务支付的现金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2,646,280,302.39</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2,632,523,698.98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支付给职工以及为职工支付的现金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123,965,562.00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122,031,478.71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支付的各项税费</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3,595,764.40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-3,343,976.60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支付其他与经营活动有关的现金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99,358,348.91</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92,675,734.51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经营活动现金流出小计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2,873,199,977.70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2,843,886,935.60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经营活动产生的现金流量净额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-132,664,583.99</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-30,779,896.97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二、投资活动产生的现金流量：</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收回投资收到的现金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取得投资收益收到的现金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560,000.00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处置固定资产、无形资产和其他长期资产收回的现金净额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1,082,633.04</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25,578.75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处置子公司及其他营业单位收到的现金净额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收到其他与投资活动有关的现金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284,736,505.75</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417,311,844.69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投资活动现金流入小计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285,819,138.79</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417,897,423.44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购建固定资产、无形资产和其他长期资产支付的现金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-8,229,139.10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34,011,445.23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投资支付的现金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22,211,500.00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163,000,000.00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取得子公司及其他营业单位支付的现金净额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支付其他与投资活动有关的现金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317,120,000.00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218,050,000.00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投资活动现金流出小计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331,102,360.90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415,061,445.23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投资活动产生的现金流量净额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-45,283,222.11</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2,835,978.21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三、筹资活动产生的现金流量：</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吸收投资收到的现金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3,786,675.95</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27,343,461.39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取得借款收到的现金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419,200,000.00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582,000,000.00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收到其他与筹资活动有关的现金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488,310,000.00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6,000,000.00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筹资活动现金流入小计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911,296,675.95</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615,343,461.39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偿还债务支付的现金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583,600,000.00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462,000,000.00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分配股利、利润或偿付利息支付的现金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16,332,563.52</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17,050,754.21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支付其他与筹资活动有关的现金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393,380,788.84</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17,410,863.03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筹资活动现金流出小计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993,313,352.36</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496,461,617.24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筹资活动产生的现金流量净额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-82,016,676.41</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118,881,844.15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四、汇率变动对现金及现金等价物的影响</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5,315.82</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-2,806.87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五、现金及现金等价物净增加额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-259,959,166.69</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90,935,118.52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加：期初现金及现金等价物余额</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418,215,505.68</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698,085,152.06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六、期末现金及现金等价物余额</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158,256,338.99</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789,020,270.58</w:t>
            </w:r>
          </w:p>
        </w:tc>
      </w:tr>
    </w:tbl>
    <w:p>
      <w:pPr>
        <w:pStyle w:val="3"/>
        <w:spacing w:line="280" w:lineRule="exact"/>
        <w:jc w:val="left"/>
        <w:rPr>
          <w:rFonts w:ascii="Times New Roman" w:hAnsi="Times New Roman" w:cs="Times New Roman"/>
          <w:b/>
          <w:bCs/>
        </w:rPr>
      </w:pPr>
      <w:bookmarkStart w:id="112" w:name="_Toc989001"/>
      <w:r>
        <w:rPr>
          <w:rFonts w:ascii="Times New Roman" w:hAnsi="Times New Roman" w:cs="Times New Roman"/>
          <w:b/>
          <w:bCs/>
        </w:rPr>
        <w:t>7、合并所有者权益变动表</w:t>
      </w:r>
      <w:bookmarkEnd w:id="112"/>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本期金额</w:t>
      </w:r>
    </w:p>
    <w:p>
      <w:pPr>
        <w:spacing w:before="120" w:after="12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198"/>
        <w:gridCol w:w="562"/>
        <w:gridCol w:w="562"/>
        <w:gridCol w:w="562"/>
        <w:gridCol w:w="562"/>
        <w:gridCol w:w="563"/>
        <w:gridCol w:w="563"/>
        <w:gridCol w:w="563"/>
        <w:gridCol w:w="563"/>
        <w:gridCol w:w="563"/>
        <w:gridCol w:w="563"/>
        <w:gridCol w:w="563"/>
        <w:gridCol w:w="563"/>
        <w:gridCol w:w="563"/>
        <w:gridCol w:w="563"/>
        <w:gridCol w:w="56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w:t>
            </w:r>
          </w:p>
        </w:tc>
        <w:tc>
          <w:tcPr>
            <w:tcW w:w="8439" w:type="dxa"/>
            <w:gridSpan w:val="1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2023年半年度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7314" w:type="dxa"/>
            <w:gridSpan w:val="1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归属于母公司所有者权益</w:t>
            </w:r>
          </w:p>
        </w:tc>
        <w:tc>
          <w:tcPr>
            <w:tcW w:w="56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0" w:lineRule="atLeast"/>
              <w:jc w:val="center"/>
              <w:rPr>
                <w:rFonts w:ascii="Times New Roman" w:hAnsi="Times New Roman" w:eastAsia="宋体" w:cs="Times New Roman"/>
                <w:sz w:val="18"/>
                <w:szCs w:val="18"/>
              </w:rPr>
            </w:pPr>
            <w:r>
              <w:rPr>
                <w:rFonts w:ascii="Times New Roman" w:hAnsi="Times New Roman" w:eastAsia="宋体" w:cs="Times New Roman"/>
                <w:sz w:val="18"/>
                <w:szCs w:val="18"/>
              </w:rPr>
              <w:t>少数股东权益</w:t>
            </w:r>
          </w:p>
        </w:tc>
        <w:tc>
          <w:tcPr>
            <w:tcW w:w="56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所有者权益合计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56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股本</w:t>
            </w:r>
          </w:p>
        </w:tc>
        <w:tc>
          <w:tcPr>
            <w:tcW w:w="1688"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其他权益工具</w:t>
            </w:r>
          </w:p>
        </w:tc>
        <w:tc>
          <w:tcPr>
            <w:tcW w:w="56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资本公积</w:t>
            </w:r>
          </w:p>
        </w:tc>
        <w:tc>
          <w:tcPr>
            <w:tcW w:w="56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减：库存股</w:t>
            </w:r>
          </w:p>
        </w:tc>
        <w:tc>
          <w:tcPr>
            <w:tcW w:w="56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其他综合收益</w:t>
            </w:r>
          </w:p>
        </w:tc>
        <w:tc>
          <w:tcPr>
            <w:tcW w:w="56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专项储备</w:t>
            </w:r>
          </w:p>
        </w:tc>
        <w:tc>
          <w:tcPr>
            <w:tcW w:w="56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盈余公积</w:t>
            </w:r>
          </w:p>
        </w:tc>
        <w:tc>
          <w:tcPr>
            <w:tcW w:w="56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一般风险准备</w:t>
            </w:r>
          </w:p>
        </w:tc>
        <w:tc>
          <w:tcPr>
            <w:tcW w:w="56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未分配利润</w:t>
            </w:r>
          </w:p>
        </w:tc>
        <w:tc>
          <w:tcPr>
            <w:tcW w:w="56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其他</w:t>
            </w:r>
          </w:p>
        </w:tc>
        <w:tc>
          <w:tcPr>
            <w:tcW w:w="56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小计</w:t>
            </w:r>
          </w:p>
        </w:tc>
        <w:tc>
          <w:tcPr>
            <w:tcW w:w="56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56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56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56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优先股</w:t>
            </w:r>
          </w:p>
        </w:tc>
        <w:tc>
          <w:tcPr>
            <w:tcW w:w="56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永续债</w:t>
            </w:r>
          </w:p>
        </w:tc>
        <w:tc>
          <w:tcPr>
            <w:tcW w:w="56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其他</w:t>
            </w:r>
          </w:p>
        </w:tc>
        <w:tc>
          <w:tcPr>
            <w:tcW w:w="56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56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56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563" w:type="dxa"/>
            <w:vMerge w:val="continue"/>
            <w:tcBorders>
              <w:top w:val="single" w:color="auto" w:sz="2" w:space="0"/>
              <w:left w:val="single" w:color="auto" w:sz="2" w:space="0"/>
              <w:bottom w:val="single" w:color="auto" w:sz="2" w:space="0"/>
              <w:right w:val="single" w:color="auto" w:sz="2" w:space="0"/>
            </w:tcBorders>
            <w:vAlign w:val="center"/>
          </w:tcPr>
          <w:p>
            <w:pPr>
              <w:rPr>
                <w:rFonts w:ascii="Times New Roman" w:hAnsi="Times New Roman" w:cs="Times New Roman"/>
              </w:rPr>
            </w:pPr>
          </w:p>
        </w:tc>
        <w:tc>
          <w:tcPr>
            <w:tcW w:w="56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56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56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56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56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56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56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一、上年期末余额</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1,079,128,488.00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171,571,679.93</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831,830,715.12</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37,244,672.24</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-11,777,820.33</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263,717,929.16</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1,022,982,107.97</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3,320,208,427.61</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183,512,363.61</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3,503,720,791.22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rPr>
                <w:rFonts w:ascii="Times New Roman" w:hAnsi="Times New Roman" w:eastAsia="宋体" w:cs="Times New Roman"/>
                <w:sz w:val="18"/>
                <w:szCs w:val="18"/>
              </w:rPr>
            </w:pPr>
            <w:r>
              <w:rPr>
                <w:rFonts w:ascii="Times New Roman" w:hAnsi="Times New Roman" w:eastAsia="宋体" w:cs="Times New Roman"/>
                <w:sz w:val="18"/>
                <w:szCs w:val="18"/>
              </w:rPr>
              <w:t>加：会计政策变更</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72,221.95</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72,221.95</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1,004.82</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73,226.77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rPr>
                <w:rFonts w:ascii="Times New Roman" w:hAnsi="Times New Roman" w:eastAsia="宋体" w:cs="Times New Roman"/>
                <w:sz w:val="18"/>
                <w:szCs w:val="18"/>
              </w:rPr>
            </w:pPr>
            <w:r>
              <w:rPr>
                <w:rFonts w:ascii="Times New Roman" w:hAnsi="Times New Roman" w:eastAsia="宋体" w:cs="Times New Roman"/>
                <w:sz w:val="18"/>
                <w:szCs w:val="18"/>
              </w:rPr>
              <w:t>前期差错更正</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rPr>
                <w:rFonts w:ascii="Times New Roman" w:hAnsi="Times New Roman" w:eastAsia="宋体" w:cs="Times New Roman"/>
                <w:sz w:val="18"/>
                <w:szCs w:val="18"/>
              </w:rPr>
            </w:pPr>
            <w:r>
              <w:rPr>
                <w:rFonts w:ascii="Times New Roman" w:hAnsi="Times New Roman" w:eastAsia="宋体" w:cs="Times New Roman"/>
                <w:sz w:val="18"/>
                <w:szCs w:val="18"/>
              </w:rPr>
              <w:t>同一控制下企业合并</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rPr>
                <w:rFonts w:ascii="Times New Roman" w:hAnsi="Times New Roman" w:eastAsia="宋体" w:cs="Times New Roman"/>
                <w:sz w:val="18"/>
                <w:szCs w:val="18"/>
              </w:rPr>
            </w:pPr>
            <w:r>
              <w:rPr>
                <w:rFonts w:ascii="Times New Roman" w:hAnsi="Times New Roman" w:eastAsia="宋体" w:cs="Times New Roman"/>
                <w:sz w:val="18"/>
                <w:szCs w:val="18"/>
              </w:rPr>
              <w:t>其他</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二、本年期初余额</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1,079,128,488.00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171,571,679.93</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831,830,715.12</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37,244,672.24</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-11,777,820.33</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263,717,929.16</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1,023,054,329.92</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3,320,280,649.56</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183,513,368.43</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3,503,794,017.99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三、本期增减变动金额（减少以“－”号填列）</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31,237.00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-616.60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-2,442,984.26</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61,768,604.49</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-624,337,418.82</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-688,518,387.17</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-40,908,443.83</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-729,426,831.00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（一）综合收益总额</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-624,337,418.82</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-624,337,418.82</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-43,539,329.15</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-667,876,747.97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（二）所有者投入和减少资本</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31,237.00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-616.60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-2,442,984.26</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61,768,604.49</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-64,180,968.35</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2,630,885.32</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-61,550,083.03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1．所有者投入的普通股</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31,237.00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187,901.06</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219,138.06</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219,138.06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2．其他权益工具持有者投入资本</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3．股份支付计入所有者权益的金额</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4．其他</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-616.60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-2,630,885.32</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61,768,604.49</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-64,400,106.41</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2,630,885.32</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-61,769,221.09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（三）利润分配</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1．提取盈余公积</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2．提取一般风险准备</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3．对所有者（或股东）的分配</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4．其他</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（四）所有者权益内部结转</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1．资本公积转增资本（或股本）</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2．盈余公积转增资本（或股本）</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3．盈余公积弥补亏损</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4．设定受益计划变动额结转留存收益</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5．其他综合收益结转留存收益</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6．其他</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（五）专项储备</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1．本期提取</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2．本期使用</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（六）其他</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四、本期期末余额</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1,079,159,725.00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171,571,063.33</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829,387,730.86</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99,013,276.73</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-11,777,820.33</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263,717,929.16</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398,716,911.10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2,631,762,262.39</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142,604,924.60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2,774,367,186.99</w:t>
            </w:r>
          </w:p>
        </w:tc>
      </w:tr>
    </w:tbl>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上年金额</w:t>
      </w:r>
    </w:p>
    <w:p>
      <w:pPr>
        <w:spacing w:before="120" w:after="12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198"/>
        <w:gridCol w:w="562"/>
        <w:gridCol w:w="562"/>
        <w:gridCol w:w="562"/>
        <w:gridCol w:w="562"/>
        <w:gridCol w:w="563"/>
        <w:gridCol w:w="563"/>
        <w:gridCol w:w="563"/>
        <w:gridCol w:w="563"/>
        <w:gridCol w:w="563"/>
        <w:gridCol w:w="563"/>
        <w:gridCol w:w="563"/>
        <w:gridCol w:w="563"/>
        <w:gridCol w:w="563"/>
        <w:gridCol w:w="563"/>
        <w:gridCol w:w="56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w:t>
            </w:r>
          </w:p>
        </w:tc>
        <w:tc>
          <w:tcPr>
            <w:tcW w:w="8439" w:type="dxa"/>
            <w:gridSpan w:val="1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2022年半年度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7314" w:type="dxa"/>
            <w:gridSpan w:val="1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归属于母公司所有者权益</w:t>
            </w:r>
          </w:p>
        </w:tc>
        <w:tc>
          <w:tcPr>
            <w:tcW w:w="56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少数股东权益</w:t>
            </w:r>
          </w:p>
        </w:tc>
        <w:tc>
          <w:tcPr>
            <w:tcW w:w="56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所有者权益合计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56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股本</w:t>
            </w:r>
          </w:p>
        </w:tc>
        <w:tc>
          <w:tcPr>
            <w:tcW w:w="1688"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其他权益工具</w:t>
            </w:r>
          </w:p>
        </w:tc>
        <w:tc>
          <w:tcPr>
            <w:tcW w:w="56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资本公积</w:t>
            </w:r>
          </w:p>
        </w:tc>
        <w:tc>
          <w:tcPr>
            <w:tcW w:w="56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减：库存股</w:t>
            </w:r>
          </w:p>
        </w:tc>
        <w:tc>
          <w:tcPr>
            <w:tcW w:w="56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其他综合收益</w:t>
            </w:r>
          </w:p>
        </w:tc>
        <w:tc>
          <w:tcPr>
            <w:tcW w:w="56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专项储备</w:t>
            </w:r>
          </w:p>
        </w:tc>
        <w:tc>
          <w:tcPr>
            <w:tcW w:w="56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盈余公积</w:t>
            </w:r>
          </w:p>
        </w:tc>
        <w:tc>
          <w:tcPr>
            <w:tcW w:w="56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一般风险准备</w:t>
            </w:r>
          </w:p>
        </w:tc>
        <w:tc>
          <w:tcPr>
            <w:tcW w:w="56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未分配利润</w:t>
            </w:r>
          </w:p>
        </w:tc>
        <w:tc>
          <w:tcPr>
            <w:tcW w:w="56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其他</w:t>
            </w:r>
          </w:p>
        </w:tc>
        <w:tc>
          <w:tcPr>
            <w:tcW w:w="56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小计</w:t>
            </w:r>
          </w:p>
        </w:tc>
        <w:tc>
          <w:tcPr>
            <w:tcW w:w="56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56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56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56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优先股</w:t>
            </w:r>
          </w:p>
        </w:tc>
        <w:tc>
          <w:tcPr>
            <w:tcW w:w="56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永续债</w:t>
            </w:r>
          </w:p>
        </w:tc>
        <w:tc>
          <w:tcPr>
            <w:tcW w:w="56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其他</w:t>
            </w:r>
          </w:p>
        </w:tc>
        <w:tc>
          <w:tcPr>
            <w:tcW w:w="56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56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56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563" w:type="dxa"/>
            <w:vMerge w:val="continue"/>
            <w:tcBorders>
              <w:top w:val="single" w:color="auto" w:sz="2" w:space="0"/>
              <w:left w:val="single" w:color="auto" w:sz="2" w:space="0"/>
              <w:bottom w:val="single" w:color="auto" w:sz="2" w:space="0"/>
              <w:right w:val="single" w:color="auto" w:sz="2" w:space="0"/>
            </w:tcBorders>
            <w:vAlign w:val="center"/>
          </w:tcPr>
          <w:p>
            <w:pPr>
              <w:rPr>
                <w:rFonts w:ascii="Times New Roman" w:hAnsi="Times New Roman" w:cs="Times New Roman"/>
              </w:rPr>
            </w:pPr>
          </w:p>
        </w:tc>
        <w:tc>
          <w:tcPr>
            <w:tcW w:w="56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56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56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563" w:type="dxa"/>
            <w:vMerge w:val="continue"/>
            <w:tcBorders>
              <w:top w:val="single" w:color="auto" w:sz="2" w:space="0"/>
              <w:left w:val="single" w:color="auto" w:sz="2" w:space="0"/>
              <w:bottom w:val="single" w:color="auto" w:sz="2" w:space="0"/>
              <w:right w:val="single" w:color="auto" w:sz="2" w:space="0"/>
            </w:tcBorders>
            <w:vAlign w:val="center"/>
          </w:tcPr>
          <w:p>
            <w:pPr>
              <w:rPr>
                <w:rFonts w:ascii="Times New Roman" w:hAnsi="Times New Roman" w:cs="Times New Roman"/>
              </w:rPr>
            </w:pPr>
          </w:p>
        </w:tc>
        <w:tc>
          <w:tcPr>
            <w:tcW w:w="563" w:type="dxa"/>
            <w:vMerge w:val="continue"/>
            <w:tcBorders>
              <w:top w:val="single" w:color="auto" w:sz="2" w:space="0"/>
              <w:left w:val="single" w:color="auto" w:sz="2" w:space="0"/>
              <w:bottom w:val="single" w:color="auto" w:sz="2" w:space="0"/>
              <w:right w:val="single" w:color="auto" w:sz="2" w:space="0"/>
            </w:tcBorders>
            <w:vAlign w:val="center"/>
          </w:tcPr>
          <w:p>
            <w:pPr>
              <w:rPr>
                <w:rFonts w:ascii="Times New Roman" w:hAnsi="Times New Roman" w:cs="Times New Roman"/>
              </w:rPr>
            </w:pPr>
          </w:p>
        </w:tc>
        <w:tc>
          <w:tcPr>
            <w:tcW w:w="56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56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一、上年期末余额</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1,078,860,185.00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171,581,632.30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813,738,917.61</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31,491,174.00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-8,833,365.24</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263,717,929.16</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947,273,347.94</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3,234,847,472.77</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155,665,898.19</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3,390,513,370.96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rPr>
                <w:rFonts w:ascii="Times New Roman" w:hAnsi="Times New Roman" w:eastAsia="宋体" w:cs="Times New Roman"/>
                <w:sz w:val="18"/>
                <w:szCs w:val="18"/>
              </w:rPr>
            </w:pPr>
            <w:r>
              <w:rPr>
                <w:rFonts w:ascii="Times New Roman" w:hAnsi="Times New Roman" w:eastAsia="宋体" w:cs="Times New Roman"/>
                <w:sz w:val="18"/>
                <w:szCs w:val="18"/>
              </w:rPr>
              <w:t>加：会计政策变更</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rPr>
                <w:rFonts w:ascii="Times New Roman" w:hAnsi="Times New Roman" w:eastAsia="宋体" w:cs="Times New Roman"/>
                <w:sz w:val="18"/>
                <w:szCs w:val="18"/>
              </w:rPr>
            </w:pPr>
            <w:r>
              <w:rPr>
                <w:rFonts w:ascii="Times New Roman" w:hAnsi="Times New Roman" w:eastAsia="宋体" w:cs="Times New Roman"/>
                <w:sz w:val="18"/>
                <w:szCs w:val="18"/>
              </w:rPr>
              <w:t>前期差错更正</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rPr>
                <w:rFonts w:ascii="Times New Roman" w:hAnsi="Times New Roman" w:eastAsia="宋体" w:cs="Times New Roman"/>
                <w:sz w:val="18"/>
                <w:szCs w:val="18"/>
              </w:rPr>
            </w:pPr>
            <w:r>
              <w:rPr>
                <w:rFonts w:ascii="Times New Roman" w:hAnsi="Times New Roman" w:eastAsia="宋体" w:cs="Times New Roman"/>
                <w:sz w:val="18"/>
                <w:szCs w:val="18"/>
              </w:rPr>
              <w:t>同一控制下企业合并</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rPr>
                <w:rFonts w:ascii="Times New Roman" w:hAnsi="Times New Roman" w:eastAsia="宋体" w:cs="Times New Roman"/>
                <w:sz w:val="18"/>
                <w:szCs w:val="18"/>
              </w:rPr>
            </w:pPr>
            <w:r>
              <w:rPr>
                <w:rFonts w:ascii="Times New Roman" w:hAnsi="Times New Roman" w:eastAsia="宋体" w:cs="Times New Roman"/>
                <w:sz w:val="18"/>
                <w:szCs w:val="18"/>
              </w:rPr>
              <w:t>其他</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二、本年期初余额</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1,078,860,185.00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171,581,632.30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813,738,917.61</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31,491,174.00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-8,833,365.24</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263,717,929.16</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947,273,347.94</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3,234,847,472.77</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155,665,898.19</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3,390,513,370.96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三、本期增减变动金额（减少以“－”号填列）</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3,355,293.00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-7,213.93</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21,675,828.76</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-15,833,181.00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36,180,690.39</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77,037,779.22</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55,676,949.10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132,714,728.32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（一）综合收益总额</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36,180,690.39</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36,180,690.39</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54,096,949.10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90,277,639.49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（二）所有者投入和减少资本</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3,355,293.00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-7,213.93</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21,675,828.76</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-15,833,181.00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40,857,088.83</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2,000,000.00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42,857,088.83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1．所有者投入的普通股</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3,355,293.00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21,675,828.76</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-15,833,181.00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40,864,302.76</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2,000,000.00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42,864,302.76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2．其他权益工具持有者投入资本</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3．股份支付计入所有者权益的金额</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4．其他</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-7,213.93</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-7,213.93</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-7,213.93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（三）利润分配</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-420,000.00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-420,000.00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1．提取盈余公积</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2．提取一般风险准备</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3．对所有者（或股东）的分配</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-420,000.00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-420,000.00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4．其他</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（四）所有者权益内部结转</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1．资本公积转增资本（或股本）</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2．盈余公积转增资本（或股本）</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3．盈余公积弥补亏损</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4．设定受益计划变动额结转留存收益</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5．其他综合收益结转留存收益</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6．其他</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（五）专项储备</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1．本期提取</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2．本期使用</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（六）其他</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四、本期期末余额</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1,082,215,478.00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171,574,418.37</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835,414,746.37</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15,657,993.00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-8,833,365.24</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263,717,929.16</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983,454,038.33</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3,311,885,251.99</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211,342,847.29</w:t>
            </w:r>
          </w:p>
        </w:tc>
        <w:tc>
          <w:tcPr>
            <w:tcW w:w="56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3,523,228,099.28</w:t>
            </w:r>
          </w:p>
        </w:tc>
      </w:tr>
    </w:tbl>
    <w:p>
      <w:pPr>
        <w:pStyle w:val="3"/>
        <w:spacing w:line="280" w:lineRule="exact"/>
        <w:jc w:val="left"/>
        <w:rPr>
          <w:rFonts w:ascii="Times New Roman" w:hAnsi="Times New Roman" w:cs="Times New Roman"/>
          <w:b/>
          <w:bCs/>
        </w:rPr>
      </w:pPr>
      <w:bookmarkStart w:id="113" w:name="_Toc989002"/>
      <w:r>
        <w:rPr>
          <w:rFonts w:ascii="Times New Roman" w:hAnsi="Times New Roman" w:cs="Times New Roman"/>
          <w:b/>
          <w:bCs/>
        </w:rPr>
        <w:t>8、母公司所有者权益变动表</w:t>
      </w:r>
      <w:bookmarkEnd w:id="113"/>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本期金额</w:t>
      </w:r>
    </w:p>
    <w:p>
      <w:pPr>
        <w:spacing w:before="120" w:after="12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200"/>
        <w:gridCol w:w="703"/>
        <w:gridCol w:w="703"/>
        <w:gridCol w:w="703"/>
        <w:gridCol w:w="704"/>
        <w:gridCol w:w="703"/>
        <w:gridCol w:w="703"/>
        <w:gridCol w:w="703"/>
        <w:gridCol w:w="703"/>
        <w:gridCol w:w="703"/>
        <w:gridCol w:w="703"/>
        <w:gridCol w:w="703"/>
        <w:gridCol w:w="70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w:t>
            </w:r>
          </w:p>
        </w:tc>
        <w:tc>
          <w:tcPr>
            <w:tcW w:w="8439" w:type="dxa"/>
            <w:gridSpan w:val="1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2023年半年度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7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股本</w:t>
            </w:r>
          </w:p>
        </w:tc>
        <w:tc>
          <w:tcPr>
            <w:tcW w:w="2110"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其他权益工具</w:t>
            </w:r>
          </w:p>
        </w:tc>
        <w:tc>
          <w:tcPr>
            <w:tcW w:w="7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资本公积</w:t>
            </w:r>
          </w:p>
        </w:tc>
        <w:tc>
          <w:tcPr>
            <w:tcW w:w="7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减：库存股</w:t>
            </w:r>
          </w:p>
        </w:tc>
        <w:tc>
          <w:tcPr>
            <w:tcW w:w="7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其他综合收益</w:t>
            </w:r>
          </w:p>
        </w:tc>
        <w:tc>
          <w:tcPr>
            <w:tcW w:w="7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专项储备</w:t>
            </w:r>
          </w:p>
        </w:tc>
        <w:tc>
          <w:tcPr>
            <w:tcW w:w="7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盈余公积</w:t>
            </w:r>
          </w:p>
        </w:tc>
        <w:tc>
          <w:tcPr>
            <w:tcW w:w="7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未分配利润</w:t>
            </w:r>
          </w:p>
        </w:tc>
        <w:tc>
          <w:tcPr>
            <w:tcW w:w="7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其他</w:t>
            </w:r>
          </w:p>
        </w:tc>
        <w:tc>
          <w:tcPr>
            <w:tcW w:w="7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所有者权益合计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70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7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优先股</w:t>
            </w:r>
          </w:p>
        </w:tc>
        <w:tc>
          <w:tcPr>
            <w:tcW w:w="7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永续债</w:t>
            </w:r>
          </w:p>
        </w:tc>
        <w:tc>
          <w:tcPr>
            <w:tcW w:w="7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其他</w:t>
            </w:r>
          </w:p>
        </w:tc>
        <w:tc>
          <w:tcPr>
            <w:tcW w:w="70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70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70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703" w:type="dxa"/>
            <w:vMerge w:val="continue"/>
            <w:tcBorders>
              <w:top w:val="single" w:color="auto" w:sz="2" w:space="0"/>
              <w:left w:val="single" w:color="auto" w:sz="2" w:space="0"/>
              <w:bottom w:val="single" w:color="auto" w:sz="2" w:space="0"/>
              <w:right w:val="single" w:color="auto" w:sz="2" w:space="0"/>
            </w:tcBorders>
            <w:vAlign w:val="center"/>
          </w:tcPr>
          <w:p>
            <w:pPr>
              <w:rPr>
                <w:rFonts w:ascii="Times New Roman" w:hAnsi="Times New Roman" w:cs="Times New Roman"/>
              </w:rPr>
            </w:pPr>
          </w:p>
        </w:tc>
        <w:tc>
          <w:tcPr>
            <w:tcW w:w="70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70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703" w:type="dxa"/>
            <w:vMerge w:val="continue"/>
            <w:tcBorders>
              <w:top w:val="single" w:color="auto" w:sz="2" w:space="0"/>
              <w:left w:val="single" w:color="auto" w:sz="2" w:space="0"/>
              <w:bottom w:val="single" w:color="auto" w:sz="2" w:space="0"/>
              <w:right w:val="single" w:color="auto" w:sz="2" w:space="0"/>
            </w:tcBorders>
            <w:vAlign w:val="center"/>
          </w:tcPr>
          <w:p>
            <w:pPr>
              <w:rPr>
                <w:rFonts w:ascii="Times New Roman" w:hAnsi="Times New Roman" w:cs="Times New Roman"/>
              </w:rPr>
            </w:pPr>
          </w:p>
        </w:tc>
        <w:tc>
          <w:tcPr>
            <w:tcW w:w="70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一、上年期末余额</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1,079,128,488.00</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171,571,679.93</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830,246,509.95</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37,244,672.24</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-11,777,820.33</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263,717,929.16</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15,171,713.72</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2,310,813,828.19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rPr>
                <w:rFonts w:ascii="Times New Roman" w:hAnsi="Times New Roman" w:eastAsia="宋体" w:cs="Times New Roman"/>
                <w:sz w:val="18"/>
                <w:szCs w:val="18"/>
              </w:rPr>
            </w:pPr>
            <w:r>
              <w:rPr>
                <w:rFonts w:ascii="Times New Roman" w:hAnsi="Times New Roman" w:eastAsia="宋体" w:cs="Times New Roman"/>
                <w:sz w:val="18"/>
                <w:szCs w:val="18"/>
              </w:rPr>
              <w:t>加：会计政策变更</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58,203.65</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58,203.65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rPr>
                <w:rFonts w:ascii="Times New Roman" w:hAnsi="Times New Roman" w:eastAsia="宋体" w:cs="Times New Roman"/>
                <w:sz w:val="18"/>
                <w:szCs w:val="18"/>
              </w:rPr>
            </w:pPr>
            <w:r>
              <w:rPr>
                <w:rFonts w:ascii="Times New Roman" w:hAnsi="Times New Roman" w:eastAsia="宋体" w:cs="Times New Roman"/>
                <w:sz w:val="18"/>
                <w:szCs w:val="18"/>
              </w:rPr>
              <w:t>前期差错更正</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rPr>
                <w:rFonts w:ascii="Times New Roman" w:hAnsi="Times New Roman" w:eastAsia="宋体" w:cs="Times New Roman"/>
                <w:sz w:val="18"/>
                <w:szCs w:val="18"/>
              </w:rPr>
            </w:pPr>
            <w:r>
              <w:rPr>
                <w:rFonts w:ascii="Times New Roman" w:hAnsi="Times New Roman" w:eastAsia="宋体" w:cs="Times New Roman"/>
                <w:sz w:val="18"/>
                <w:szCs w:val="18"/>
              </w:rPr>
              <w:t>其他</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二、本年期初余额</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1,079,128,488.00</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171,571,679.93</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830,246,509.95</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37,244,672.24</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-11,777,820.33</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263,717,929.16</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15,229,917.37</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2,310,872,031.84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三、本期增减变动金额（减少以“－”号填列）</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31,237.00</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-616.60</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187,901.06</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61,768,604.49</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-70,314,518.69</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-131,864,601.72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（一）综合收益总额</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-70,314,518.69</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-70,314,518.69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（二）所有者投入和减少资本</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31,237.00</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-616.60</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187,901.06</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61,768,604.49</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-61,550,083.03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1．所有者投入的普通股</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31,237.00</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187,901.06</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219,138.06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2．其他权益工具持有者投入资本</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3．股份支付计入所有者权益的金额</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4．其他</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-616.60</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61,768,604.49</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-61,769,221.09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（三）利润分配</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1．提取盈余公积</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2．对所有者（或股东）的分配</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3．其他</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（四）所有者权益内部结转</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1．资本公积转增资本（或股本）</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2．盈余公积转增资本（或股本）</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3．盈余公积弥补亏损</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4．设定受益计划变动额结转留存收益</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5．其他综合收益结转留存收益</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6．其他</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（五）专项储备</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1．本期提取</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2．本期使用</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（六）其他</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四、本期期末余额</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1,079,159,725.00</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171,571,063.33</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830,434,411.01</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99,013,276.73</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-11,777,820.33</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263,717,929.16</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-55,084,601.32</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2,179,007,430.12</w:t>
            </w:r>
          </w:p>
        </w:tc>
      </w:tr>
    </w:tbl>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上年金额</w:t>
      </w:r>
    </w:p>
    <w:p>
      <w:pPr>
        <w:spacing w:before="120" w:after="12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200"/>
        <w:gridCol w:w="703"/>
        <w:gridCol w:w="703"/>
        <w:gridCol w:w="703"/>
        <w:gridCol w:w="704"/>
        <w:gridCol w:w="703"/>
        <w:gridCol w:w="703"/>
        <w:gridCol w:w="703"/>
        <w:gridCol w:w="703"/>
        <w:gridCol w:w="703"/>
        <w:gridCol w:w="703"/>
        <w:gridCol w:w="703"/>
        <w:gridCol w:w="70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w:t>
            </w:r>
          </w:p>
        </w:tc>
        <w:tc>
          <w:tcPr>
            <w:tcW w:w="8439" w:type="dxa"/>
            <w:gridSpan w:val="1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2022年半年度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7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股本</w:t>
            </w:r>
          </w:p>
        </w:tc>
        <w:tc>
          <w:tcPr>
            <w:tcW w:w="2110"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其他权益工具</w:t>
            </w:r>
          </w:p>
        </w:tc>
        <w:tc>
          <w:tcPr>
            <w:tcW w:w="7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资本公积</w:t>
            </w:r>
          </w:p>
        </w:tc>
        <w:tc>
          <w:tcPr>
            <w:tcW w:w="7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减：库存股</w:t>
            </w:r>
          </w:p>
        </w:tc>
        <w:tc>
          <w:tcPr>
            <w:tcW w:w="7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其他综合收益</w:t>
            </w:r>
          </w:p>
        </w:tc>
        <w:tc>
          <w:tcPr>
            <w:tcW w:w="7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专项储备</w:t>
            </w:r>
          </w:p>
        </w:tc>
        <w:tc>
          <w:tcPr>
            <w:tcW w:w="7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盈余公积</w:t>
            </w:r>
          </w:p>
        </w:tc>
        <w:tc>
          <w:tcPr>
            <w:tcW w:w="7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未分配利润</w:t>
            </w:r>
          </w:p>
        </w:tc>
        <w:tc>
          <w:tcPr>
            <w:tcW w:w="7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其他</w:t>
            </w:r>
          </w:p>
        </w:tc>
        <w:tc>
          <w:tcPr>
            <w:tcW w:w="7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所有者权益合计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70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7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优先股</w:t>
            </w:r>
          </w:p>
        </w:tc>
        <w:tc>
          <w:tcPr>
            <w:tcW w:w="7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永续债</w:t>
            </w:r>
          </w:p>
        </w:tc>
        <w:tc>
          <w:tcPr>
            <w:tcW w:w="7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其他</w:t>
            </w:r>
          </w:p>
        </w:tc>
        <w:tc>
          <w:tcPr>
            <w:tcW w:w="70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70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70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703" w:type="dxa"/>
            <w:vMerge w:val="continue"/>
            <w:tcBorders>
              <w:top w:val="single" w:color="auto" w:sz="2" w:space="0"/>
              <w:left w:val="single" w:color="auto" w:sz="2" w:space="0"/>
              <w:bottom w:val="single" w:color="auto" w:sz="2" w:space="0"/>
              <w:right w:val="single" w:color="auto" w:sz="2" w:space="0"/>
            </w:tcBorders>
            <w:vAlign w:val="center"/>
          </w:tcPr>
          <w:p>
            <w:pPr>
              <w:rPr>
                <w:rFonts w:ascii="Times New Roman" w:hAnsi="Times New Roman" w:cs="Times New Roman"/>
              </w:rPr>
            </w:pPr>
          </w:p>
        </w:tc>
        <w:tc>
          <w:tcPr>
            <w:tcW w:w="70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70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703" w:type="dxa"/>
            <w:vMerge w:val="continue"/>
            <w:tcBorders>
              <w:top w:val="single" w:color="auto" w:sz="2" w:space="0"/>
              <w:left w:val="single" w:color="auto" w:sz="2" w:space="0"/>
              <w:bottom w:val="single" w:color="auto" w:sz="2" w:space="0"/>
              <w:right w:val="single" w:color="auto" w:sz="2" w:space="0"/>
            </w:tcBorders>
            <w:vAlign w:val="center"/>
          </w:tcPr>
          <w:p>
            <w:pPr>
              <w:rPr>
                <w:rFonts w:ascii="Times New Roman" w:hAnsi="Times New Roman" w:cs="Times New Roman"/>
              </w:rPr>
            </w:pPr>
          </w:p>
        </w:tc>
        <w:tc>
          <w:tcPr>
            <w:tcW w:w="70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一、上年期末余额</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1,078,860,185.00</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171,581,632.30</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812,154,712.44</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31,491,174.00</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-8,833,365.24</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263,717,929.16</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138,660,036.63</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2,424,649,956.29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rPr>
                <w:rFonts w:ascii="Times New Roman" w:hAnsi="Times New Roman" w:eastAsia="宋体" w:cs="Times New Roman"/>
                <w:sz w:val="18"/>
                <w:szCs w:val="18"/>
              </w:rPr>
            </w:pPr>
            <w:r>
              <w:rPr>
                <w:rFonts w:ascii="Times New Roman" w:hAnsi="Times New Roman" w:eastAsia="宋体" w:cs="Times New Roman"/>
                <w:sz w:val="18"/>
                <w:szCs w:val="18"/>
              </w:rPr>
              <w:t>加：会计政策变更</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rPr>
                <w:rFonts w:ascii="Times New Roman" w:hAnsi="Times New Roman" w:eastAsia="宋体" w:cs="Times New Roman"/>
                <w:sz w:val="18"/>
                <w:szCs w:val="18"/>
              </w:rPr>
            </w:pPr>
            <w:r>
              <w:rPr>
                <w:rFonts w:ascii="Times New Roman" w:hAnsi="Times New Roman" w:eastAsia="宋体" w:cs="Times New Roman"/>
                <w:sz w:val="18"/>
                <w:szCs w:val="18"/>
              </w:rPr>
              <w:t>前期差错更正</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rPr>
                <w:rFonts w:ascii="Times New Roman" w:hAnsi="Times New Roman" w:eastAsia="宋体" w:cs="Times New Roman"/>
                <w:sz w:val="18"/>
                <w:szCs w:val="18"/>
              </w:rPr>
            </w:pPr>
            <w:r>
              <w:rPr>
                <w:rFonts w:ascii="Times New Roman" w:hAnsi="Times New Roman" w:eastAsia="宋体" w:cs="Times New Roman"/>
                <w:sz w:val="18"/>
                <w:szCs w:val="18"/>
              </w:rPr>
              <w:t>其他</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二、本年期初余额</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1,078,860,185.00</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171,581,632.30</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812,154,712.44</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31,491,174.00</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-8,833,365.24</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263,717,929.16</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138,660,036.63</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2,424,649,956.29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三、本期增减变动金额（减少以“－”号填列）</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3,355,293.00</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-7,213.93</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21,675,828.76</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-15,833,181.00</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20,052,595.91</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60,909,684.74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（一）综合收益总额</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20,052,595.91</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20,052,595.91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（二）所有者投入和减少资本</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3,355,293.00</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-7,213.93</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21,675,828.76</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-15,833,181.00</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40,857,088.83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1．所有者投入的普通股</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3,355,293.00</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21,675,828.76</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-15,833,181.00</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40,864,302.76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2．其他权益工具持有者投入资本</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3．股份支付计入所有者权益的金额</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4．其他</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-7,213.93</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-7,213.93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（三）利润分配</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1．提取盈余公积</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2．对所有者（或股东）的分配</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3．其他</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（四）所有者权益内部结转</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1．资本公积转增资本（或股本）</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2．盈余公积转增资本（或股本）</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3．盈余公积弥补亏损</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4．设定受益计划变动额结转留存收益</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5．其他综合收益结转留存收益</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6．其他</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（五）专项储备</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1．本期提取</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2．本期使用</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（六）其他</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四、本期期末余额</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1,082,215,478.00</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171,574,418.37</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833,830,541.20</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15,657,993.00</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-8,833,365.24</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263,717,929.16</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158,712,632.54</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7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2,485,559,641.03</w:t>
            </w:r>
          </w:p>
        </w:tc>
      </w:tr>
    </w:tbl>
    <w:p>
      <w:pPr>
        <w:pStyle w:val="2"/>
        <w:spacing w:before="300" w:after="300" w:line="320" w:lineRule="exact"/>
        <w:rPr>
          <w:rFonts w:ascii="Times New Roman" w:hAnsi="Times New Roman" w:eastAsia="宋体" w:cs="Times New Roman"/>
          <w:b/>
          <w:bCs/>
          <w:sz w:val="24"/>
          <w:szCs w:val="24"/>
        </w:rPr>
      </w:pPr>
      <w:bookmarkStart w:id="114" w:name="_Toc989003"/>
      <w:r>
        <w:rPr>
          <w:rFonts w:ascii="Times New Roman" w:hAnsi="Times New Roman" w:eastAsia="宋体" w:cs="Times New Roman"/>
          <w:b/>
          <w:bCs/>
          <w:sz w:val="24"/>
          <w:szCs w:val="24"/>
        </w:rPr>
        <w:t>三、公司基本情况</w:t>
      </w:r>
      <w:bookmarkEnd w:id="114"/>
    </w:p>
    <w:p>
      <w:pPr>
        <w:pStyle w:val="8"/>
        <w:spacing w:before="58" w:beforeAutospacing="0" w:after="0" w:afterAutospacing="0" w:line="276" w:lineRule="auto"/>
        <w:ind w:firstLine="360" w:firstLineChars="200"/>
        <w:rPr>
          <w:rFonts w:ascii="Times New Roman" w:hAnsi="Times New Roman" w:cs="Times New Roman"/>
          <w:sz w:val="18"/>
          <w:szCs w:val="18"/>
        </w:rPr>
      </w:pPr>
      <w:r>
        <w:rPr>
          <w:rFonts w:ascii="Times New Roman" w:hAnsi="Times New Roman" w:cs="Times New Roman"/>
          <w:sz w:val="18"/>
          <w:szCs w:val="18"/>
        </w:rPr>
        <w:t>山东龙大美食股份有限公司（以下简称“本公司”或“公司”）于 2003 年 7 月在山东省莱阳市食品工业园注册成立。总部位于山东省莱阳市龙门东路99号。</w:t>
      </w:r>
    </w:p>
    <w:p>
      <w:pPr>
        <w:pStyle w:val="8"/>
        <w:spacing w:before="58" w:beforeAutospacing="0" w:after="0" w:afterAutospacing="0" w:line="276" w:lineRule="auto"/>
        <w:ind w:firstLine="360" w:firstLineChars="200"/>
        <w:rPr>
          <w:rFonts w:ascii="Times New Roman" w:hAnsi="Times New Roman" w:cs="Times New Roman"/>
          <w:sz w:val="18"/>
          <w:szCs w:val="18"/>
        </w:rPr>
      </w:pPr>
      <w:r>
        <w:rPr>
          <w:rFonts w:ascii="Times New Roman" w:hAnsi="Times New Roman" w:cs="Times New Roman"/>
          <w:sz w:val="18"/>
          <w:szCs w:val="18"/>
        </w:rPr>
        <w:t>本公司及各子公司（统称“本集团”）主要从事屠宰、肉类加工业及进口贸易。</w:t>
      </w:r>
    </w:p>
    <w:p>
      <w:pPr>
        <w:pStyle w:val="8"/>
        <w:spacing w:before="0" w:beforeAutospacing="0" w:after="0" w:afterAutospacing="0" w:line="276" w:lineRule="auto"/>
        <w:ind w:firstLine="360" w:firstLineChars="200"/>
        <w:rPr>
          <w:rFonts w:ascii="Times New Roman" w:hAnsi="Times New Roman" w:cs="Times New Roman"/>
          <w:sz w:val="18"/>
          <w:szCs w:val="18"/>
        </w:rPr>
      </w:pPr>
      <w:r>
        <w:rPr>
          <w:rFonts w:ascii="Times New Roman" w:hAnsi="Times New Roman" w:cs="Times New Roman"/>
          <w:sz w:val="18"/>
          <w:szCs w:val="18"/>
        </w:rPr>
        <w:t>本财务报表业经本公司董事会于 2023 年 8 月 25日决议批准报出。</w:t>
      </w:r>
    </w:p>
    <w:p>
      <w:pPr>
        <w:pStyle w:val="8"/>
        <w:spacing w:before="60" w:beforeAutospacing="0" w:after="0" w:afterAutospacing="0" w:line="276" w:lineRule="auto"/>
        <w:ind w:firstLine="360" w:firstLineChars="200"/>
        <w:rPr>
          <w:rFonts w:ascii="Times New Roman" w:hAnsi="Times New Roman" w:cs="Times New Roman"/>
          <w:sz w:val="18"/>
          <w:szCs w:val="18"/>
        </w:rPr>
      </w:pPr>
    </w:p>
    <w:p>
      <w:pPr>
        <w:pStyle w:val="8"/>
        <w:spacing w:before="60" w:beforeAutospacing="0" w:after="0" w:afterAutospacing="0" w:line="276" w:lineRule="auto"/>
        <w:ind w:firstLine="360" w:firstLineChars="200"/>
        <w:rPr>
          <w:rFonts w:ascii="Times New Roman" w:hAnsi="Times New Roman" w:cs="Times New Roman"/>
          <w:sz w:val="18"/>
          <w:szCs w:val="18"/>
        </w:rPr>
      </w:pPr>
      <w:r>
        <w:rPr>
          <w:rFonts w:ascii="Times New Roman" w:hAnsi="Times New Roman" w:cs="Times New Roman"/>
          <w:sz w:val="18"/>
          <w:szCs w:val="18"/>
        </w:rPr>
        <w:t>截至2023年06月30日，本集团纳入合并范围的子公司共40户，详见本附注九“在其他主体中的权益”。本集团本年合并范围比上年增加2户，详见本附注八“合并范围的变更”。</w:t>
      </w:r>
    </w:p>
    <w:p>
      <w:pPr>
        <w:pStyle w:val="2"/>
        <w:spacing w:before="300" w:after="300" w:line="320" w:lineRule="exact"/>
        <w:rPr>
          <w:rFonts w:ascii="Times New Roman" w:hAnsi="Times New Roman" w:eastAsia="宋体" w:cs="Times New Roman"/>
          <w:b/>
          <w:bCs/>
          <w:sz w:val="24"/>
          <w:szCs w:val="24"/>
        </w:rPr>
      </w:pPr>
      <w:bookmarkStart w:id="115" w:name="_Toc989004"/>
      <w:r>
        <w:rPr>
          <w:rFonts w:ascii="Times New Roman" w:hAnsi="Times New Roman" w:eastAsia="宋体" w:cs="Times New Roman"/>
          <w:b/>
          <w:bCs/>
          <w:sz w:val="24"/>
          <w:szCs w:val="24"/>
        </w:rPr>
        <w:t>四、财务报表的编制基础</w:t>
      </w:r>
      <w:bookmarkEnd w:id="115"/>
    </w:p>
    <w:p>
      <w:pPr>
        <w:pStyle w:val="3"/>
        <w:spacing w:line="280" w:lineRule="exact"/>
        <w:jc w:val="left"/>
        <w:rPr>
          <w:rFonts w:ascii="Times New Roman" w:hAnsi="Times New Roman" w:cs="Times New Roman"/>
          <w:b/>
          <w:bCs/>
        </w:rPr>
      </w:pPr>
      <w:bookmarkStart w:id="116" w:name="_Toc989005"/>
      <w:r>
        <w:rPr>
          <w:rFonts w:ascii="Times New Roman" w:hAnsi="Times New Roman" w:cs="Times New Roman"/>
          <w:b/>
          <w:bCs/>
        </w:rPr>
        <w:t>1、编制基础</w:t>
      </w:r>
      <w:bookmarkEnd w:id="116"/>
    </w:p>
    <w:p>
      <w:pPr>
        <w:pStyle w:val="8"/>
        <w:spacing w:before="0" w:beforeAutospacing="0" w:after="0" w:afterAutospacing="0" w:line="276" w:lineRule="auto"/>
        <w:ind w:firstLine="360"/>
        <w:rPr>
          <w:rFonts w:ascii="Times New Roman" w:hAnsi="Times New Roman" w:cs="Times New Roman"/>
        </w:rPr>
      </w:pPr>
      <w:r>
        <w:rPr>
          <w:rFonts w:ascii="Times New Roman" w:hAnsi="Times New Roman" w:cs="Times New Roman"/>
          <w:sz w:val="18"/>
          <w:szCs w:val="18"/>
        </w:rPr>
        <w:t>本集团财务报表以持续经营假设为基础，根据实际发生的交易和事项，按照财政部发布的《企业会计准则——基本准则》（财政部令第33号发布、财政部令第76号修订）、于2006年2月15日及其后颁布和修订的41项具体会计准则、企业会计准则应用指南、企业会计准则解释及其他相关规定（以下合称“企业会计准则”），以及中国证券监督管理委员会《公开发行证券的公司信息披露编报规则第15号——财务报告的一般规定（2014年修订）》的披露规定编制。</w:t>
      </w:r>
    </w:p>
    <w:p>
      <w:pPr>
        <w:pStyle w:val="8"/>
        <w:spacing w:line="276" w:lineRule="auto"/>
        <w:ind w:firstLine="360" w:firstLineChars="200"/>
        <w:rPr>
          <w:rFonts w:ascii="Times New Roman" w:hAnsi="Times New Roman" w:cs="Times New Roman"/>
          <w:sz w:val="18"/>
          <w:szCs w:val="18"/>
        </w:rPr>
      </w:pPr>
      <w:r>
        <w:rPr>
          <w:rFonts w:ascii="Times New Roman" w:hAnsi="Times New Roman" w:cs="Times New Roman"/>
          <w:sz w:val="18"/>
          <w:szCs w:val="18"/>
        </w:rPr>
        <w:t>根据企业会计准则的相关规定，本集团会计核算以权责发生制为基础。除某些金融工具外，本财务报表均以历史成本为计量基础。持有待售的非流动资产，按公允价值减去预计费用后的金额，以及符合持有待售条件时的原账面价值，取两者孰低计价。资产如果发生减值，则按照相关规定计提相应的减值准备。</w:t>
      </w:r>
    </w:p>
    <w:p>
      <w:pPr>
        <w:pStyle w:val="3"/>
        <w:spacing w:line="280" w:lineRule="exact"/>
        <w:jc w:val="left"/>
        <w:rPr>
          <w:rFonts w:ascii="Times New Roman" w:hAnsi="Times New Roman" w:cs="Times New Roman"/>
          <w:b/>
          <w:bCs/>
        </w:rPr>
      </w:pPr>
      <w:bookmarkStart w:id="117" w:name="_Toc989006"/>
      <w:r>
        <w:rPr>
          <w:rFonts w:ascii="Times New Roman" w:hAnsi="Times New Roman" w:cs="Times New Roman"/>
          <w:b/>
          <w:bCs/>
        </w:rPr>
        <w:t>2、持续经营</w:t>
      </w:r>
      <w:bookmarkEnd w:id="117"/>
    </w:p>
    <w:p>
      <w:pPr>
        <w:pStyle w:val="8"/>
        <w:spacing w:before="0" w:beforeAutospacing="0" w:after="0" w:afterAutospacing="0"/>
        <w:ind w:left="368"/>
        <w:rPr>
          <w:rFonts w:ascii="Times New Roman" w:hAnsi="Times New Roman" w:cs="Times New Roman"/>
        </w:rPr>
      </w:pPr>
      <w:r>
        <w:rPr>
          <w:rFonts w:ascii="Times New Roman" w:hAnsi="Times New Roman" w:cs="Times New Roman"/>
          <w:sz w:val="18"/>
          <w:szCs w:val="18"/>
        </w:rPr>
        <w:t>公司自本报告期末至少12个月内具备持续经营能力，无影响持续经营能力的重大事项。</w:t>
      </w:r>
    </w:p>
    <w:p>
      <w:pPr>
        <w:pStyle w:val="2"/>
        <w:spacing w:before="300" w:after="300" w:line="560" w:lineRule="exact"/>
        <w:rPr>
          <w:rFonts w:ascii="Times New Roman" w:hAnsi="Times New Roman" w:eastAsia="宋体" w:cs="Times New Roman"/>
          <w:b/>
          <w:bCs/>
          <w:sz w:val="24"/>
          <w:szCs w:val="24"/>
        </w:rPr>
      </w:pPr>
      <w:bookmarkStart w:id="118" w:name="_Toc989007"/>
      <w:r>
        <w:rPr>
          <w:rFonts w:ascii="Times New Roman" w:hAnsi="Times New Roman" w:eastAsia="宋体" w:cs="Times New Roman"/>
          <w:b/>
          <w:bCs/>
          <w:sz w:val="24"/>
          <w:szCs w:val="24"/>
        </w:rPr>
        <w:t>五、重要会计政策及会计估计</w:t>
      </w:r>
      <w:bookmarkEnd w:id="118"/>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公司需遵守《深圳证券交易所上市公司自律监管指引第3号——行业信息披露》中的“食品及酒制造相关业务”的披露要求</w:t>
      </w:r>
    </w:p>
    <w:p>
      <w:pPr>
        <w:pStyle w:val="8"/>
        <w:spacing w:before="0" w:beforeAutospacing="0" w:after="0" w:afterAutospacing="0" w:line="276" w:lineRule="auto"/>
        <w:ind w:firstLine="360"/>
        <w:rPr>
          <w:rFonts w:ascii="Times New Roman" w:hAnsi="Times New Roman" w:cs="Times New Roman"/>
        </w:rPr>
      </w:pPr>
      <w:r>
        <w:rPr>
          <w:rFonts w:ascii="Times New Roman" w:hAnsi="Times New Roman" w:cs="Times New Roman"/>
          <w:sz w:val="18"/>
          <w:szCs w:val="18"/>
        </w:rPr>
        <w:t>本集团根据实际生产经营特点，依据相关企业会计准则的规定，对收入确认等交易和事项制定了若干项具体会计政策和会计估计，详见本附注五、39“收入”各项描述。关于管理层所作出的重大会计判断和估计的说明，请参阅附注五、45“重大会计判断和估计”。</w:t>
      </w:r>
    </w:p>
    <w:p>
      <w:pPr>
        <w:pStyle w:val="3"/>
        <w:spacing w:line="280" w:lineRule="exact"/>
        <w:jc w:val="left"/>
        <w:rPr>
          <w:rFonts w:ascii="Times New Roman" w:hAnsi="Times New Roman" w:cs="Times New Roman"/>
          <w:b/>
          <w:bCs/>
        </w:rPr>
      </w:pPr>
      <w:bookmarkStart w:id="119" w:name="_Toc989008"/>
      <w:r>
        <w:rPr>
          <w:rFonts w:ascii="Times New Roman" w:hAnsi="Times New Roman" w:cs="Times New Roman"/>
          <w:b/>
          <w:bCs/>
        </w:rPr>
        <w:t>1、遵循企业会计准则的声明</w:t>
      </w:r>
      <w:bookmarkEnd w:id="119"/>
    </w:p>
    <w:p>
      <w:pPr>
        <w:pStyle w:val="8"/>
        <w:spacing w:before="0" w:beforeAutospacing="0" w:after="0" w:afterAutospacing="0" w:line="276" w:lineRule="auto"/>
        <w:ind w:firstLine="360"/>
        <w:rPr>
          <w:rFonts w:ascii="Times New Roman" w:hAnsi="Times New Roman" w:cs="Times New Roman"/>
        </w:rPr>
      </w:pPr>
      <w:r>
        <w:rPr>
          <w:rFonts w:ascii="Times New Roman" w:hAnsi="Times New Roman" w:cs="Times New Roman"/>
          <w:sz w:val="18"/>
          <w:szCs w:val="18"/>
        </w:rPr>
        <w:t>本公司编制的财务报表符合企业会计准则的要求，真实、完整地反映了本公司及本集团2023年6月30日的财务状况及2023年度的经营成果和现金流量等有关信息。此外，本公司及本集团的财务报表在所有重大方面符合中国证券监督管理委员会2014年修订的《公开发行证券的公司信息披露编报规则第15号——财务报告的一般规定》有关财务报表及其附注的披露要求。</w:t>
      </w:r>
    </w:p>
    <w:p>
      <w:pPr>
        <w:pStyle w:val="3"/>
        <w:spacing w:line="280" w:lineRule="exact"/>
        <w:jc w:val="left"/>
        <w:rPr>
          <w:rFonts w:ascii="Times New Roman" w:hAnsi="Times New Roman" w:cs="Times New Roman"/>
          <w:b/>
          <w:bCs/>
        </w:rPr>
      </w:pPr>
      <w:bookmarkStart w:id="120" w:name="_Toc989009"/>
      <w:r>
        <w:rPr>
          <w:rFonts w:ascii="Times New Roman" w:hAnsi="Times New Roman" w:cs="Times New Roman"/>
          <w:b/>
          <w:bCs/>
        </w:rPr>
        <w:t>2、会计期间</w:t>
      </w:r>
      <w:bookmarkEnd w:id="120"/>
    </w:p>
    <w:p>
      <w:pPr>
        <w:pStyle w:val="8"/>
        <w:spacing w:before="0" w:beforeAutospacing="0" w:after="0" w:afterAutospacing="0" w:line="276" w:lineRule="auto"/>
        <w:ind w:firstLine="360"/>
        <w:rPr>
          <w:rFonts w:ascii="Times New Roman" w:hAnsi="Times New Roman" w:cs="Times New Roman"/>
        </w:rPr>
      </w:pPr>
      <w:r>
        <w:rPr>
          <w:rFonts w:ascii="Times New Roman" w:hAnsi="Times New Roman" w:cs="Times New Roman"/>
          <w:sz w:val="18"/>
          <w:szCs w:val="18"/>
        </w:rPr>
        <w:t>本集团的会计期间分为年度和中期，会计中期指短于一个完整的会计年度的报告期间。本集团会计年度采用公历年度，即每年自1月1日起至12月31日止。</w:t>
      </w:r>
    </w:p>
    <w:p>
      <w:pPr>
        <w:pStyle w:val="3"/>
        <w:spacing w:line="280" w:lineRule="exact"/>
        <w:jc w:val="left"/>
        <w:rPr>
          <w:rFonts w:ascii="Times New Roman" w:hAnsi="Times New Roman" w:cs="Times New Roman"/>
          <w:b/>
          <w:bCs/>
        </w:rPr>
      </w:pPr>
      <w:bookmarkStart w:id="121" w:name="_Toc989010"/>
      <w:r>
        <w:rPr>
          <w:rFonts w:ascii="Times New Roman" w:hAnsi="Times New Roman" w:cs="Times New Roman"/>
          <w:b/>
          <w:bCs/>
        </w:rPr>
        <w:t>3、营业周期</w:t>
      </w:r>
      <w:bookmarkEnd w:id="121"/>
    </w:p>
    <w:p>
      <w:pPr>
        <w:pStyle w:val="8"/>
        <w:spacing w:before="0" w:beforeAutospacing="0" w:after="0" w:afterAutospacing="0" w:line="276" w:lineRule="auto"/>
        <w:ind w:firstLine="420"/>
        <w:jc w:val="both"/>
        <w:rPr>
          <w:rFonts w:ascii="Times New Roman" w:hAnsi="Times New Roman" w:cs="Times New Roman"/>
        </w:rPr>
      </w:pPr>
      <w:r>
        <w:rPr>
          <w:rFonts w:ascii="Times New Roman" w:hAnsi="Times New Roman" w:cs="Times New Roman"/>
          <w:sz w:val="18"/>
          <w:szCs w:val="18"/>
        </w:rPr>
        <w:t>正常营业周期是指本集团从购买用于加工的资产起至实现现金或现金等价物的期间。本集团以12个月作为一个营业周期，并以其作为资产和负债的流动性划分标准。</w:t>
      </w:r>
    </w:p>
    <w:p>
      <w:pPr>
        <w:pStyle w:val="3"/>
        <w:spacing w:line="280" w:lineRule="exact"/>
        <w:jc w:val="left"/>
        <w:rPr>
          <w:rFonts w:ascii="Times New Roman" w:hAnsi="Times New Roman" w:cs="Times New Roman"/>
          <w:b/>
          <w:bCs/>
        </w:rPr>
      </w:pPr>
      <w:bookmarkStart w:id="122" w:name="_Toc989011"/>
      <w:r>
        <w:rPr>
          <w:rFonts w:ascii="Times New Roman" w:hAnsi="Times New Roman" w:cs="Times New Roman"/>
          <w:b/>
          <w:bCs/>
        </w:rPr>
        <w:t>4、记账本位币</w:t>
      </w:r>
      <w:bookmarkEnd w:id="122"/>
    </w:p>
    <w:p>
      <w:pPr>
        <w:pStyle w:val="8"/>
        <w:spacing w:before="0" w:beforeAutospacing="0" w:after="0" w:afterAutospacing="0" w:line="276" w:lineRule="auto"/>
        <w:ind w:firstLine="420"/>
        <w:rPr>
          <w:rFonts w:ascii="Times New Roman" w:hAnsi="Times New Roman" w:cs="Times New Roman"/>
        </w:rPr>
      </w:pPr>
      <w:r>
        <w:rPr>
          <w:rFonts w:ascii="Times New Roman" w:hAnsi="Times New Roman" w:cs="Times New Roman"/>
          <w:sz w:val="18"/>
          <w:szCs w:val="18"/>
        </w:rPr>
        <w:t>人民币为本公司及境内子公司经营所处的主要经济环境中的货币，本公司及境内子公司以人民币为记账本位币。本集团编制本财务报表时所采用的货币为人民币。</w:t>
      </w:r>
    </w:p>
    <w:p>
      <w:pPr>
        <w:pStyle w:val="3"/>
        <w:spacing w:line="280" w:lineRule="exact"/>
        <w:jc w:val="left"/>
        <w:rPr>
          <w:rFonts w:ascii="Times New Roman" w:hAnsi="Times New Roman" w:cs="Times New Roman"/>
          <w:b/>
          <w:bCs/>
        </w:rPr>
      </w:pPr>
      <w:bookmarkStart w:id="123" w:name="_Toc989012"/>
      <w:r>
        <w:rPr>
          <w:rFonts w:ascii="Times New Roman" w:hAnsi="Times New Roman" w:cs="Times New Roman"/>
          <w:b/>
          <w:bCs/>
        </w:rPr>
        <w:t>5、同一控制下和非同一控制下企业合并的会计处理方法</w:t>
      </w:r>
      <w:bookmarkEnd w:id="123"/>
    </w:p>
    <w:p>
      <w:pPr>
        <w:pStyle w:val="8"/>
        <w:spacing w:before="0" w:beforeAutospacing="0" w:after="0" w:afterAutospacing="0" w:line="276" w:lineRule="auto"/>
        <w:ind w:firstLine="360"/>
        <w:rPr>
          <w:rFonts w:ascii="Times New Roman" w:hAnsi="Times New Roman" w:cs="Times New Roman"/>
        </w:rPr>
      </w:pPr>
      <w:r>
        <w:rPr>
          <w:rFonts w:ascii="Times New Roman" w:hAnsi="Times New Roman" w:cs="Times New Roman"/>
          <w:sz w:val="18"/>
          <w:szCs w:val="18"/>
        </w:rPr>
        <w:t>企业合并，是指将两个或两个以上单独的企业合并形成一个报告主体的交易或事项。企业合并分为同一控制下企业合并和非同一控制下企业合并。</w:t>
      </w:r>
    </w:p>
    <w:p>
      <w:pPr>
        <w:pStyle w:val="8"/>
        <w:spacing w:before="0" w:beforeAutospacing="0" w:after="0" w:afterAutospacing="0" w:line="276" w:lineRule="auto"/>
        <w:ind w:firstLine="360"/>
        <w:rPr>
          <w:rFonts w:ascii="Times New Roman" w:hAnsi="Times New Roman" w:cs="Times New Roman"/>
        </w:rPr>
      </w:pPr>
      <w:r>
        <w:rPr>
          <w:rFonts w:ascii="Times New Roman" w:hAnsi="Times New Roman" w:cs="Times New Roman"/>
          <w:sz w:val="18"/>
          <w:szCs w:val="18"/>
        </w:rPr>
        <w:t>（1）同一控制下企业合并</w:t>
      </w:r>
    </w:p>
    <w:p>
      <w:pPr>
        <w:pStyle w:val="8"/>
        <w:spacing w:before="0" w:beforeAutospacing="0" w:after="0" w:afterAutospacing="0" w:line="276" w:lineRule="auto"/>
        <w:ind w:firstLine="360"/>
        <w:rPr>
          <w:rFonts w:ascii="Times New Roman" w:hAnsi="Times New Roman" w:cs="Times New Roman"/>
        </w:rPr>
      </w:pPr>
      <w:r>
        <w:rPr>
          <w:rFonts w:ascii="Times New Roman" w:hAnsi="Times New Roman" w:cs="Times New Roman"/>
          <w:sz w:val="18"/>
          <w:szCs w:val="18"/>
        </w:rPr>
        <w:t>参与合并的企业在合并前后均受同一方或相同的多方最终控制，且该控制并非暂时性的，为同一控制下的企业合并。同一控制下的企业合并，在合并日取得对其他参与合并企业控制权的一方为合并方，参与合并的其他企业为被合并方。合并日，是指合并方实际取得对被合并方控制权的日期。</w:t>
      </w:r>
    </w:p>
    <w:p>
      <w:pPr>
        <w:pStyle w:val="8"/>
        <w:spacing w:before="0" w:beforeAutospacing="0" w:after="0" w:afterAutospacing="0" w:line="276" w:lineRule="auto"/>
        <w:ind w:firstLine="360"/>
        <w:rPr>
          <w:rFonts w:ascii="Times New Roman" w:hAnsi="Times New Roman" w:cs="Times New Roman"/>
        </w:rPr>
      </w:pPr>
      <w:r>
        <w:rPr>
          <w:rFonts w:ascii="Times New Roman" w:hAnsi="Times New Roman" w:cs="Times New Roman"/>
          <w:sz w:val="18"/>
          <w:szCs w:val="18"/>
        </w:rPr>
        <w:t>合并方取得的资产和负债均按合并日在被合并方的账面价值计量。合并方取得的净资产账面价值与支付的合并对价账面价值（或发行股份面值总额）的差额，调整资本公积（股本溢价）；资本公积（股本溢价）不足以冲减的，调整留存收益。</w:t>
      </w:r>
    </w:p>
    <w:p>
      <w:pPr>
        <w:pStyle w:val="8"/>
        <w:spacing w:before="0" w:beforeAutospacing="0" w:after="0" w:afterAutospacing="0" w:line="276" w:lineRule="auto"/>
        <w:ind w:firstLine="360"/>
        <w:rPr>
          <w:rFonts w:ascii="Times New Roman" w:hAnsi="Times New Roman" w:cs="Times New Roman"/>
        </w:rPr>
      </w:pPr>
      <w:r>
        <w:rPr>
          <w:rFonts w:ascii="Times New Roman" w:hAnsi="Times New Roman" w:cs="Times New Roman"/>
          <w:sz w:val="18"/>
          <w:szCs w:val="18"/>
        </w:rPr>
        <w:t>合并方为进行企业合并发生的各项直接费用，于发生时计入当期损益。</w:t>
      </w:r>
    </w:p>
    <w:p>
      <w:pPr>
        <w:pStyle w:val="8"/>
        <w:spacing w:before="0" w:beforeAutospacing="0" w:after="0" w:afterAutospacing="0" w:line="276" w:lineRule="auto"/>
        <w:ind w:firstLine="360"/>
        <w:rPr>
          <w:rFonts w:ascii="Times New Roman" w:hAnsi="Times New Roman" w:cs="Times New Roman"/>
        </w:rPr>
      </w:pPr>
      <w:r>
        <w:rPr>
          <w:rFonts w:ascii="Times New Roman" w:hAnsi="Times New Roman" w:cs="Times New Roman"/>
          <w:sz w:val="18"/>
          <w:szCs w:val="18"/>
        </w:rPr>
        <w:t>（2）非同一控制下企业合并</w:t>
      </w:r>
    </w:p>
    <w:p>
      <w:pPr>
        <w:pStyle w:val="8"/>
        <w:spacing w:before="0" w:beforeAutospacing="0" w:after="0" w:afterAutospacing="0" w:line="276" w:lineRule="auto"/>
        <w:ind w:firstLine="360"/>
        <w:rPr>
          <w:rFonts w:ascii="Times New Roman" w:hAnsi="Times New Roman" w:cs="Times New Roman"/>
        </w:rPr>
      </w:pPr>
      <w:r>
        <w:rPr>
          <w:rFonts w:ascii="Times New Roman" w:hAnsi="Times New Roman" w:cs="Times New Roman"/>
          <w:sz w:val="18"/>
          <w:szCs w:val="18"/>
        </w:rPr>
        <w:t>参与合并的企业在合并前后不受同一方或相同的多方最终控制的，为非同一控制下的企业合并。非同一控制下的企业合并，在购买日取得对其他参与合并企业控制权的一方为购买方，参与合并的其他企业为被购买方。购买日，是指为购买方实际取得对被购买方控制权的日期。</w:t>
      </w:r>
    </w:p>
    <w:p>
      <w:pPr>
        <w:pStyle w:val="8"/>
        <w:spacing w:before="0" w:beforeAutospacing="0" w:after="0" w:afterAutospacing="0" w:line="276" w:lineRule="auto"/>
        <w:ind w:firstLine="360"/>
        <w:rPr>
          <w:rFonts w:ascii="Times New Roman" w:hAnsi="Times New Roman" w:cs="Times New Roman"/>
        </w:rPr>
      </w:pPr>
      <w:r>
        <w:rPr>
          <w:rFonts w:ascii="Times New Roman" w:hAnsi="Times New Roman" w:cs="Times New Roman"/>
          <w:sz w:val="18"/>
          <w:szCs w:val="18"/>
        </w:rPr>
        <w:t>对于非同一控制下的企业合并，合并成本包含购买日购买方为取得对被购买方的控制权而付出的资产、发生或承担的负债以及发行的权益性证券的公允价值，为企业合并发生的审计、法律服务、评估咨询等中介费用以及其他管理费用于发生时计入当期损益。购买方作为合并对价发行的权益性证券或债务性证券的交易费用，计入权益性证券或债务性证券的初始确认金额。所涉及的或有对价按其在购买日的公允价值计入合并成本，购买日后12个月内出现对购买日已存在情况的新的或进一步证据而需要调整或有对价的，相应调整合并商誉。购买方发生的合并成本及在合并中取得的可辨认净资产按购买日的公允价值计量。合并成本大于合并中取得的被购买方于购买日可辨认净资产公允价值份额的差额，确认为商誉。合并成本小于合并中取得的被购买方可辨认净资产公允价值份额的，首先对取得的被购买方各项可辨认资产、负债及或有负债的公允价值以及合并成本的计量进行复核，复核后合并成本仍小于合并中取得的被购买方可辨认净资产公允价值份额的，其差额计入当期损益。</w:t>
      </w:r>
    </w:p>
    <w:p>
      <w:pPr>
        <w:pStyle w:val="8"/>
        <w:spacing w:before="0" w:beforeAutospacing="0" w:after="0" w:afterAutospacing="0" w:line="276" w:lineRule="auto"/>
        <w:ind w:firstLine="360"/>
        <w:rPr>
          <w:rFonts w:ascii="Times New Roman" w:hAnsi="Times New Roman" w:cs="Times New Roman"/>
        </w:rPr>
      </w:pPr>
      <w:r>
        <w:rPr>
          <w:rFonts w:ascii="Times New Roman" w:hAnsi="Times New Roman" w:cs="Times New Roman"/>
          <w:sz w:val="18"/>
          <w:szCs w:val="18"/>
        </w:rPr>
        <w:t>购买方取得被购买方的可抵扣暂时性差异，在购买日因不符合递延所得税资产确认条件而未予确认的，在购买日后12个月内，如取得新的或进一步的信息表明购买日的相关情况已经存在，预期被购买方在购买日可抵扣暂时性差异带来的经济利益能够实现的，则确认相关的递延所得税资产，同时减少商誉，商誉不足冲减的，差额部分确认为当期损益；除上述情况以外，确认与企业合并相关的递延所得税资产的，计入当期损益。</w:t>
      </w:r>
    </w:p>
    <w:p>
      <w:pPr>
        <w:pStyle w:val="8"/>
        <w:spacing w:before="0" w:beforeAutospacing="0" w:after="0" w:afterAutospacing="0" w:line="276" w:lineRule="auto"/>
        <w:ind w:firstLine="360"/>
        <w:rPr>
          <w:rFonts w:ascii="Times New Roman" w:hAnsi="Times New Roman" w:cs="Times New Roman"/>
        </w:rPr>
      </w:pPr>
      <w:r>
        <w:rPr>
          <w:rFonts w:ascii="Times New Roman" w:hAnsi="Times New Roman" w:cs="Times New Roman"/>
          <w:sz w:val="18"/>
          <w:szCs w:val="18"/>
        </w:rPr>
        <w:t>通过多次交易分步实现的非同一控制下企业合并，根据《财政部关于印发企业会计准则解释第5号的通知》（财会[2012]19号）和《企业会计准则第33号——合并财务报表》第五十一条关于“一揽子交易”的判断标准（参见本附注五、6“合并财务报表的编制方法”（2）），判断该多次交易是否属于“一揽子交易”。属于“一揽子交易”的，参考本部分前面各段描述及本附注五、22“长期股权投资”进行会计处理；不属于“一揽子交易”的，区分个别财务报表和合并财务报表进行相关会计处理：</w:t>
      </w:r>
    </w:p>
    <w:p>
      <w:pPr>
        <w:pStyle w:val="8"/>
        <w:spacing w:before="0" w:beforeAutospacing="0" w:after="0" w:afterAutospacing="0" w:line="276" w:lineRule="auto"/>
        <w:ind w:firstLine="360"/>
        <w:rPr>
          <w:rFonts w:ascii="Times New Roman" w:hAnsi="Times New Roman" w:cs="Times New Roman"/>
        </w:rPr>
      </w:pPr>
      <w:r>
        <w:rPr>
          <w:rFonts w:ascii="Times New Roman" w:hAnsi="Times New Roman" w:cs="Times New Roman"/>
          <w:sz w:val="18"/>
          <w:szCs w:val="18"/>
        </w:rPr>
        <w:t>在个别财务报表中，以购买日之前所持被购买方的股权投资的账面价值与购买日新增投资成本之和，作为该项投资的初始投资成本；购买日之前持有的被购买方的股权涉及其他综合收益的，在处置该项投资时将与其相关的其他综合收益采用与被购买方直接处置相关资产或负债相同的基础进行会计处理。</w:t>
      </w:r>
    </w:p>
    <w:p>
      <w:pPr>
        <w:pStyle w:val="8"/>
        <w:ind w:firstLine="360" w:firstLineChars="200"/>
        <w:rPr>
          <w:rFonts w:ascii="Times New Roman" w:hAnsi="Times New Roman" w:cs="Times New Roman"/>
          <w:sz w:val="18"/>
          <w:szCs w:val="18"/>
        </w:rPr>
      </w:pPr>
      <w:r>
        <w:rPr>
          <w:rFonts w:ascii="Times New Roman" w:hAnsi="Times New Roman" w:cs="Times New Roman"/>
          <w:sz w:val="18"/>
          <w:szCs w:val="18"/>
        </w:rPr>
        <w:t>在合并财务报表中，对于购买日之前持有的被购买方的股权，按照该股权在购买日的公允价值进行重新计量，公允价值与其账面价值的差额计入当期投资收益；购买日之前持有的被购买方的股权涉及其他综合收益的，与其相关的其他综合收益应当采用与被购买方直接处置相关资产或负债相同的基础进行会计处理。</w:t>
      </w:r>
    </w:p>
    <w:p>
      <w:pPr>
        <w:pStyle w:val="3"/>
        <w:spacing w:line="280" w:lineRule="exact"/>
        <w:jc w:val="left"/>
        <w:rPr>
          <w:rFonts w:ascii="Times New Roman" w:hAnsi="Times New Roman" w:cs="Times New Roman"/>
          <w:b/>
          <w:bCs/>
        </w:rPr>
      </w:pPr>
      <w:bookmarkStart w:id="124" w:name="_Toc989013"/>
      <w:r>
        <w:rPr>
          <w:rFonts w:ascii="Times New Roman" w:hAnsi="Times New Roman" w:cs="Times New Roman"/>
          <w:b/>
          <w:bCs/>
        </w:rPr>
        <w:t>6、合并财务报表的编制方法</w:t>
      </w:r>
      <w:bookmarkEnd w:id="124"/>
    </w:p>
    <w:p>
      <w:pPr>
        <w:pStyle w:val="8"/>
        <w:spacing w:before="0" w:beforeAutospacing="0" w:after="0" w:afterAutospacing="0" w:line="276" w:lineRule="auto"/>
        <w:ind w:firstLine="360"/>
        <w:rPr>
          <w:rFonts w:ascii="Times New Roman" w:hAnsi="Times New Roman" w:cs="Times New Roman"/>
        </w:rPr>
      </w:pPr>
      <w:r>
        <w:rPr>
          <w:rFonts w:ascii="Times New Roman" w:hAnsi="Times New Roman" w:cs="Times New Roman"/>
          <w:sz w:val="18"/>
          <w:szCs w:val="18"/>
        </w:rPr>
        <w:t>（1）合并财务报表范围的确定原则</w:t>
      </w:r>
    </w:p>
    <w:p>
      <w:pPr>
        <w:pStyle w:val="8"/>
        <w:spacing w:before="0" w:beforeAutospacing="0" w:after="0" w:afterAutospacing="0" w:line="276" w:lineRule="auto"/>
        <w:ind w:firstLine="360"/>
        <w:rPr>
          <w:rFonts w:ascii="Times New Roman" w:hAnsi="Times New Roman" w:cs="Times New Roman"/>
        </w:rPr>
      </w:pPr>
      <w:r>
        <w:rPr>
          <w:rFonts w:ascii="Times New Roman" w:hAnsi="Times New Roman" w:cs="Times New Roman"/>
          <w:sz w:val="18"/>
          <w:szCs w:val="18"/>
        </w:rPr>
        <w:t>合并财务报表的合并范围以控制为基础予以确定。控制是指本集团拥有对被投资方的权力，通过参与被投资方的相关活动而享有可变回报，并且有能力运用对被投资方的权力影响该回报金额。合并范围包括本公司及全部子公司。子公司，是指被本集团控制的主体。</w:t>
      </w:r>
    </w:p>
    <w:p>
      <w:pPr>
        <w:pStyle w:val="8"/>
        <w:spacing w:before="0" w:beforeAutospacing="0" w:after="0" w:afterAutospacing="0" w:line="276" w:lineRule="auto"/>
        <w:ind w:firstLine="360"/>
        <w:rPr>
          <w:rFonts w:ascii="Times New Roman" w:hAnsi="Times New Roman" w:cs="Times New Roman"/>
        </w:rPr>
      </w:pPr>
      <w:r>
        <w:rPr>
          <w:rFonts w:ascii="Times New Roman" w:hAnsi="Times New Roman" w:cs="Times New Roman"/>
          <w:sz w:val="18"/>
          <w:szCs w:val="18"/>
        </w:rPr>
        <w:t>一旦相关事实和情况的变化导致上述控制定义涉及的相关要素发生了变化，本集团将进行重新评估。</w:t>
      </w:r>
    </w:p>
    <w:p>
      <w:pPr>
        <w:pStyle w:val="8"/>
        <w:spacing w:before="0" w:beforeAutospacing="0" w:after="0" w:afterAutospacing="0" w:line="276" w:lineRule="auto"/>
        <w:ind w:firstLine="360"/>
        <w:rPr>
          <w:rFonts w:ascii="Times New Roman" w:hAnsi="Times New Roman" w:cs="Times New Roman"/>
        </w:rPr>
      </w:pPr>
      <w:r>
        <w:rPr>
          <w:rFonts w:ascii="Times New Roman" w:hAnsi="Times New Roman" w:cs="Times New Roman"/>
          <w:sz w:val="18"/>
          <w:szCs w:val="18"/>
        </w:rPr>
        <w:t>（2）合并财务报表编制的方法</w:t>
      </w:r>
    </w:p>
    <w:p>
      <w:pPr>
        <w:pStyle w:val="8"/>
        <w:spacing w:before="0" w:beforeAutospacing="0" w:after="0" w:afterAutospacing="0" w:line="276" w:lineRule="auto"/>
        <w:ind w:firstLine="360"/>
        <w:rPr>
          <w:rFonts w:ascii="Times New Roman" w:hAnsi="Times New Roman" w:cs="Times New Roman"/>
        </w:rPr>
      </w:pPr>
      <w:r>
        <w:rPr>
          <w:rFonts w:ascii="Times New Roman" w:hAnsi="Times New Roman" w:cs="Times New Roman"/>
          <w:sz w:val="18"/>
          <w:szCs w:val="18"/>
        </w:rPr>
        <w:t>从取得子公司的净资产和生产经营决策的实际控制权之日起，本集团开始将其纳入合并范围；从丧失实际控制权之日起停止纳入合并范围。对于处置的子公司，处置日前的经营成果和现金流量已经适当地包括在合并利润表和合并现金流量表中；当期处置的子公司，不调整合并资产负债表的期初数。非同一控制下企业合并增加的子公司，其购买日后的经营成果及现金流量已经适当地包括在合并利润表和合并现金流量表中，且不调整合并财务报表的期初数和对比数。同一控制下企业合并增加的子公司及吸收合并下的被合并方，其自合并当期期初至合并日的经营成果和现金流量已经适当地包括在合并利润表和合并现金流量表中，并且同时调整合并财务报表的对比数。</w:t>
      </w:r>
    </w:p>
    <w:p>
      <w:pPr>
        <w:pStyle w:val="8"/>
        <w:spacing w:before="0" w:beforeAutospacing="0" w:after="0" w:afterAutospacing="0" w:line="276" w:lineRule="auto"/>
        <w:ind w:firstLine="360"/>
        <w:rPr>
          <w:rFonts w:ascii="Times New Roman" w:hAnsi="Times New Roman" w:cs="Times New Roman"/>
        </w:rPr>
      </w:pPr>
      <w:r>
        <w:rPr>
          <w:rFonts w:ascii="Times New Roman" w:hAnsi="Times New Roman" w:cs="Times New Roman"/>
          <w:sz w:val="18"/>
          <w:szCs w:val="18"/>
        </w:rPr>
        <w:t>在编制合并财务报表时，子公司与本公司采用的会计政策或会计期间不一致的，按照本公司的会计政策和会计期间对子公司财务报表进行必要的调整。对于非同一控制下企业合并取得的子公司，以购买日可辨认净资产公允价值为基础对其财务报表进行调整。</w:t>
      </w:r>
    </w:p>
    <w:p>
      <w:pPr>
        <w:pStyle w:val="8"/>
        <w:spacing w:before="0" w:beforeAutospacing="0" w:after="0" w:afterAutospacing="0" w:line="276" w:lineRule="auto"/>
        <w:ind w:firstLine="360"/>
        <w:rPr>
          <w:rFonts w:ascii="Times New Roman" w:hAnsi="Times New Roman" w:cs="Times New Roman"/>
        </w:rPr>
      </w:pPr>
      <w:r>
        <w:rPr>
          <w:rFonts w:ascii="Times New Roman" w:hAnsi="Times New Roman" w:cs="Times New Roman"/>
          <w:sz w:val="18"/>
          <w:szCs w:val="18"/>
        </w:rPr>
        <w:t>集团内所有重大往来余额、交易及未实现利润在合并财务报表编制时予以抵销。</w:t>
      </w:r>
    </w:p>
    <w:p>
      <w:pPr>
        <w:pStyle w:val="8"/>
        <w:spacing w:before="0" w:beforeAutospacing="0" w:after="0" w:afterAutospacing="0" w:line="276" w:lineRule="auto"/>
        <w:ind w:firstLine="360"/>
        <w:rPr>
          <w:rFonts w:ascii="Times New Roman" w:hAnsi="Times New Roman" w:cs="Times New Roman"/>
        </w:rPr>
      </w:pPr>
      <w:r>
        <w:rPr>
          <w:rFonts w:ascii="Times New Roman" w:hAnsi="Times New Roman" w:cs="Times New Roman"/>
          <w:sz w:val="18"/>
          <w:szCs w:val="18"/>
        </w:rPr>
        <w:t>子公司的股东权益及当期净损益中不属于本公司所拥有的部分分别作为少数股东权益及少数股东损益在合并财务报表中股东权益及净利润项下单独列示。子公司当期净损益中属于少数股东权益的份额，在合并利润表中净利润项目下以“少数股东损益”项目列示。少数股东分担的子公司的亏损超过了少数股东在该子公司期初股东权益中所享有的份额，仍冲减少数股东权益。</w:t>
      </w:r>
    </w:p>
    <w:p>
      <w:pPr>
        <w:pStyle w:val="8"/>
        <w:spacing w:before="0" w:beforeAutospacing="0" w:after="0" w:afterAutospacing="0" w:line="276" w:lineRule="auto"/>
        <w:ind w:firstLine="360"/>
        <w:rPr>
          <w:rFonts w:ascii="Times New Roman" w:hAnsi="Times New Roman" w:cs="Times New Roman"/>
        </w:rPr>
      </w:pPr>
      <w:r>
        <w:rPr>
          <w:rFonts w:ascii="Times New Roman" w:hAnsi="Times New Roman" w:cs="Times New Roman"/>
          <w:sz w:val="18"/>
          <w:szCs w:val="18"/>
        </w:rPr>
        <w:t>当因处置部分股权投资或其他原因丧失了对原有子公司的控制权时，对于剩余股权，按照其在丧失控制权日的公允价值进行重新计量。处置股权取得的对价与剩余股权公允价值之和，减去按原持股比例计算应享有原有子公司自购买日开始持续计算的净资产的份额之间的差额，计入丧失控制权当期的投资收益。与原有子公司股权投资相关的其他综合收益，在丧失控制权时采用与该子公司直接处置相关资产或负债相同的基础进行会计处理。其后，对该部分剩余股权按照《企业会计准则第2号——长期股权投资》或《企业会计准则第22号——金融工具确认和计量》等相关规定进行后续计量，详见本附注五、22“长期股权投资”或本附注五、10“金融工具”。</w:t>
      </w:r>
    </w:p>
    <w:p>
      <w:pPr>
        <w:pStyle w:val="8"/>
        <w:spacing w:before="0" w:beforeAutospacing="0" w:after="0" w:afterAutospacing="0" w:line="276" w:lineRule="auto"/>
        <w:ind w:firstLine="360"/>
        <w:rPr>
          <w:rFonts w:ascii="Times New Roman" w:hAnsi="Times New Roman" w:cs="Times New Roman"/>
        </w:rPr>
      </w:pPr>
      <w:r>
        <w:rPr>
          <w:rFonts w:ascii="Times New Roman" w:hAnsi="Times New Roman" w:cs="Times New Roman"/>
          <w:sz w:val="18"/>
          <w:szCs w:val="18"/>
        </w:rPr>
        <w:t>本集团通过多次交易分步处置对子公司股权投资直至丧失控制权的，需区分处置对子公司股权投资直至丧失控制权的各项交易是否属于一揽子交易。处置对子公司股权投资的各项交易的条款、条件以及经济影响符合以下一种或多种情况，通常表明应将多次交易事项作为一揽子交易进行会计处理：</w:t>
      </w:r>
      <w:r>
        <w:rPr>
          <w:rFonts w:hint="eastAsia"/>
          <w:sz w:val="18"/>
          <w:szCs w:val="18"/>
        </w:rPr>
        <w:t>①</w:t>
      </w:r>
      <w:r>
        <w:rPr>
          <w:rFonts w:ascii="Times New Roman" w:hAnsi="Times New Roman" w:cs="Times New Roman"/>
          <w:sz w:val="18"/>
          <w:szCs w:val="18"/>
        </w:rPr>
        <w:t>这些交易是同时或者在考虑了彼此影响的情况下订立的；</w:t>
      </w:r>
      <w:r>
        <w:rPr>
          <w:rFonts w:hint="eastAsia"/>
          <w:sz w:val="18"/>
          <w:szCs w:val="18"/>
        </w:rPr>
        <w:t>②</w:t>
      </w:r>
      <w:r>
        <w:rPr>
          <w:rFonts w:ascii="Times New Roman" w:hAnsi="Times New Roman" w:cs="Times New Roman"/>
          <w:sz w:val="18"/>
          <w:szCs w:val="18"/>
        </w:rPr>
        <w:t>这些交易整体才能达成一项完整的商业结果；</w:t>
      </w:r>
      <w:r>
        <w:rPr>
          <w:rFonts w:hint="eastAsia"/>
          <w:sz w:val="18"/>
          <w:szCs w:val="18"/>
        </w:rPr>
        <w:t>③</w:t>
      </w:r>
      <w:r>
        <w:rPr>
          <w:rFonts w:ascii="Times New Roman" w:hAnsi="Times New Roman" w:cs="Times New Roman"/>
          <w:sz w:val="18"/>
          <w:szCs w:val="18"/>
        </w:rPr>
        <w:t>一项交易的发生取决于其他至少一项交易的发生；</w:t>
      </w:r>
      <w:r>
        <w:rPr>
          <w:rFonts w:hint="eastAsia"/>
          <w:sz w:val="18"/>
          <w:szCs w:val="18"/>
        </w:rPr>
        <w:t>④</w:t>
      </w:r>
      <w:r>
        <w:rPr>
          <w:rFonts w:ascii="Times New Roman" w:hAnsi="Times New Roman" w:cs="Times New Roman"/>
          <w:sz w:val="18"/>
          <w:szCs w:val="18"/>
        </w:rPr>
        <w:t>一项交易单独看是不经济的，但是和其他交易一并考虑时是经济的。不属于一揽子交易的，对其中的每一项交易视情况分别按照“不丧失控制权的情况下部分处置对子公司的长期股权投资”（详见本附注五、22“长期股权投资”（2）</w:t>
      </w:r>
      <w:r>
        <w:rPr>
          <w:rFonts w:hint="eastAsia"/>
          <w:sz w:val="18"/>
          <w:szCs w:val="18"/>
        </w:rPr>
        <w:t>④</w:t>
      </w:r>
      <w:r>
        <w:rPr>
          <w:rFonts w:ascii="Times New Roman" w:hAnsi="Times New Roman" w:cs="Times New Roman"/>
          <w:sz w:val="18"/>
          <w:szCs w:val="18"/>
        </w:rPr>
        <w:t>）和“因处置部分股权投资或其他原因丧失了对原有子公司的控制权”（详见前段）适用的原则进行会计处理。处置对子公司股权投资直至丧失控制权的各项交易属于一揽子交易的，将各项交易作为一项处置子公司并丧失控制权的交易进行会计处理；但是，在丧失控制权之前每一次处置价款与处置投资对应的享有该子公司净资产份额的差额，在合并财务报表中确认为其他综合收益，在丧失控制权时一并转入丧失控制权当期的损益。</w:t>
      </w:r>
    </w:p>
    <w:p>
      <w:pPr>
        <w:pStyle w:val="3"/>
        <w:spacing w:line="280" w:lineRule="exact"/>
        <w:jc w:val="left"/>
        <w:rPr>
          <w:rFonts w:ascii="Times New Roman" w:hAnsi="Times New Roman" w:cs="Times New Roman"/>
          <w:b/>
          <w:bCs/>
        </w:rPr>
      </w:pPr>
      <w:bookmarkStart w:id="125" w:name="_Toc989014"/>
      <w:r>
        <w:rPr>
          <w:rFonts w:ascii="Times New Roman" w:hAnsi="Times New Roman" w:cs="Times New Roman"/>
          <w:b/>
          <w:bCs/>
        </w:rPr>
        <w:t>7、合营安排分类及共同经营会计处理方法</w:t>
      </w:r>
      <w:bookmarkEnd w:id="125"/>
    </w:p>
    <w:p>
      <w:pPr>
        <w:pStyle w:val="8"/>
        <w:spacing w:before="0" w:beforeAutospacing="0" w:after="0" w:afterAutospacing="0" w:line="276" w:lineRule="auto"/>
        <w:ind w:firstLine="360"/>
        <w:rPr>
          <w:rFonts w:ascii="Times New Roman" w:hAnsi="Times New Roman" w:cs="Times New Roman"/>
        </w:rPr>
      </w:pPr>
      <w:r>
        <w:rPr>
          <w:rFonts w:ascii="Times New Roman" w:hAnsi="Times New Roman" w:cs="Times New Roman"/>
          <w:sz w:val="18"/>
          <w:szCs w:val="18"/>
        </w:rPr>
        <w:t>合营安排，是指一项由两个或两个以上的参与方共同控制的安排。本集团根据在合营安排中享有的权利和承担的义务，将合营安排分为共同经营和合营企业。共同经营，是指本集团享有该安排相关资产且承担该安排相关负债的合营安排。合营企业，是指本集团仅对该安排的净资产享有权利的合营安排。</w:t>
      </w:r>
    </w:p>
    <w:p>
      <w:pPr>
        <w:pStyle w:val="8"/>
        <w:spacing w:before="0" w:beforeAutospacing="0" w:after="0" w:afterAutospacing="0" w:line="276" w:lineRule="auto"/>
        <w:ind w:firstLine="360"/>
        <w:rPr>
          <w:rFonts w:ascii="Times New Roman" w:hAnsi="Times New Roman" w:cs="Times New Roman"/>
        </w:rPr>
      </w:pPr>
      <w:r>
        <w:rPr>
          <w:rFonts w:ascii="Times New Roman" w:hAnsi="Times New Roman" w:cs="Times New Roman"/>
          <w:sz w:val="18"/>
          <w:szCs w:val="18"/>
        </w:rPr>
        <w:t>本集团对合营企业的投资采用权益法核算，按照本附注五、22“长期股权投资”（2）</w:t>
      </w:r>
      <w:r>
        <w:rPr>
          <w:rFonts w:hint="eastAsia"/>
          <w:sz w:val="18"/>
          <w:szCs w:val="18"/>
        </w:rPr>
        <w:t>②</w:t>
      </w:r>
      <w:r>
        <w:rPr>
          <w:rFonts w:ascii="Times New Roman" w:hAnsi="Times New Roman" w:cs="Times New Roman"/>
          <w:sz w:val="18"/>
          <w:szCs w:val="18"/>
        </w:rPr>
        <w:t>“权益法核算的长期股权投资”中所述的会计政策处理。</w:t>
      </w:r>
    </w:p>
    <w:p>
      <w:pPr>
        <w:pStyle w:val="8"/>
        <w:spacing w:before="0" w:beforeAutospacing="0" w:after="0" w:afterAutospacing="0" w:line="276" w:lineRule="auto"/>
        <w:ind w:firstLine="360"/>
        <w:rPr>
          <w:rFonts w:ascii="Times New Roman" w:hAnsi="Times New Roman" w:cs="Times New Roman"/>
        </w:rPr>
      </w:pPr>
      <w:r>
        <w:rPr>
          <w:rFonts w:ascii="Times New Roman" w:hAnsi="Times New Roman" w:cs="Times New Roman"/>
          <w:sz w:val="18"/>
          <w:szCs w:val="18"/>
        </w:rPr>
        <w:t>本集团作为合营方对共同经营，确认本集团单独持有的资产、单独所承担的负债，以及按本集团份额确认共同持有的资产和共同承担的负债；确认出售本集团享有的共同经营产出份额所产生的收入；按本集团份额确认共同经营因出售产出所产生的收入；确认本集团单独所发生的费用，以及按本集团份额确认共同经营发生的费用。</w:t>
      </w:r>
    </w:p>
    <w:p>
      <w:pPr>
        <w:pStyle w:val="8"/>
        <w:spacing w:before="0" w:beforeAutospacing="0" w:after="0" w:afterAutospacing="0" w:line="276" w:lineRule="auto"/>
        <w:ind w:firstLine="360"/>
        <w:rPr>
          <w:rFonts w:ascii="Times New Roman" w:hAnsi="Times New Roman" w:cs="Times New Roman"/>
        </w:rPr>
      </w:pPr>
      <w:r>
        <w:rPr>
          <w:rFonts w:ascii="Times New Roman" w:hAnsi="Times New Roman" w:cs="Times New Roman"/>
          <w:sz w:val="18"/>
          <w:szCs w:val="18"/>
        </w:rPr>
        <w:t>当本集团作为合营方向共同经营投出或出售资产（该资产不构成业务，下同）、或者自共同经营购买资产时，在该等资产出售给第三方之前，本集团仅确认因该交易产生的损益中归属于共同经营其他参与方的部分。该等资产发生符合《企业会计准则第8号——资产减值》等规定的资产减值损失的，对于由本集团向共同经营投出或出售资产的情况，本集团全额确认该损失；对于本集团自共同经营购买资产的情况，本集团按承担的份额确认该损失。</w:t>
      </w:r>
    </w:p>
    <w:p>
      <w:pPr>
        <w:pStyle w:val="3"/>
        <w:spacing w:line="280" w:lineRule="exact"/>
        <w:jc w:val="left"/>
        <w:rPr>
          <w:rFonts w:ascii="Times New Roman" w:hAnsi="Times New Roman" w:cs="Times New Roman"/>
          <w:b/>
          <w:bCs/>
        </w:rPr>
      </w:pPr>
      <w:bookmarkStart w:id="126" w:name="_Toc989015"/>
      <w:r>
        <w:rPr>
          <w:rFonts w:ascii="Times New Roman" w:hAnsi="Times New Roman" w:cs="Times New Roman"/>
          <w:b/>
          <w:bCs/>
        </w:rPr>
        <w:t>8、现金及现金等价物的确定标准</w:t>
      </w:r>
      <w:bookmarkEnd w:id="126"/>
    </w:p>
    <w:p>
      <w:pPr>
        <w:pStyle w:val="8"/>
        <w:spacing w:before="0" w:beforeAutospacing="0" w:after="0" w:afterAutospacing="0" w:line="276" w:lineRule="auto"/>
        <w:rPr>
          <w:rFonts w:ascii="Times New Roman" w:hAnsi="Times New Roman" w:cs="Times New Roman"/>
        </w:rPr>
      </w:pPr>
      <w:r>
        <w:rPr>
          <w:rFonts w:ascii="Times New Roman" w:hAnsi="Times New Roman" w:cs="Times New Roman"/>
          <w:sz w:val="18"/>
          <w:szCs w:val="18"/>
        </w:rPr>
        <w:t> 本集团现金及现金等价物包括库存现金、可以随时用于支付的存款以及本集团持有的期限短（一般为从购买日起三个月内到期）、流动性强、易于转换为已知金额现金、价值变动风险很小的投资。</w:t>
      </w:r>
    </w:p>
    <w:p>
      <w:pPr>
        <w:pStyle w:val="3"/>
        <w:spacing w:line="280" w:lineRule="exact"/>
        <w:jc w:val="left"/>
        <w:rPr>
          <w:rFonts w:ascii="Times New Roman" w:hAnsi="Times New Roman" w:cs="Times New Roman"/>
          <w:b/>
          <w:bCs/>
        </w:rPr>
      </w:pPr>
      <w:bookmarkStart w:id="127" w:name="_Toc989016"/>
      <w:r>
        <w:rPr>
          <w:rFonts w:ascii="Times New Roman" w:hAnsi="Times New Roman" w:cs="Times New Roman"/>
          <w:b/>
          <w:bCs/>
        </w:rPr>
        <w:t>9、外币业务和外币报表折算</w:t>
      </w:r>
      <w:bookmarkEnd w:id="127"/>
    </w:p>
    <w:p>
      <w:pPr>
        <w:pStyle w:val="8"/>
        <w:spacing w:before="0" w:beforeAutospacing="0" w:after="0" w:afterAutospacing="0" w:line="276" w:lineRule="auto"/>
        <w:ind w:firstLine="360"/>
        <w:rPr>
          <w:rFonts w:ascii="Times New Roman" w:hAnsi="Times New Roman" w:cs="Times New Roman"/>
        </w:rPr>
      </w:pPr>
      <w:r>
        <w:rPr>
          <w:rFonts w:ascii="Times New Roman" w:hAnsi="Times New Roman" w:cs="Times New Roman"/>
          <w:sz w:val="18"/>
          <w:szCs w:val="18"/>
        </w:rPr>
        <w:t>（1）外币交易的折算方法</w:t>
      </w:r>
    </w:p>
    <w:p>
      <w:pPr>
        <w:pStyle w:val="8"/>
        <w:spacing w:before="0" w:beforeAutospacing="0" w:after="0" w:afterAutospacing="0" w:line="276" w:lineRule="auto"/>
        <w:ind w:firstLine="360"/>
        <w:rPr>
          <w:rFonts w:ascii="Times New Roman" w:hAnsi="Times New Roman" w:cs="Times New Roman"/>
        </w:rPr>
      </w:pPr>
      <w:r>
        <w:rPr>
          <w:rFonts w:ascii="Times New Roman" w:hAnsi="Times New Roman" w:cs="Times New Roman"/>
          <w:sz w:val="18"/>
          <w:szCs w:val="18"/>
        </w:rPr>
        <w:t>本集团发生的外币交易在初始确认时，按交易日的即期汇率（通常指中国人民银行公布的当日外汇牌价的中间价，下同）折算为记账本位币金额，但本集团发生的外币兑换业务或涉及外币兑换的交易事项，按照实际采用的汇率折算为记账本位币金额。</w:t>
      </w:r>
    </w:p>
    <w:p>
      <w:pPr>
        <w:pStyle w:val="8"/>
        <w:spacing w:before="0" w:beforeAutospacing="0" w:after="0" w:afterAutospacing="0" w:line="276" w:lineRule="auto"/>
        <w:ind w:firstLine="360"/>
        <w:rPr>
          <w:rFonts w:ascii="Times New Roman" w:hAnsi="Times New Roman" w:cs="Times New Roman"/>
        </w:rPr>
      </w:pPr>
      <w:r>
        <w:rPr>
          <w:rFonts w:ascii="Times New Roman" w:hAnsi="Times New Roman" w:cs="Times New Roman"/>
          <w:sz w:val="18"/>
          <w:szCs w:val="18"/>
        </w:rPr>
        <w:t>（2）对于外币货币性项目和外币非货币性项目的折算方法</w:t>
      </w:r>
    </w:p>
    <w:p>
      <w:pPr>
        <w:pStyle w:val="8"/>
        <w:spacing w:before="0" w:beforeAutospacing="0" w:after="0" w:afterAutospacing="0" w:line="276" w:lineRule="auto"/>
        <w:ind w:firstLine="360"/>
        <w:rPr>
          <w:rFonts w:ascii="Times New Roman" w:hAnsi="Times New Roman" w:cs="Times New Roman"/>
        </w:rPr>
      </w:pPr>
      <w:r>
        <w:rPr>
          <w:rFonts w:ascii="Times New Roman" w:hAnsi="Times New Roman" w:cs="Times New Roman"/>
          <w:sz w:val="18"/>
          <w:szCs w:val="18"/>
        </w:rPr>
        <w:t>资产负债表日，对于外币货币性项目采用资产负债表日即期汇率折算，由此产生的汇兑差额，除：</w:t>
      </w:r>
      <w:r>
        <w:rPr>
          <w:rFonts w:hint="eastAsia"/>
          <w:sz w:val="18"/>
          <w:szCs w:val="18"/>
        </w:rPr>
        <w:t>①</w:t>
      </w:r>
      <w:r>
        <w:rPr>
          <w:rFonts w:ascii="Times New Roman" w:hAnsi="Times New Roman" w:cs="Times New Roman"/>
          <w:sz w:val="18"/>
          <w:szCs w:val="18"/>
        </w:rPr>
        <w:t>属于与购建符合资本化条件的资产相关的外币专门借款产生的汇兑差额按照借款费用资本化的原则处理；</w:t>
      </w:r>
      <w:r>
        <w:rPr>
          <w:rFonts w:hint="eastAsia"/>
          <w:sz w:val="18"/>
          <w:szCs w:val="18"/>
        </w:rPr>
        <w:t>②</w:t>
      </w:r>
      <w:r>
        <w:rPr>
          <w:rFonts w:ascii="Times New Roman" w:hAnsi="Times New Roman" w:cs="Times New Roman"/>
          <w:sz w:val="18"/>
          <w:szCs w:val="18"/>
        </w:rPr>
        <w:t>分类为以公允价值计量且其变动计入其他综合收益的外币货币性项目，除摊余成本（含减值）之外的其他账面余额变动产生的汇兑差额计入其他综合收益之外，均计入当期损益。</w:t>
      </w:r>
    </w:p>
    <w:p>
      <w:pPr>
        <w:pStyle w:val="8"/>
        <w:spacing w:before="0" w:beforeAutospacing="0" w:after="0" w:afterAutospacing="0" w:line="276" w:lineRule="auto"/>
        <w:ind w:firstLine="360"/>
        <w:rPr>
          <w:rFonts w:ascii="Times New Roman" w:hAnsi="Times New Roman" w:cs="Times New Roman"/>
        </w:rPr>
      </w:pPr>
      <w:r>
        <w:rPr>
          <w:rFonts w:ascii="Times New Roman" w:hAnsi="Times New Roman" w:cs="Times New Roman"/>
          <w:sz w:val="18"/>
          <w:szCs w:val="18"/>
        </w:rPr>
        <w:t>以历史成本计量的外币非货币性项目，仍采用交易发生日的即期汇率折算的记账本位币金额计量。以公允价值计量的外币非货币性项目，采用公允价值确定日的即期汇率折算，折算后的记账本位币金额与原记账本位币金额的差额，作为公允价值变动（含汇率变动）处理，计入当期损益或确认为其他综合收益。</w:t>
      </w:r>
    </w:p>
    <w:p>
      <w:pPr>
        <w:pStyle w:val="8"/>
        <w:spacing w:before="0" w:beforeAutospacing="0" w:after="0" w:afterAutospacing="0" w:line="276" w:lineRule="auto"/>
        <w:ind w:firstLine="360"/>
        <w:rPr>
          <w:rFonts w:ascii="Times New Roman" w:hAnsi="Times New Roman" w:cs="Times New Roman"/>
        </w:rPr>
      </w:pPr>
      <w:r>
        <w:rPr>
          <w:rFonts w:ascii="Times New Roman" w:hAnsi="Times New Roman" w:cs="Times New Roman"/>
          <w:sz w:val="18"/>
          <w:szCs w:val="18"/>
        </w:rPr>
        <w:t>（3）外币财务报表的折算方法</w:t>
      </w:r>
    </w:p>
    <w:p>
      <w:pPr>
        <w:pStyle w:val="8"/>
        <w:spacing w:before="0" w:beforeAutospacing="0" w:after="0" w:afterAutospacing="0" w:line="276" w:lineRule="auto"/>
        <w:ind w:firstLine="360"/>
        <w:rPr>
          <w:rFonts w:ascii="Times New Roman" w:hAnsi="Times New Roman" w:cs="Times New Roman"/>
        </w:rPr>
      </w:pPr>
      <w:r>
        <w:rPr>
          <w:rFonts w:ascii="Times New Roman" w:hAnsi="Times New Roman" w:cs="Times New Roman"/>
          <w:sz w:val="18"/>
          <w:szCs w:val="18"/>
        </w:rPr>
        <w:t>境外经营的外币财务报表按以下方法折算为人民币报表：资产负债表中的资产和负债项目，采用资产负债表日的即期汇率折算；股东权益类项目除“未分配利润”项目外，其他项目采用发生时的即期汇率折算。利润表中的收入和费用项目，采用交易发生日的即期汇率折算。年初未分配利润为上一年折算后的年末未分配利润；期末未分配利润按折算后的利润分配各项目计算列示；折算后资产类项目与负债类项目和股东权益类项目合计数的差额，作为外币报表折算差额，确认为其他综合收益。处置境外经营并丧失控制权时，将资产负债表中股东权益项目下列示的、与该境外经营相关的外币报表折算差额，全部或按处置该境外经营的比例转入处置当期损益。</w:t>
      </w:r>
    </w:p>
    <w:p>
      <w:pPr>
        <w:pStyle w:val="8"/>
        <w:spacing w:before="0" w:beforeAutospacing="0" w:after="0" w:afterAutospacing="0" w:line="276" w:lineRule="auto"/>
        <w:ind w:firstLine="360"/>
        <w:rPr>
          <w:rFonts w:ascii="Times New Roman" w:hAnsi="Times New Roman" w:cs="Times New Roman"/>
        </w:rPr>
      </w:pPr>
      <w:r>
        <w:rPr>
          <w:rFonts w:ascii="Times New Roman" w:hAnsi="Times New Roman" w:cs="Times New Roman"/>
          <w:sz w:val="18"/>
          <w:szCs w:val="18"/>
        </w:rPr>
        <w:t>外币现金流量，采用现金流量发生日的即期汇率折算。汇率变动对现金的影响额作为调节项目，在现金流量表中单独列报。</w:t>
      </w:r>
    </w:p>
    <w:p>
      <w:pPr>
        <w:pStyle w:val="8"/>
        <w:spacing w:before="0" w:beforeAutospacing="0" w:after="0" w:afterAutospacing="0" w:line="276" w:lineRule="auto"/>
        <w:ind w:firstLine="360"/>
        <w:rPr>
          <w:rFonts w:ascii="Times New Roman" w:hAnsi="Times New Roman" w:cs="Times New Roman"/>
        </w:rPr>
      </w:pPr>
      <w:r>
        <w:rPr>
          <w:rFonts w:ascii="Times New Roman" w:hAnsi="Times New Roman" w:cs="Times New Roman"/>
          <w:sz w:val="18"/>
          <w:szCs w:val="18"/>
        </w:rPr>
        <w:t>年初数和上年实际数按照上年财务报表折算后的数额列示。</w:t>
      </w:r>
    </w:p>
    <w:p>
      <w:pPr>
        <w:pStyle w:val="8"/>
        <w:spacing w:before="0" w:beforeAutospacing="0" w:after="0" w:afterAutospacing="0" w:line="276" w:lineRule="auto"/>
        <w:ind w:firstLine="360"/>
        <w:rPr>
          <w:rFonts w:ascii="Times New Roman" w:hAnsi="Times New Roman" w:cs="Times New Roman"/>
        </w:rPr>
      </w:pPr>
      <w:r>
        <w:rPr>
          <w:rFonts w:ascii="Times New Roman" w:hAnsi="Times New Roman" w:cs="Times New Roman"/>
          <w:sz w:val="18"/>
          <w:szCs w:val="18"/>
        </w:rPr>
        <w:t>在处置本集团在境外经营的全部所有者权益或因处置部分股权投资或其他原因丧失了对境外经营控制权时，将资产负债表中股东权益项目下列示的、与该境外经营相关的归属于母公司所有者权益的外币报表折算差额，全部转入处置当期损益。</w:t>
      </w:r>
    </w:p>
    <w:p>
      <w:pPr>
        <w:pStyle w:val="8"/>
        <w:spacing w:before="0" w:beforeAutospacing="0" w:after="0" w:afterAutospacing="0" w:line="276" w:lineRule="auto"/>
        <w:ind w:firstLine="360"/>
        <w:rPr>
          <w:rFonts w:ascii="Times New Roman" w:hAnsi="Times New Roman" w:cs="Times New Roman"/>
        </w:rPr>
      </w:pPr>
      <w:r>
        <w:rPr>
          <w:rFonts w:ascii="Times New Roman" w:hAnsi="Times New Roman" w:cs="Times New Roman"/>
          <w:sz w:val="18"/>
          <w:szCs w:val="18"/>
        </w:rPr>
        <w:t>在处置部分股权投资或其他原因导致持有境外经营权益比例降低但不丧失对境外经营控制权时，与该境外经营处置部分相关的外币报表折算差额将归属于少数股东权益，不转入当期损益。在处置境外经营为联营企业或合营企业的部分股权时，与该境外经营相关的外币报表折算差额，按处置该境外经营的比例转入处置当期损益。</w:t>
      </w:r>
    </w:p>
    <w:p>
      <w:pPr>
        <w:pStyle w:val="8"/>
        <w:spacing w:before="0" w:beforeAutospacing="0" w:after="0" w:afterAutospacing="0" w:line="276" w:lineRule="auto"/>
        <w:ind w:firstLine="360"/>
        <w:rPr>
          <w:rFonts w:ascii="Times New Roman" w:hAnsi="Times New Roman" w:cs="Times New Roman"/>
        </w:rPr>
      </w:pPr>
      <w:r>
        <w:rPr>
          <w:rFonts w:ascii="Times New Roman" w:hAnsi="Times New Roman" w:cs="Times New Roman"/>
          <w:sz w:val="18"/>
          <w:szCs w:val="18"/>
        </w:rPr>
        <w:t>如有实质上构成对境外经营净投资的外币货币性项目，在合并财务报表中，其因汇率变动而产生的汇兑差额，作为“外币报表折算差额”确认为其他综合收益；处置境外经营时，计入处置当期损益。</w:t>
      </w:r>
    </w:p>
    <w:p>
      <w:pPr>
        <w:pStyle w:val="3"/>
        <w:spacing w:line="280" w:lineRule="exact"/>
        <w:jc w:val="left"/>
        <w:rPr>
          <w:rFonts w:ascii="Times New Roman" w:hAnsi="Times New Roman" w:cs="Times New Roman"/>
          <w:b/>
          <w:bCs/>
        </w:rPr>
      </w:pPr>
      <w:bookmarkStart w:id="128" w:name="_Toc989017"/>
      <w:r>
        <w:rPr>
          <w:rFonts w:ascii="Times New Roman" w:hAnsi="Times New Roman" w:cs="Times New Roman"/>
          <w:b/>
          <w:bCs/>
        </w:rPr>
        <w:t>10、金融工具</w:t>
      </w:r>
      <w:bookmarkEnd w:id="128"/>
    </w:p>
    <w:p>
      <w:pPr>
        <w:pStyle w:val="8"/>
        <w:spacing w:before="0" w:beforeAutospacing="0" w:after="0" w:afterAutospacing="0" w:line="276" w:lineRule="auto"/>
        <w:ind w:firstLine="360"/>
        <w:rPr>
          <w:rFonts w:ascii="Times New Roman" w:hAnsi="Times New Roman" w:cs="Times New Roman"/>
        </w:rPr>
      </w:pPr>
      <w:r>
        <w:rPr>
          <w:rFonts w:ascii="Times New Roman" w:hAnsi="Times New Roman" w:cs="Times New Roman"/>
          <w:sz w:val="18"/>
          <w:szCs w:val="18"/>
        </w:rPr>
        <w:t>在本集团成为金融工具合同的一方时确认一项金融资产或金融负债。</w:t>
      </w:r>
    </w:p>
    <w:p>
      <w:pPr>
        <w:pStyle w:val="8"/>
        <w:spacing w:before="0" w:beforeAutospacing="0" w:after="0" w:afterAutospacing="0" w:line="276" w:lineRule="auto"/>
        <w:ind w:firstLine="360"/>
        <w:rPr>
          <w:rFonts w:ascii="Times New Roman" w:hAnsi="Times New Roman" w:cs="Times New Roman"/>
        </w:rPr>
      </w:pPr>
      <w:r>
        <w:rPr>
          <w:rFonts w:ascii="Times New Roman" w:hAnsi="Times New Roman" w:cs="Times New Roman"/>
          <w:sz w:val="18"/>
          <w:szCs w:val="18"/>
        </w:rPr>
        <w:t>（1）金融资产的分类、确认和计量</w:t>
      </w:r>
    </w:p>
    <w:p>
      <w:pPr>
        <w:pStyle w:val="8"/>
        <w:spacing w:before="0" w:beforeAutospacing="0" w:after="0" w:afterAutospacing="0" w:line="276" w:lineRule="auto"/>
        <w:ind w:firstLine="360"/>
        <w:rPr>
          <w:rFonts w:ascii="Times New Roman" w:hAnsi="Times New Roman" w:cs="Times New Roman"/>
        </w:rPr>
      </w:pPr>
      <w:r>
        <w:rPr>
          <w:rFonts w:ascii="Times New Roman" w:hAnsi="Times New Roman" w:cs="Times New Roman"/>
          <w:sz w:val="18"/>
          <w:szCs w:val="18"/>
        </w:rPr>
        <w:t>本集团根据管理金融资产的业务模式和金融资产的合同现金流量特征，将金融资产划分为：以摊余成本计量的金融资产；以公允价值计量且其变动计入其他综合收益的金融资产；以公允价值计量且其变动计入当期损益的金融资产。</w:t>
      </w:r>
    </w:p>
    <w:p>
      <w:pPr>
        <w:pStyle w:val="8"/>
        <w:spacing w:before="0" w:beforeAutospacing="0" w:after="0" w:afterAutospacing="0" w:line="276" w:lineRule="auto"/>
        <w:ind w:firstLine="360"/>
        <w:rPr>
          <w:rFonts w:ascii="Times New Roman" w:hAnsi="Times New Roman" w:cs="Times New Roman"/>
        </w:rPr>
      </w:pPr>
      <w:r>
        <w:rPr>
          <w:rFonts w:ascii="Times New Roman" w:hAnsi="Times New Roman" w:cs="Times New Roman"/>
          <w:sz w:val="18"/>
          <w:szCs w:val="18"/>
        </w:rPr>
        <w:t>金融资产在初始确认时以公允价值计量。对于以公允价值计量且其变动计入当期损益的金融资产，相关交易费用直接计入当期损益；对于其他类别的金融资产，相关交易费用计入初始确认金额。因销售产品或提供劳务而产生的、未包含或不考虑重大融资成分的应收账款或应收票据，本集团按照预期有权收取的对价金额作为初始确认金额。</w:t>
      </w:r>
    </w:p>
    <w:p>
      <w:pPr>
        <w:pStyle w:val="8"/>
        <w:spacing w:before="0" w:beforeAutospacing="0" w:after="0" w:afterAutospacing="0" w:line="276" w:lineRule="auto"/>
        <w:ind w:firstLine="360"/>
        <w:rPr>
          <w:rFonts w:ascii="Times New Roman" w:hAnsi="Times New Roman" w:cs="Times New Roman"/>
        </w:rPr>
      </w:pPr>
      <w:r>
        <w:rPr>
          <w:rFonts w:hint="eastAsia"/>
          <w:sz w:val="18"/>
          <w:szCs w:val="18"/>
        </w:rPr>
        <w:t>①</w:t>
      </w:r>
      <w:r>
        <w:rPr>
          <w:rFonts w:ascii="Times New Roman" w:hAnsi="Times New Roman" w:cs="Times New Roman"/>
          <w:sz w:val="18"/>
          <w:szCs w:val="18"/>
        </w:rPr>
        <w:t>以摊余成本计量的金融资产</w:t>
      </w:r>
    </w:p>
    <w:p>
      <w:pPr>
        <w:pStyle w:val="8"/>
        <w:spacing w:before="0" w:beforeAutospacing="0" w:after="0" w:afterAutospacing="0" w:line="276" w:lineRule="auto"/>
        <w:ind w:firstLine="360"/>
        <w:rPr>
          <w:rFonts w:ascii="Times New Roman" w:hAnsi="Times New Roman" w:cs="Times New Roman"/>
        </w:rPr>
      </w:pPr>
      <w:r>
        <w:rPr>
          <w:rFonts w:ascii="Times New Roman" w:hAnsi="Times New Roman" w:cs="Times New Roman"/>
          <w:sz w:val="18"/>
          <w:szCs w:val="18"/>
        </w:rPr>
        <w:t>本集团管理以摊余成本计量的金融资产的业务模式为以收取合同现金流量为目标，且此类金融资产的合同现金流量特征与基本借贷安排相一致，即在特定日期产生的现金流量，仅为对本金和以未偿付本金金额为基础的利息的支付。本集团对于此类金融资产，采用实际利率法，按照摊余成本进行后续计量，其摊销或减值产生的利得或损失，计入当期损益。</w:t>
      </w:r>
    </w:p>
    <w:p>
      <w:pPr>
        <w:pStyle w:val="8"/>
        <w:spacing w:before="0" w:beforeAutospacing="0" w:after="0" w:afterAutospacing="0" w:line="276" w:lineRule="auto"/>
        <w:ind w:firstLine="360"/>
        <w:rPr>
          <w:rFonts w:ascii="Times New Roman" w:hAnsi="Times New Roman" w:cs="Times New Roman"/>
        </w:rPr>
      </w:pPr>
      <w:r>
        <w:rPr>
          <w:rFonts w:hint="eastAsia"/>
          <w:sz w:val="18"/>
          <w:szCs w:val="18"/>
        </w:rPr>
        <w:t>②</w:t>
      </w:r>
      <w:r>
        <w:rPr>
          <w:rFonts w:ascii="Times New Roman" w:hAnsi="Times New Roman" w:cs="Times New Roman"/>
          <w:sz w:val="18"/>
          <w:szCs w:val="18"/>
        </w:rPr>
        <w:t>以公允价值计量且其变动计入其他综合收益的金融资产</w:t>
      </w:r>
    </w:p>
    <w:p>
      <w:pPr>
        <w:pStyle w:val="8"/>
        <w:spacing w:before="0" w:beforeAutospacing="0" w:after="0" w:afterAutospacing="0" w:line="276" w:lineRule="auto"/>
        <w:ind w:firstLine="360"/>
        <w:rPr>
          <w:rFonts w:ascii="Times New Roman" w:hAnsi="Times New Roman" w:cs="Times New Roman"/>
        </w:rPr>
      </w:pPr>
      <w:r>
        <w:rPr>
          <w:rFonts w:ascii="Times New Roman" w:hAnsi="Times New Roman" w:cs="Times New Roman"/>
          <w:sz w:val="18"/>
          <w:szCs w:val="18"/>
        </w:rPr>
        <w:t>本集团管理此类金融资产的业务模式为既以收取合同现金流量为目标又以出售为目标，且此类金融资产的合同现金流量特征与基本借贷安排相一致。本集团对此类金融资产按照公允价值计量且其变动计入其他综合收益，但减值损失或利得、汇兑损益和按照实际利率法计算的利息收入计入当期损益。</w:t>
      </w:r>
    </w:p>
    <w:p>
      <w:pPr>
        <w:pStyle w:val="8"/>
        <w:spacing w:before="0" w:beforeAutospacing="0" w:after="0" w:afterAutospacing="0" w:line="276" w:lineRule="auto"/>
        <w:ind w:firstLine="360"/>
        <w:rPr>
          <w:rFonts w:ascii="Times New Roman" w:hAnsi="Times New Roman" w:cs="Times New Roman"/>
        </w:rPr>
      </w:pPr>
      <w:r>
        <w:rPr>
          <w:rFonts w:ascii="Times New Roman" w:hAnsi="Times New Roman" w:cs="Times New Roman"/>
          <w:sz w:val="18"/>
          <w:szCs w:val="18"/>
        </w:rPr>
        <w:t>此外，本集团将部分非交易性权益工具投资指定为以公允价值计量且其变动计入其他综合收益的金融资产。本集团将该类金融资产的相关股利收入计入当期损益，公允价值变动计入其他综合收益。当该金融资产终止确认时，之前计入其他综合收益的累计利得或损失将从其他综合收益转入留存收益，不计入当期损益。</w:t>
      </w:r>
    </w:p>
    <w:p>
      <w:pPr>
        <w:pStyle w:val="8"/>
        <w:spacing w:before="0" w:beforeAutospacing="0" w:after="0" w:afterAutospacing="0" w:line="276" w:lineRule="auto"/>
        <w:ind w:firstLine="360"/>
        <w:rPr>
          <w:rFonts w:ascii="Times New Roman" w:hAnsi="Times New Roman" w:cs="Times New Roman"/>
        </w:rPr>
      </w:pPr>
      <w:r>
        <w:rPr>
          <w:rFonts w:hint="eastAsia"/>
          <w:sz w:val="18"/>
          <w:szCs w:val="18"/>
        </w:rPr>
        <w:t>③</w:t>
      </w:r>
      <w:r>
        <w:rPr>
          <w:rFonts w:ascii="Times New Roman" w:hAnsi="Times New Roman" w:cs="Times New Roman"/>
          <w:sz w:val="18"/>
          <w:szCs w:val="18"/>
        </w:rPr>
        <w:t>以公允价值计量且其变动计入当期损益的金融资产</w:t>
      </w:r>
    </w:p>
    <w:p>
      <w:pPr>
        <w:pStyle w:val="8"/>
        <w:spacing w:before="0" w:beforeAutospacing="0" w:after="0" w:afterAutospacing="0" w:line="276" w:lineRule="auto"/>
        <w:ind w:firstLine="360"/>
        <w:rPr>
          <w:rFonts w:ascii="Times New Roman" w:hAnsi="Times New Roman" w:cs="Times New Roman"/>
        </w:rPr>
      </w:pPr>
      <w:r>
        <w:rPr>
          <w:rFonts w:ascii="Times New Roman" w:hAnsi="Times New Roman" w:cs="Times New Roman"/>
          <w:sz w:val="18"/>
          <w:szCs w:val="18"/>
        </w:rPr>
        <w:t>本集团将上述以摊余成本计量的金融资产和以公允价值计量且其变动计入其他综合收益的金融资产之外的金融资产，分类为以公允价值计量且其变动计入当期损益的金融资产。此外，在初始确认时，本集团为了消除或显著减少会计错配，将部分金融资产指定为以公允价值计量且其变动计入当期损益的金融资产。对于此类金融资产，本集团采用公允价值进行后续计量，公允价值变动计入当期损益。</w:t>
      </w:r>
    </w:p>
    <w:p>
      <w:pPr>
        <w:pStyle w:val="8"/>
        <w:spacing w:before="0" w:beforeAutospacing="0" w:after="0" w:afterAutospacing="0" w:line="276" w:lineRule="auto"/>
        <w:ind w:firstLine="360"/>
        <w:rPr>
          <w:rFonts w:ascii="Times New Roman" w:hAnsi="Times New Roman" w:cs="Times New Roman"/>
        </w:rPr>
      </w:pPr>
      <w:r>
        <w:rPr>
          <w:rFonts w:ascii="Times New Roman" w:hAnsi="Times New Roman" w:cs="Times New Roman"/>
          <w:sz w:val="18"/>
          <w:szCs w:val="18"/>
        </w:rPr>
        <w:t>（2）金融负债的分类、确认和计量</w:t>
      </w:r>
    </w:p>
    <w:p>
      <w:pPr>
        <w:pStyle w:val="8"/>
        <w:spacing w:before="0" w:beforeAutospacing="0" w:after="0" w:afterAutospacing="0" w:line="276" w:lineRule="auto"/>
        <w:ind w:firstLine="360"/>
        <w:rPr>
          <w:rFonts w:ascii="Times New Roman" w:hAnsi="Times New Roman" w:cs="Times New Roman"/>
        </w:rPr>
      </w:pPr>
      <w:r>
        <w:rPr>
          <w:rFonts w:ascii="Times New Roman" w:hAnsi="Times New Roman" w:cs="Times New Roman"/>
          <w:sz w:val="18"/>
          <w:szCs w:val="18"/>
        </w:rPr>
        <w:t>金融负债于初始确认时分类为以公允价值计量且其变动计入当期损益的金融负债和其他金融负债。对于以公允价值计量且其变动计入当期损益的金融负债，相关交易费用直接计入当期损益，其他金融负债的相关交易费用计入其初始确认金额。</w:t>
      </w:r>
    </w:p>
    <w:p>
      <w:pPr>
        <w:pStyle w:val="8"/>
        <w:spacing w:before="0" w:beforeAutospacing="0" w:after="0" w:afterAutospacing="0" w:line="276" w:lineRule="auto"/>
        <w:ind w:firstLine="360"/>
        <w:rPr>
          <w:rFonts w:ascii="Times New Roman" w:hAnsi="Times New Roman" w:cs="Times New Roman"/>
        </w:rPr>
      </w:pPr>
      <w:r>
        <w:rPr>
          <w:rFonts w:hint="eastAsia"/>
          <w:sz w:val="18"/>
          <w:szCs w:val="18"/>
        </w:rPr>
        <w:t>①</w:t>
      </w:r>
      <w:r>
        <w:rPr>
          <w:rFonts w:ascii="Times New Roman" w:hAnsi="Times New Roman" w:cs="Times New Roman"/>
          <w:sz w:val="18"/>
          <w:szCs w:val="18"/>
        </w:rPr>
        <w:t>以公允价值计量且其变动计入当期损益的金融负债</w:t>
      </w:r>
    </w:p>
    <w:p>
      <w:pPr>
        <w:pStyle w:val="8"/>
        <w:spacing w:before="0" w:beforeAutospacing="0" w:after="0" w:afterAutospacing="0" w:line="276" w:lineRule="auto"/>
        <w:ind w:firstLine="360"/>
        <w:rPr>
          <w:rFonts w:ascii="Times New Roman" w:hAnsi="Times New Roman" w:cs="Times New Roman"/>
        </w:rPr>
      </w:pPr>
      <w:r>
        <w:rPr>
          <w:rFonts w:ascii="Times New Roman" w:hAnsi="Times New Roman" w:cs="Times New Roman"/>
          <w:sz w:val="18"/>
          <w:szCs w:val="18"/>
        </w:rPr>
        <w:t>以公允价值计量且其变动计入当期损益的金融负债，包括交易性金融负债（含属于金融负债的衍生工具）和初始确认时指定为以公允价值计量且其变动计入当期损益的金融负债。</w:t>
      </w:r>
    </w:p>
    <w:p>
      <w:pPr>
        <w:pStyle w:val="8"/>
        <w:spacing w:before="0" w:beforeAutospacing="0" w:after="0" w:afterAutospacing="0" w:line="276" w:lineRule="auto"/>
        <w:ind w:firstLine="360"/>
        <w:rPr>
          <w:rFonts w:ascii="Times New Roman" w:hAnsi="Times New Roman" w:cs="Times New Roman"/>
        </w:rPr>
      </w:pPr>
      <w:r>
        <w:rPr>
          <w:rFonts w:ascii="Times New Roman" w:hAnsi="Times New Roman" w:cs="Times New Roman"/>
          <w:sz w:val="18"/>
          <w:szCs w:val="18"/>
        </w:rPr>
        <w:t>交易性金融负债（含属于金融负债的衍生工具），按照公允价值进行后续计量，除与套期会计有关外，公允价值变动计入当期损益。</w:t>
      </w:r>
    </w:p>
    <w:p>
      <w:pPr>
        <w:pStyle w:val="8"/>
        <w:spacing w:before="0" w:beforeAutospacing="0" w:after="0" w:afterAutospacing="0" w:line="276" w:lineRule="auto"/>
        <w:ind w:firstLine="360"/>
        <w:rPr>
          <w:rFonts w:ascii="Times New Roman" w:hAnsi="Times New Roman" w:cs="Times New Roman"/>
        </w:rPr>
      </w:pPr>
      <w:r>
        <w:rPr>
          <w:rFonts w:ascii="Times New Roman" w:hAnsi="Times New Roman" w:cs="Times New Roman"/>
          <w:sz w:val="18"/>
          <w:szCs w:val="18"/>
        </w:rPr>
        <w:t>被指定为以公允价值计量且其变动计入当期损益的金融负债，该负债由本集团自身信用风险变动引起的公允价值变动计入其他综合收益，且终止确认该负债时，计入其他综合收益的自身信用风险变动引起的其公允价值累计变动额转入留存收益。其余公允价值变动计入当期损益。若按上述方式对该等金融负债的自身信用风险变动的影响进行处理会造成或扩大损益中的会计错配的，本集团将该金融负债的全部利得或损失（包括企业自身信用风险变动的影响金额）计入当期损益。</w:t>
      </w:r>
    </w:p>
    <w:p>
      <w:pPr>
        <w:pStyle w:val="8"/>
        <w:spacing w:before="0" w:beforeAutospacing="0" w:after="0" w:afterAutospacing="0" w:line="276" w:lineRule="auto"/>
        <w:ind w:firstLine="360"/>
        <w:rPr>
          <w:rFonts w:ascii="Times New Roman" w:hAnsi="Times New Roman" w:cs="Times New Roman"/>
        </w:rPr>
      </w:pPr>
      <w:r>
        <w:rPr>
          <w:rFonts w:hint="eastAsia"/>
          <w:sz w:val="18"/>
          <w:szCs w:val="18"/>
        </w:rPr>
        <w:t>②</w:t>
      </w:r>
      <w:r>
        <w:rPr>
          <w:rFonts w:ascii="Times New Roman" w:hAnsi="Times New Roman" w:cs="Times New Roman"/>
          <w:sz w:val="18"/>
          <w:szCs w:val="18"/>
        </w:rPr>
        <w:t>其他金融负债</w:t>
      </w:r>
    </w:p>
    <w:p>
      <w:pPr>
        <w:pStyle w:val="8"/>
        <w:spacing w:before="0" w:beforeAutospacing="0" w:after="0" w:afterAutospacing="0" w:line="276" w:lineRule="auto"/>
        <w:ind w:firstLine="360"/>
        <w:rPr>
          <w:rFonts w:ascii="Times New Roman" w:hAnsi="Times New Roman" w:cs="Times New Roman"/>
        </w:rPr>
      </w:pPr>
      <w:r>
        <w:rPr>
          <w:rFonts w:ascii="Times New Roman" w:hAnsi="Times New Roman" w:cs="Times New Roman"/>
          <w:sz w:val="18"/>
          <w:szCs w:val="18"/>
        </w:rPr>
        <w:t>除金融资产转移不符合终止确认条件或继续涉入被转移金融资产所形成的金融负债、财务担保合同外的其他金融负债分类为以摊余成本计量的金融负债，按摊余成本进行后续计量，终止确认或摊销产生的利得或损失计入当期损益。</w:t>
      </w:r>
    </w:p>
    <w:p>
      <w:pPr>
        <w:pStyle w:val="8"/>
        <w:spacing w:before="0" w:beforeAutospacing="0" w:after="0" w:afterAutospacing="0" w:line="276" w:lineRule="auto"/>
        <w:ind w:firstLine="360"/>
        <w:rPr>
          <w:rFonts w:ascii="Times New Roman" w:hAnsi="Times New Roman" w:cs="Times New Roman"/>
        </w:rPr>
      </w:pPr>
      <w:r>
        <w:rPr>
          <w:rFonts w:ascii="Times New Roman" w:hAnsi="Times New Roman" w:cs="Times New Roman"/>
          <w:sz w:val="18"/>
          <w:szCs w:val="18"/>
        </w:rPr>
        <w:t>（3）金融资产转移的确认依据和计量方法</w:t>
      </w:r>
    </w:p>
    <w:p>
      <w:pPr>
        <w:pStyle w:val="8"/>
        <w:spacing w:before="0" w:beforeAutospacing="0" w:after="0" w:afterAutospacing="0" w:line="276" w:lineRule="auto"/>
        <w:ind w:firstLine="360"/>
        <w:rPr>
          <w:rFonts w:ascii="Times New Roman" w:hAnsi="Times New Roman" w:cs="Times New Roman"/>
        </w:rPr>
      </w:pPr>
      <w:r>
        <w:rPr>
          <w:rFonts w:ascii="Times New Roman" w:hAnsi="Times New Roman" w:cs="Times New Roman"/>
          <w:sz w:val="18"/>
          <w:szCs w:val="18"/>
        </w:rPr>
        <w:t>满足下列条件之一的金融资产，予以终止确认：</w:t>
      </w:r>
      <w:r>
        <w:rPr>
          <w:rFonts w:hint="eastAsia"/>
          <w:sz w:val="18"/>
          <w:szCs w:val="18"/>
        </w:rPr>
        <w:t>①</w:t>
      </w:r>
      <w:r>
        <w:rPr>
          <w:rFonts w:ascii="Times New Roman" w:hAnsi="Times New Roman" w:cs="Times New Roman"/>
          <w:sz w:val="18"/>
          <w:szCs w:val="18"/>
        </w:rPr>
        <w:t>收取该金融资产现金流量的合同权利终止；</w:t>
      </w:r>
      <w:r>
        <w:rPr>
          <w:rFonts w:hint="eastAsia"/>
          <w:sz w:val="18"/>
          <w:szCs w:val="18"/>
        </w:rPr>
        <w:t>②</w:t>
      </w:r>
      <w:r>
        <w:rPr>
          <w:rFonts w:ascii="Times New Roman" w:hAnsi="Times New Roman" w:cs="Times New Roman"/>
          <w:sz w:val="18"/>
          <w:szCs w:val="18"/>
        </w:rPr>
        <w:t>该金融资产已转移，且将金融资产所有权上几乎所有的风险和报酬转移给转入方；</w:t>
      </w:r>
      <w:r>
        <w:rPr>
          <w:rFonts w:hint="eastAsia"/>
          <w:sz w:val="18"/>
          <w:szCs w:val="18"/>
        </w:rPr>
        <w:t>③</w:t>
      </w:r>
      <w:r>
        <w:rPr>
          <w:rFonts w:ascii="Times New Roman" w:hAnsi="Times New Roman" w:cs="Times New Roman"/>
          <w:sz w:val="18"/>
          <w:szCs w:val="18"/>
        </w:rPr>
        <w:t>该金融资产已转移，虽然企业既没有转移也没有保留金融资产所有权上几乎所有的风险和报酬，但是放弃了对该金融资产的控制。</w:t>
      </w:r>
    </w:p>
    <w:p>
      <w:pPr>
        <w:pStyle w:val="8"/>
        <w:spacing w:before="0" w:beforeAutospacing="0" w:after="0" w:afterAutospacing="0" w:line="276" w:lineRule="auto"/>
        <w:ind w:firstLine="360"/>
        <w:rPr>
          <w:rFonts w:ascii="Times New Roman" w:hAnsi="Times New Roman" w:cs="Times New Roman"/>
        </w:rPr>
      </w:pPr>
      <w:r>
        <w:rPr>
          <w:rFonts w:ascii="Times New Roman" w:hAnsi="Times New Roman" w:cs="Times New Roman"/>
          <w:sz w:val="18"/>
          <w:szCs w:val="18"/>
        </w:rPr>
        <w:t>若企业既没有转移也没有保留金融资产所有权上几乎所有的风险和报酬，且未放弃对该金融资产的控制的，则按照继续涉入所转移金融资产的程度确认有关金融资产，并相应确认有关负债。继续涉入所转移金融资产的程度，是指该金融资产价值变动使企业面临的风险水平。</w:t>
      </w:r>
    </w:p>
    <w:p>
      <w:pPr>
        <w:pStyle w:val="8"/>
        <w:spacing w:before="0" w:beforeAutospacing="0" w:after="0" w:afterAutospacing="0" w:line="276" w:lineRule="auto"/>
        <w:ind w:firstLine="360"/>
        <w:rPr>
          <w:rFonts w:ascii="Times New Roman" w:hAnsi="Times New Roman" w:cs="Times New Roman"/>
        </w:rPr>
      </w:pPr>
      <w:r>
        <w:rPr>
          <w:rFonts w:ascii="Times New Roman" w:hAnsi="Times New Roman" w:cs="Times New Roman"/>
          <w:sz w:val="18"/>
          <w:szCs w:val="18"/>
        </w:rPr>
        <w:t>金融资产整体转移满足终止确认条件的，将所转移金融资产的账面价值及因转移而收到的对价与原计入其他综合收益的公允价值变动累计额之和的差额计入当期损益。</w:t>
      </w:r>
    </w:p>
    <w:p>
      <w:pPr>
        <w:pStyle w:val="8"/>
        <w:spacing w:before="0" w:beforeAutospacing="0" w:after="0" w:afterAutospacing="0" w:line="276" w:lineRule="auto"/>
        <w:ind w:firstLine="360"/>
        <w:rPr>
          <w:rFonts w:ascii="Times New Roman" w:hAnsi="Times New Roman" w:cs="Times New Roman"/>
        </w:rPr>
      </w:pPr>
      <w:r>
        <w:rPr>
          <w:rFonts w:ascii="Times New Roman" w:hAnsi="Times New Roman" w:cs="Times New Roman"/>
          <w:sz w:val="18"/>
          <w:szCs w:val="18"/>
        </w:rPr>
        <w:t>金融资产部分转移满足终止确认条件的，将所转移金融资产的账面价值在终止确认及未终止确认部分之间按其相对的公允价值进行分摊，并将因转移而收到的对价与应分摊至终止确认部分的原计入其他综合收益的公允价值变动累计额之和与分摊的前述账面金额之差额计入当期损益。</w:t>
      </w:r>
    </w:p>
    <w:p>
      <w:pPr>
        <w:pStyle w:val="8"/>
        <w:spacing w:before="0" w:beforeAutospacing="0" w:after="0" w:afterAutospacing="0" w:line="276" w:lineRule="auto"/>
        <w:ind w:firstLine="360"/>
        <w:rPr>
          <w:rFonts w:ascii="Times New Roman" w:hAnsi="Times New Roman" w:cs="Times New Roman"/>
        </w:rPr>
      </w:pPr>
      <w:r>
        <w:rPr>
          <w:rFonts w:ascii="Times New Roman" w:hAnsi="Times New Roman" w:cs="Times New Roman"/>
          <w:sz w:val="18"/>
          <w:szCs w:val="18"/>
        </w:rPr>
        <w:t>本集团对采用附追索权方式出售的金融资产，或将持有的金融资产背书转让，需确定该金融资产所有权上几乎所有的风险和报酬是否已经转移。已将该金融资产所有权上几乎所有的风险和报酬转移给转入方的，终止确认该金融资产；保留了金融资产所有权上几乎所有的风险和报酬的，不终止确认该金融资产；既没有转移也没有保留金融资产所有权上几乎所有的风险和报酬的，则继续判断企业是否对该资产保留了控制，并根据前面各段所述的原则进行会计处理。</w:t>
      </w:r>
    </w:p>
    <w:p>
      <w:pPr>
        <w:pStyle w:val="8"/>
        <w:spacing w:before="0" w:beforeAutospacing="0" w:after="0" w:afterAutospacing="0" w:line="276" w:lineRule="auto"/>
        <w:ind w:firstLine="360"/>
        <w:rPr>
          <w:rFonts w:ascii="Times New Roman" w:hAnsi="Times New Roman" w:cs="Times New Roman"/>
        </w:rPr>
      </w:pPr>
      <w:r>
        <w:rPr>
          <w:rFonts w:ascii="Times New Roman" w:hAnsi="Times New Roman" w:cs="Times New Roman"/>
          <w:sz w:val="18"/>
          <w:szCs w:val="18"/>
        </w:rPr>
        <w:t>（4）金融负债的终止确认</w:t>
      </w:r>
    </w:p>
    <w:p>
      <w:pPr>
        <w:pStyle w:val="8"/>
        <w:spacing w:before="0" w:beforeAutospacing="0" w:after="0" w:afterAutospacing="0" w:line="276" w:lineRule="auto"/>
        <w:ind w:firstLine="360"/>
        <w:rPr>
          <w:rFonts w:ascii="Times New Roman" w:hAnsi="Times New Roman" w:cs="Times New Roman"/>
        </w:rPr>
      </w:pPr>
      <w:r>
        <w:rPr>
          <w:rFonts w:ascii="Times New Roman" w:hAnsi="Times New Roman" w:cs="Times New Roman"/>
          <w:sz w:val="18"/>
          <w:szCs w:val="18"/>
        </w:rPr>
        <w:t>金融负债（或其一部分）的现时义务已经解除的，本集团终止确认该金融负债（或该部分金融负债）。本集团（借入方）与借出方签订协议，以承担新金融负债的方式替换原金融负债，且新金融负债与原金融负债的合同条款实质上不同的，终止确认原金融负债，同时确认一项新金融负债。本集团对原金融负债（或其一部分）的合同条款作出实质性修改的，终止确认原金融负债，同时按照修改后的条款确认一项新金融负债。</w:t>
      </w:r>
    </w:p>
    <w:p>
      <w:pPr>
        <w:pStyle w:val="8"/>
        <w:spacing w:before="0" w:beforeAutospacing="0" w:after="0" w:afterAutospacing="0" w:line="276" w:lineRule="auto"/>
        <w:ind w:firstLine="360"/>
        <w:rPr>
          <w:rFonts w:ascii="Times New Roman" w:hAnsi="Times New Roman" w:cs="Times New Roman"/>
        </w:rPr>
      </w:pPr>
      <w:r>
        <w:rPr>
          <w:rFonts w:ascii="Times New Roman" w:hAnsi="Times New Roman" w:cs="Times New Roman"/>
          <w:sz w:val="18"/>
          <w:szCs w:val="18"/>
        </w:rPr>
        <w:t>金融负债（或其一部分）终止确认的，本集团将其账面价值与支付的对价（包括转出的非现金资产或承担的负债）之间的差额，计入当期损益。</w:t>
      </w:r>
    </w:p>
    <w:p>
      <w:pPr>
        <w:pStyle w:val="8"/>
        <w:spacing w:before="0" w:beforeAutospacing="0" w:after="0" w:afterAutospacing="0" w:line="276" w:lineRule="auto"/>
        <w:ind w:firstLine="360"/>
        <w:rPr>
          <w:rFonts w:ascii="Times New Roman" w:hAnsi="Times New Roman" w:cs="Times New Roman"/>
        </w:rPr>
      </w:pPr>
      <w:r>
        <w:rPr>
          <w:rFonts w:ascii="Times New Roman" w:hAnsi="Times New Roman" w:cs="Times New Roman"/>
          <w:sz w:val="18"/>
          <w:szCs w:val="18"/>
        </w:rPr>
        <w:t>（5）金融资产和金融负债的抵销</w:t>
      </w:r>
    </w:p>
    <w:p>
      <w:pPr>
        <w:pStyle w:val="8"/>
        <w:spacing w:before="0" w:beforeAutospacing="0" w:after="0" w:afterAutospacing="0" w:line="276" w:lineRule="auto"/>
        <w:ind w:firstLine="360"/>
        <w:rPr>
          <w:rFonts w:ascii="Times New Roman" w:hAnsi="Times New Roman" w:cs="Times New Roman"/>
        </w:rPr>
      </w:pPr>
      <w:r>
        <w:rPr>
          <w:rFonts w:ascii="Times New Roman" w:hAnsi="Times New Roman" w:cs="Times New Roman"/>
          <w:sz w:val="18"/>
          <w:szCs w:val="18"/>
        </w:rPr>
        <w:t>当本集团具有抵销已确认金额的金融资产和金融负债的法定权利，且该种法定权利是当前可执行的，同时本集团计划以净额结算或同时变现该金融资产和清偿该金融负债时，金融资产和金融负债以相互抵销后的净额在资产负债表内列示。除此以外，金融资产和金融负债在资产负债表内分别列示，不予相互抵销。</w:t>
      </w:r>
    </w:p>
    <w:p>
      <w:pPr>
        <w:pStyle w:val="8"/>
        <w:spacing w:before="0" w:beforeAutospacing="0" w:after="0" w:afterAutospacing="0" w:line="276" w:lineRule="auto"/>
        <w:ind w:firstLine="360"/>
        <w:rPr>
          <w:rFonts w:ascii="Times New Roman" w:hAnsi="Times New Roman" w:cs="Times New Roman"/>
        </w:rPr>
      </w:pPr>
      <w:r>
        <w:rPr>
          <w:rFonts w:ascii="Times New Roman" w:hAnsi="Times New Roman" w:cs="Times New Roman"/>
          <w:sz w:val="18"/>
          <w:szCs w:val="18"/>
        </w:rPr>
        <w:t>（6）金融资产和金融负债的公允价值确定方法</w:t>
      </w:r>
    </w:p>
    <w:p>
      <w:pPr>
        <w:pStyle w:val="8"/>
        <w:spacing w:before="0" w:beforeAutospacing="0" w:after="0" w:afterAutospacing="0" w:line="276" w:lineRule="auto"/>
        <w:ind w:firstLine="360"/>
        <w:rPr>
          <w:rFonts w:ascii="Times New Roman" w:hAnsi="Times New Roman" w:cs="Times New Roman"/>
        </w:rPr>
      </w:pPr>
      <w:r>
        <w:rPr>
          <w:rFonts w:ascii="Times New Roman" w:hAnsi="Times New Roman" w:cs="Times New Roman"/>
          <w:sz w:val="18"/>
          <w:szCs w:val="18"/>
        </w:rPr>
        <w:t>公允价值，是指市场参与者在计量日发生的有序交易中，出售一项资产所能收到或者转移一项负债所需支付的价格。金融工具存在活跃市场的，本集团采用活跃市场中的报价确定其公允价值。活跃市场中的报价是指易于定期从交易所、经纪商、行业协会、定价服务机构等获得的价格，且代表了在公平交易中实际发生的市场交易的价格。金融工具不存在活跃市场的，本集团采用估值技术确定其公允价值。估值技术包括参考熟悉情况并自愿交易的各方最近进行的市场交易中使用的价格、参照实质上相同的其他金融工具当前的公允价值、现金流量折现法和期权定价模型等。在估值时，本集团采用在当前情况下适用并且有足够可利用数据和其他信息支持的估值技术，选择与市场参与者在相关资产或负债的交易中所考虑的资产或负债特征相一致的输入值，并尽可能优先使用相关可观察输入值。在相关可观察输入值无法取得或取得不切实可行的情况下，使用不可输入值。</w:t>
      </w:r>
    </w:p>
    <w:p>
      <w:pPr>
        <w:pStyle w:val="8"/>
        <w:spacing w:before="0" w:beforeAutospacing="0" w:after="0" w:afterAutospacing="0" w:line="276" w:lineRule="auto"/>
        <w:ind w:firstLine="360"/>
        <w:rPr>
          <w:rFonts w:ascii="Times New Roman" w:hAnsi="Times New Roman" w:cs="Times New Roman"/>
        </w:rPr>
      </w:pPr>
      <w:r>
        <w:rPr>
          <w:rFonts w:ascii="Times New Roman" w:hAnsi="Times New Roman" w:cs="Times New Roman"/>
          <w:sz w:val="18"/>
          <w:szCs w:val="18"/>
        </w:rPr>
        <w:t>（7）权益工具</w:t>
      </w:r>
    </w:p>
    <w:p>
      <w:pPr>
        <w:pStyle w:val="8"/>
        <w:spacing w:before="0" w:beforeAutospacing="0" w:after="0" w:afterAutospacing="0" w:line="276" w:lineRule="auto"/>
        <w:ind w:firstLine="360"/>
        <w:rPr>
          <w:rFonts w:ascii="Times New Roman" w:hAnsi="Times New Roman" w:cs="Times New Roman"/>
        </w:rPr>
      </w:pPr>
      <w:r>
        <w:rPr>
          <w:rFonts w:ascii="Times New Roman" w:hAnsi="Times New Roman" w:cs="Times New Roman"/>
          <w:sz w:val="18"/>
          <w:szCs w:val="18"/>
        </w:rPr>
        <w:t>权益工具是指能证明拥有本集团在扣除所有负债后的资产中的剩余权益的合同。本集团发行（含再融资）、回购、出售或注销权益工具作为权益的变动处理，与权益性交易相关的交易费用从权益中扣减。本集团不确认权益工具的公允价值变动。</w:t>
      </w:r>
    </w:p>
    <w:p>
      <w:pPr>
        <w:pStyle w:val="8"/>
        <w:spacing w:before="0" w:beforeAutospacing="0" w:after="0" w:afterAutospacing="0" w:line="276" w:lineRule="auto"/>
        <w:ind w:firstLine="360"/>
        <w:rPr>
          <w:rFonts w:ascii="Times New Roman" w:hAnsi="Times New Roman" w:cs="Times New Roman"/>
        </w:rPr>
      </w:pPr>
      <w:r>
        <w:rPr>
          <w:rFonts w:ascii="Times New Roman" w:hAnsi="Times New Roman" w:cs="Times New Roman"/>
          <w:sz w:val="18"/>
          <w:szCs w:val="18"/>
        </w:rPr>
        <w:t>本集团权益工具在存续期间分派股利（含分类为权益工具的工具所产生的“利息”）的，作为利润分配处理。</w:t>
      </w:r>
    </w:p>
    <w:p>
      <w:pPr>
        <w:pStyle w:val="8"/>
        <w:spacing w:before="0" w:beforeAutospacing="0" w:after="0" w:afterAutospacing="0" w:line="276" w:lineRule="auto"/>
        <w:ind w:firstLine="360"/>
        <w:rPr>
          <w:rFonts w:ascii="Times New Roman" w:hAnsi="Times New Roman" w:cs="Times New Roman"/>
        </w:rPr>
      </w:pPr>
      <w:r>
        <w:rPr>
          <w:rFonts w:ascii="Times New Roman" w:hAnsi="Times New Roman" w:cs="Times New Roman"/>
          <w:sz w:val="18"/>
          <w:szCs w:val="18"/>
        </w:rPr>
        <w:t>（8）金融资产减值</w:t>
      </w:r>
    </w:p>
    <w:p>
      <w:pPr>
        <w:pStyle w:val="8"/>
        <w:spacing w:before="0" w:beforeAutospacing="0" w:after="0" w:afterAutospacing="0" w:line="276" w:lineRule="auto"/>
        <w:ind w:firstLine="360"/>
        <w:rPr>
          <w:rFonts w:ascii="Times New Roman" w:hAnsi="Times New Roman" w:cs="Times New Roman"/>
        </w:rPr>
      </w:pPr>
      <w:r>
        <w:rPr>
          <w:rFonts w:ascii="Times New Roman" w:hAnsi="Times New Roman" w:cs="Times New Roman"/>
          <w:sz w:val="18"/>
          <w:szCs w:val="18"/>
        </w:rPr>
        <w:t>本集团需确认减值损失的金融资产系以摊余成本计量的金融资产、以公允价值计量且其变动计入其他综合收益的债务工具、租赁应收款，主要包括应收票据、应收账款、应收款项融资、其他应收款、债权投资、其他债权投资、长期应收款等。此外，对合同资产及部分财务担保合同，也按照本部分所述会计政策计提减值准备和确认信用减值损失。</w:t>
      </w:r>
    </w:p>
    <w:p>
      <w:pPr>
        <w:pStyle w:val="8"/>
        <w:spacing w:before="0" w:beforeAutospacing="0" w:after="0" w:afterAutospacing="0" w:line="276" w:lineRule="auto"/>
        <w:ind w:firstLine="360"/>
        <w:rPr>
          <w:rFonts w:ascii="Times New Roman" w:hAnsi="Times New Roman" w:cs="Times New Roman"/>
        </w:rPr>
      </w:pPr>
      <w:r>
        <w:rPr>
          <w:rFonts w:ascii="Times New Roman" w:hAnsi="Times New Roman" w:cs="Times New Roman"/>
          <w:sz w:val="18"/>
          <w:szCs w:val="18"/>
        </w:rPr>
        <w:t>1）减值准备的确认方法</w:t>
      </w:r>
    </w:p>
    <w:p>
      <w:pPr>
        <w:pStyle w:val="8"/>
        <w:spacing w:before="0" w:beforeAutospacing="0" w:after="0" w:afterAutospacing="0" w:line="276" w:lineRule="auto"/>
        <w:ind w:firstLine="360"/>
        <w:rPr>
          <w:rFonts w:ascii="Times New Roman" w:hAnsi="Times New Roman" w:cs="Times New Roman"/>
        </w:rPr>
      </w:pPr>
      <w:r>
        <w:rPr>
          <w:rFonts w:ascii="Times New Roman" w:hAnsi="Times New Roman" w:cs="Times New Roman"/>
          <w:sz w:val="18"/>
          <w:szCs w:val="18"/>
        </w:rPr>
        <w:t>本集团以预期信用损失为基础，对上述各项目按照其适用的预期信用损失计量方法（一般方法或简化方法）计提减值准备并确认信用减值损失。</w:t>
      </w:r>
    </w:p>
    <w:p>
      <w:pPr>
        <w:pStyle w:val="8"/>
        <w:spacing w:before="0" w:beforeAutospacing="0" w:after="0" w:afterAutospacing="0" w:line="276" w:lineRule="auto"/>
        <w:ind w:firstLine="360"/>
        <w:rPr>
          <w:rFonts w:ascii="Times New Roman" w:hAnsi="Times New Roman" w:cs="Times New Roman"/>
        </w:rPr>
      </w:pPr>
      <w:r>
        <w:rPr>
          <w:rFonts w:ascii="Times New Roman" w:hAnsi="Times New Roman" w:cs="Times New Roman"/>
          <w:sz w:val="18"/>
          <w:szCs w:val="18"/>
        </w:rPr>
        <w:t>信用损失，是指本集团按照原实际利率折现的、根据合同应收的所有合同现金流量与预期收取的所有现金流量之间的差额，即全部现金短缺的现值。其中，对于购买或源生的已发生信用减值的金融资产，本集团按照该金融资产经信用调整的实际利率折现。</w:t>
      </w:r>
    </w:p>
    <w:p>
      <w:pPr>
        <w:pStyle w:val="8"/>
        <w:spacing w:before="0" w:beforeAutospacing="0" w:after="0" w:afterAutospacing="0" w:line="276" w:lineRule="auto"/>
        <w:ind w:firstLine="360"/>
        <w:rPr>
          <w:rFonts w:ascii="Times New Roman" w:hAnsi="Times New Roman" w:cs="Times New Roman"/>
        </w:rPr>
      </w:pPr>
      <w:r>
        <w:rPr>
          <w:rFonts w:ascii="Times New Roman" w:hAnsi="Times New Roman" w:cs="Times New Roman"/>
          <w:sz w:val="18"/>
          <w:szCs w:val="18"/>
        </w:rPr>
        <w:t>预期信用损失计量的一般方法是指，本集团在每个资产负债表日评估金融资产（含合同资产等其他适用项目，下同）的信用风险自初始确认后是否已经显著增加，如果信用风险自初始确认后已显著增加，本集团按照相当于整个存续期内预期信用损失的金额计量损失准备；如果信用风险自初始确认后未显著增加，本集团按照相当于未来12个月内预期信用损失的金额计量损失准备。本集团在评估预期信用损失时，考虑所有合理且有依据的信息，包括前瞻性信息。</w:t>
      </w:r>
    </w:p>
    <w:p>
      <w:pPr>
        <w:pStyle w:val="8"/>
        <w:spacing w:before="0" w:beforeAutospacing="0" w:after="0" w:afterAutospacing="0" w:line="276" w:lineRule="auto"/>
        <w:ind w:firstLine="360"/>
        <w:rPr>
          <w:rFonts w:ascii="Times New Roman" w:hAnsi="Times New Roman" w:cs="Times New Roman"/>
        </w:rPr>
      </w:pPr>
      <w:r>
        <w:rPr>
          <w:rFonts w:ascii="Times New Roman" w:hAnsi="Times New Roman" w:cs="Times New Roman"/>
          <w:sz w:val="18"/>
          <w:szCs w:val="18"/>
        </w:rPr>
        <w:t>对于在资产负债表日具有较低信用风险的金融工具，本集团假设其信用风险自初始确认后并未显著增加，选择按照未来12个月内的预期信用损失计量损失准备。</w:t>
      </w:r>
    </w:p>
    <w:p>
      <w:pPr>
        <w:pStyle w:val="8"/>
        <w:spacing w:before="0" w:beforeAutospacing="0" w:after="0" w:afterAutospacing="0" w:line="276" w:lineRule="auto"/>
        <w:ind w:firstLine="360"/>
        <w:rPr>
          <w:rFonts w:ascii="Times New Roman" w:hAnsi="Times New Roman" w:cs="Times New Roman"/>
        </w:rPr>
      </w:pPr>
      <w:r>
        <w:rPr>
          <w:rFonts w:ascii="Times New Roman" w:hAnsi="Times New Roman" w:cs="Times New Roman"/>
          <w:sz w:val="18"/>
          <w:szCs w:val="18"/>
        </w:rPr>
        <w:t>2）信用风险自初始确认后是否显著增加的判断标准</w:t>
      </w:r>
    </w:p>
    <w:p>
      <w:pPr>
        <w:pStyle w:val="8"/>
        <w:spacing w:before="0" w:beforeAutospacing="0" w:after="0" w:afterAutospacing="0" w:line="276" w:lineRule="auto"/>
        <w:ind w:firstLine="360"/>
        <w:rPr>
          <w:rFonts w:ascii="Times New Roman" w:hAnsi="Times New Roman" w:cs="Times New Roman"/>
        </w:rPr>
      </w:pPr>
      <w:r>
        <w:rPr>
          <w:rFonts w:ascii="Times New Roman" w:hAnsi="Times New Roman" w:cs="Times New Roman"/>
          <w:sz w:val="18"/>
          <w:szCs w:val="18"/>
        </w:rPr>
        <w:t>如果某项金融资产在资产负债表日确定的预计存续期内的违约概率显著高于在初始确认时确定的预计存续期内的违约概率，则表明该项金融资产的信用风险显著增加。除特殊情况外，本集团采用未来12个月内发生的违约风险的变化作为整个存续期内发生违约风险变化的合理估计，来确定自初始确认后信用风险是否显著增加。</w:t>
      </w:r>
    </w:p>
    <w:p>
      <w:pPr>
        <w:pStyle w:val="8"/>
        <w:spacing w:before="0" w:beforeAutospacing="0" w:after="0" w:afterAutospacing="0" w:line="276" w:lineRule="auto"/>
        <w:ind w:firstLine="360"/>
        <w:rPr>
          <w:rFonts w:ascii="Times New Roman" w:hAnsi="Times New Roman" w:cs="Times New Roman"/>
        </w:rPr>
      </w:pPr>
      <w:r>
        <w:rPr>
          <w:rFonts w:ascii="Times New Roman" w:hAnsi="Times New Roman" w:cs="Times New Roman"/>
          <w:sz w:val="18"/>
          <w:szCs w:val="18"/>
        </w:rPr>
        <w:t>3）以组合为基础评估预期信用风险的组合方法</w:t>
      </w:r>
    </w:p>
    <w:p>
      <w:pPr>
        <w:pStyle w:val="8"/>
        <w:spacing w:before="0" w:beforeAutospacing="0" w:after="0" w:afterAutospacing="0" w:line="276" w:lineRule="auto"/>
        <w:ind w:firstLine="360"/>
        <w:rPr>
          <w:rFonts w:ascii="Times New Roman" w:hAnsi="Times New Roman" w:cs="Times New Roman"/>
        </w:rPr>
      </w:pPr>
      <w:r>
        <w:rPr>
          <w:rFonts w:ascii="Times New Roman" w:hAnsi="Times New Roman" w:cs="Times New Roman"/>
          <w:sz w:val="18"/>
          <w:szCs w:val="18"/>
        </w:rPr>
        <w:t>本集团对信用风险显著不同的金融资产单项评价信用风险，如：应收关联方款项；与对方存在争议或涉及诉讼、仲裁的应收款项；已有明显迹象表明债务人很可能无法履行还款义务的应收款项等。</w:t>
      </w:r>
    </w:p>
    <w:p>
      <w:pPr>
        <w:pStyle w:val="8"/>
        <w:spacing w:before="0" w:beforeAutospacing="0" w:after="0" w:afterAutospacing="0" w:line="276" w:lineRule="auto"/>
        <w:ind w:firstLine="360"/>
        <w:rPr>
          <w:rFonts w:ascii="Times New Roman" w:hAnsi="Times New Roman" w:cs="Times New Roman"/>
        </w:rPr>
      </w:pPr>
      <w:r>
        <w:rPr>
          <w:rFonts w:ascii="Times New Roman" w:hAnsi="Times New Roman" w:cs="Times New Roman"/>
          <w:sz w:val="18"/>
          <w:szCs w:val="18"/>
        </w:rPr>
        <w:t>除了单项评估信用风险的金融资产外，本集团基于共同风险特征将金融资产划分为不同的组别，在组合的基础上评估信用风险。</w:t>
      </w:r>
    </w:p>
    <w:p>
      <w:pPr>
        <w:pStyle w:val="8"/>
        <w:spacing w:before="0" w:beforeAutospacing="0" w:after="0" w:afterAutospacing="0" w:line="276" w:lineRule="auto"/>
        <w:ind w:firstLine="360"/>
        <w:rPr>
          <w:rFonts w:ascii="Times New Roman" w:hAnsi="Times New Roman" w:cs="Times New Roman"/>
        </w:rPr>
      </w:pPr>
      <w:r>
        <w:rPr>
          <w:rFonts w:ascii="Times New Roman" w:hAnsi="Times New Roman" w:cs="Times New Roman"/>
          <w:sz w:val="18"/>
          <w:szCs w:val="18"/>
        </w:rPr>
        <w:t>4）金融资产减值的会计处理方法</w:t>
      </w:r>
    </w:p>
    <w:p>
      <w:pPr>
        <w:pStyle w:val="8"/>
        <w:spacing w:before="0" w:beforeAutospacing="0" w:after="0" w:afterAutospacing="0" w:line="276" w:lineRule="auto"/>
        <w:ind w:firstLine="360"/>
        <w:rPr>
          <w:rFonts w:ascii="Times New Roman" w:hAnsi="Times New Roman" w:cs="Times New Roman"/>
        </w:rPr>
      </w:pPr>
      <w:r>
        <w:rPr>
          <w:rFonts w:ascii="Times New Roman" w:hAnsi="Times New Roman" w:cs="Times New Roman"/>
          <w:sz w:val="18"/>
          <w:szCs w:val="18"/>
        </w:rPr>
        <w:t>期末，本集团计算各类金融资产的预计信用损失，如果该预计信用损失大于其当前减值准备的账面金额，将其差额确认为减值损失；如果小于当前减值准备的账面金额，则将差额确认为减值利得。</w:t>
      </w:r>
    </w:p>
    <w:p>
      <w:pPr>
        <w:pStyle w:val="8"/>
        <w:spacing w:before="0" w:beforeAutospacing="0" w:after="0" w:afterAutospacing="0" w:line="276" w:lineRule="auto"/>
        <w:ind w:firstLine="360"/>
        <w:rPr>
          <w:rFonts w:ascii="Times New Roman" w:hAnsi="Times New Roman" w:cs="Times New Roman"/>
        </w:rPr>
      </w:pPr>
      <w:r>
        <w:rPr>
          <w:rFonts w:ascii="Times New Roman" w:hAnsi="Times New Roman" w:cs="Times New Roman"/>
          <w:sz w:val="18"/>
          <w:szCs w:val="18"/>
        </w:rPr>
        <w:t>5）各类金融资产信用损失的确定方法</w:t>
      </w:r>
    </w:p>
    <w:p>
      <w:pPr>
        <w:pStyle w:val="8"/>
        <w:spacing w:before="0" w:beforeAutospacing="0" w:after="0" w:afterAutospacing="0" w:line="276" w:lineRule="auto"/>
        <w:ind w:firstLine="360"/>
        <w:rPr>
          <w:rFonts w:ascii="Times New Roman" w:hAnsi="Times New Roman" w:cs="Times New Roman"/>
        </w:rPr>
      </w:pPr>
      <w:r>
        <w:rPr>
          <w:rFonts w:hint="eastAsia"/>
          <w:sz w:val="18"/>
          <w:szCs w:val="18"/>
        </w:rPr>
        <w:t>①</w:t>
      </w:r>
      <w:r>
        <w:rPr>
          <w:rFonts w:ascii="Times New Roman" w:hAnsi="Times New Roman" w:cs="Times New Roman"/>
          <w:sz w:val="18"/>
          <w:szCs w:val="18"/>
        </w:rPr>
        <w:t>应收票据</w:t>
      </w:r>
    </w:p>
    <w:p>
      <w:pPr>
        <w:pStyle w:val="8"/>
        <w:spacing w:before="0" w:beforeAutospacing="0" w:after="0" w:afterAutospacing="0" w:line="276" w:lineRule="auto"/>
        <w:ind w:firstLine="360"/>
        <w:rPr>
          <w:rFonts w:ascii="Times New Roman" w:hAnsi="Times New Roman" w:cs="Times New Roman"/>
        </w:rPr>
      </w:pPr>
      <w:r>
        <w:rPr>
          <w:rFonts w:ascii="Times New Roman" w:hAnsi="Times New Roman" w:cs="Times New Roman"/>
          <w:sz w:val="18"/>
          <w:szCs w:val="18"/>
        </w:rPr>
        <w:t>本集团对于应收票据按照相当于整个存续期内的预期信用损失金额计量损失准备。基于应收票据的信用风险特征，将其划分为不同组合：</w:t>
      </w:r>
    </w:p>
    <w:tbl>
      <w:tblPr>
        <w:tblStyle w:val="9"/>
        <w:tblW w:w="5000" w:type="pct"/>
        <w:tblInd w:w="0" w:type="dxa"/>
        <w:tblLayout w:type="autofit"/>
        <w:tblCellMar>
          <w:top w:w="0" w:type="dxa"/>
          <w:left w:w="0" w:type="dxa"/>
          <w:bottom w:w="0" w:type="dxa"/>
          <w:right w:w="0" w:type="dxa"/>
        </w:tblCellMar>
      </w:tblPr>
      <w:tblGrid>
        <w:gridCol w:w="1927"/>
        <w:gridCol w:w="7926"/>
      </w:tblGrid>
      <w:tr>
        <w:tblPrEx>
          <w:tblCellMar>
            <w:top w:w="0" w:type="dxa"/>
            <w:left w:w="0" w:type="dxa"/>
            <w:bottom w:w="0" w:type="dxa"/>
            <w:right w:w="0" w:type="dxa"/>
          </w:tblCellMar>
        </w:tblPrEx>
        <w:trPr>
          <w:trHeight w:val="340" w:hRule="atLeast"/>
        </w:trPr>
        <w:tc>
          <w:tcPr>
            <w:tcW w:w="978"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8"/>
              <w:spacing w:before="0" w:beforeAutospacing="0" w:after="0" w:afterAutospacing="0"/>
              <w:ind w:firstLine="360"/>
              <w:rPr>
                <w:rFonts w:ascii="Times New Roman" w:hAnsi="Times New Roman" w:cs="Times New Roman"/>
              </w:rPr>
            </w:pPr>
            <w:r>
              <w:rPr>
                <w:rFonts w:ascii="Times New Roman" w:hAnsi="Times New Roman" w:cs="Times New Roman"/>
                <w:sz w:val="18"/>
                <w:szCs w:val="18"/>
              </w:rPr>
              <w:t>项目</w:t>
            </w:r>
          </w:p>
        </w:tc>
        <w:tc>
          <w:tcPr>
            <w:tcW w:w="4022" w:type="pc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pStyle w:val="8"/>
              <w:spacing w:before="0" w:beforeAutospacing="0" w:after="0" w:afterAutospacing="0"/>
              <w:ind w:firstLine="360"/>
              <w:rPr>
                <w:rFonts w:ascii="Times New Roman" w:hAnsi="Times New Roman" w:cs="Times New Roman"/>
              </w:rPr>
            </w:pPr>
            <w:r>
              <w:rPr>
                <w:rFonts w:ascii="Times New Roman" w:hAnsi="Times New Roman" w:cs="Times New Roman"/>
                <w:sz w:val="18"/>
                <w:szCs w:val="18"/>
              </w:rPr>
              <w:t>确定组合的依据</w:t>
            </w:r>
          </w:p>
        </w:tc>
      </w:tr>
      <w:tr>
        <w:tblPrEx>
          <w:tblCellMar>
            <w:top w:w="0" w:type="dxa"/>
            <w:left w:w="0" w:type="dxa"/>
            <w:bottom w:w="0" w:type="dxa"/>
            <w:right w:w="0" w:type="dxa"/>
          </w:tblCellMar>
        </w:tblPrEx>
        <w:trPr>
          <w:trHeight w:val="340" w:hRule="atLeast"/>
        </w:trPr>
        <w:tc>
          <w:tcPr>
            <w:tcW w:w="978"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pStyle w:val="8"/>
              <w:spacing w:before="0" w:beforeAutospacing="0" w:after="0" w:afterAutospacing="0"/>
              <w:ind w:firstLine="360"/>
              <w:rPr>
                <w:rFonts w:ascii="Times New Roman" w:hAnsi="Times New Roman" w:cs="Times New Roman"/>
              </w:rPr>
            </w:pPr>
            <w:r>
              <w:rPr>
                <w:rFonts w:ascii="Times New Roman" w:hAnsi="Times New Roman" w:cs="Times New Roman"/>
                <w:sz w:val="18"/>
                <w:szCs w:val="18"/>
              </w:rPr>
              <w:t>银行承兑汇票</w:t>
            </w:r>
          </w:p>
        </w:tc>
        <w:tc>
          <w:tcPr>
            <w:tcW w:w="4022" w:type="pct"/>
            <w:tcBorders>
              <w:top w:val="nil"/>
              <w:left w:val="nil"/>
              <w:bottom w:val="single" w:color="auto" w:sz="8" w:space="0"/>
              <w:right w:val="single" w:color="auto" w:sz="8" w:space="0"/>
            </w:tcBorders>
            <w:noWrap/>
            <w:tcMar>
              <w:top w:w="0" w:type="dxa"/>
              <w:left w:w="108" w:type="dxa"/>
              <w:bottom w:w="0" w:type="dxa"/>
              <w:right w:w="108" w:type="dxa"/>
            </w:tcMar>
            <w:vAlign w:val="center"/>
          </w:tcPr>
          <w:p>
            <w:pPr>
              <w:pStyle w:val="8"/>
              <w:spacing w:before="0" w:beforeAutospacing="0" w:after="0" w:afterAutospacing="0"/>
              <w:ind w:firstLine="360"/>
              <w:rPr>
                <w:rFonts w:ascii="Times New Roman" w:hAnsi="Times New Roman" w:cs="Times New Roman"/>
              </w:rPr>
            </w:pPr>
            <w:r>
              <w:rPr>
                <w:rFonts w:ascii="Times New Roman" w:hAnsi="Times New Roman" w:cs="Times New Roman"/>
                <w:sz w:val="18"/>
                <w:szCs w:val="18"/>
              </w:rPr>
              <w:t>承兑人为信用风险较小的银行</w:t>
            </w:r>
          </w:p>
        </w:tc>
      </w:tr>
      <w:tr>
        <w:tblPrEx>
          <w:tblCellMar>
            <w:top w:w="0" w:type="dxa"/>
            <w:left w:w="0" w:type="dxa"/>
            <w:bottom w:w="0" w:type="dxa"/>
            <w:right w:w="0" w:type="dxa"/>
          </w:tblCellMar>
        </w:tblPrEx>
        <w:trPr>
          <w:trHeight w:val="340" w:hRule="atLeast"/>
        </w:trPr>
        <w:tc>
          <w:tcPr>
            <w:tcW w:w="978"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pStyle w:val="8"/>
              <w:spacing w:before="0" w:beforeAutospacing="0" w:after="0" w:afterAutospacing="0"/>
              <w:ind w:firstLine="360"/>
              <w:rPr>
                <w:rFonts w:ascii="Times New Roman" w:hAnsi="Times New Roman" w:cs="Times New Roman"/>
              </w:rPr>
            </w:pPr>
            <w:r>
              <w:rPr>
                <w:rFonts w:ascii="Times New Roman" w:hAnsi="Times New Roman" w:cs="Times New Roman"/>
                <w:sz w:val="18"/>
                <w:szCs w:val="18"/>
              </w:rPr>
              <w:t>商业承兑汇票</w:t>
            </w:r>
          </w:p>
        </w:tc>
        <w:tc>
          <w:tcPr>
            <w:tcW w:w="4022" w:type="pct"/>
            <w:tcBorders>
              <w:top w:val="nil"/>
              <w:left w:val="nil"/>
              <w:bottom w:val="single" w:color="auto" w:sz="8" w:space="0"/>
              <w:right w:val="single" w:color="auto" w:sz="8" w:space="0"/>
            </w:tcBorders>
            <w:noWrap/>
            <w:tcMar>
              <w:top w:w="0" w:type="dxa"/>
              <w:left w:w="108" w:type="dxa"/>
              <w:bottom w:w="0" w:type="dxa"/>
              <w:right w:w="108" w:type="dxa"/>
            </w:tcMar>
            <w:vAlign w:val="center"/>
          </w:tcPr>
          <w:p>
            <w:pPr>
              <w:pStyle w:val="8"/>
              <w:spacing w:before="0" w:beforeAutospacing="0" w:after="0" w:afterAutospacing="0"/>
              <w:ind w:firstLine="360"/>
              <w:rPr>
                <w:rFonts w:ascii="Times New Roman" w:hAnsi="Times New Roman" w:cs="Times New Roman"/>
              </w:rPr>
            </w:pPr>
            <w:r>
              <w:rPr>
                <w:rFonts w:ascii="Times New Roman" w:hAnsi="Times New Roman" w:cs="Times New Roman"/>
                <w:sz w:val="18"/>
                <w:szCs w:val="18"/>
              </w:rPr>
              <w:t>根据承兑人的信用风险划分，应与“应收账款”组合划分相同</w:t>
            </w:r>
          </w:p>
        </w:tc>
      </w:tr>
    </w:tbl>
    <w:p>
      <w:pPr>
        <w:pStyle w:val="8"/>
        <w:spacing w:before="0" w:beforeAutospacing="0" w:after="0" w:afterAutospacing="0" w:line="276" w:lineRule="auto"/>
        <w:ind w:firstLine="360"/>
        <w:rPr>
          <w:rFonts w:ascii="Times New Roman" w:hAnsi="Times New Roman" w:cs="Times New Roman"/>
        </w:rPr>
      </w:pPr>
      <w:r>
        <w:rPr>
          <w:rFonts w:hint="eastAsia"/>
          <w:color w:val="000000"/>
          <w:sz w:val="18"/>
          <w:szCs w:val="18"/>
        </w:rPr>
        <w:t>②</w:t>
      </w:r>
      <w:r>
        <w:rPr>
          <w:rFonts w:ascii="Times New Roman" w:hAnsi="Times New Roman" w:cs="Times New Roman"/>
          <w:color w:val="000000"/>
          <w:sz w:val="18"/>
          <w:szCs w:val="18"/>
        </w:rPr>
        <w:t>应收账款及合同资产</w:t>
      </w:r>
    </w:p>
    <w:p>
      <w:pPr>
        <w:pStyle w:val="8"/>
        <w:spacing w:before="0" w:beforeAutospacing="0" w:after="0" w:afterAutospacing="0" w:line="276" w:lineRule="auto"/>
        <w:ind w:firstLine="360"/>
        <w:rPr>
          <w:rFonts w:ascii="Times New Roman" w:hAnsi="Times New Roman" w:cs="Times New Roman"/>
        </w:rPr>
      </w:pPr>
      <w:r>
        <w:rPr>
          <w:rFonts w:ascii="Times New Roman" w:hAnsi="Times New Roman" w:cs="Times New Roman"/>
          <w:sz w:val="18"/>
          <w:szCs w:val="18"/>
        </w:rPr>
        <w:t>对于不含重大融资成分的应收账款和合同资产，本集团按照相当于整个存续期内的预期信用损失金额计量损失准备。</w:t>
      </w:r>
    </w:p>
    <w:p>
      <w:pPr>
        <w:pStyle w:val="8"/>
        <w:spacing w:before="0" w:beforeAutospacing="0" w:after="0" w:afterAutospacing="0" w:line="276" w:lineRule="auto"/>
        <w:ind w:firstLine="360"/>
        <w:rPr>
          <w:rFonts w:ascii="Times New Roman" w:hAnsi="Times New Roman" w:cs="Times New Roman"/>
        </w:rPr>
      </w:pPr>
      <w:r>
        <w:rPr>
          <w:rFonts w:ascii="Times New Roman" w:hAnsi="Times New Roman" w:cs="Times New Roman"/>
          <w:sz w:val="18"/>
          <w:szCs w:val="18"/>
        </w:rPr>
        <w:t>对于包含重大融资成分的应收账款、合同资产和租赁应收款，本集团选择始终按照相当于存续期内预期信用损失的金额计量损失准备。</w:t>
      </w:r>
    </w:p>
    <w:p>
      <w:pPr>
        <w:pStyle w:val="8"/>
        <w:spacing w:before="0" w:beforeAutospacing="0" w:after="0" w:afterAutospacing="0" w:line="276" w:lineRule="auto"/>
        <w:ind w:firstLine="360"/>
        <w:rPr>
          <w:rFonts w:ascii="Times New Roman" w:hAnsi="Times New Roman" w:cs="Times New Roman"/>
        </w:rPr>
      </w:pPr>
      <w:r>
        <w:rPr>
          <w:rFonts w:ascii="Times New Roman" w:hAnsi="Times New Roman" w:cs="Times New Roman"/>
          <w:sz w:val="18"/>
          <w:szCs w:val="18"/>
        </w:rPr>
        <w:t>除了单项评估信用风险的应收账款外，基于其信用风险特征，将其划分为不同组合：</w:t>
      </w:r>
    </w:p>
    <w:tbl>
      <w:tblPr>
        <w:tblStyle w:val="9"/>
        <w:tblW w:w="5000" w:type="pct"/>
        <w:tblInd w:w="0" w:type="dxa"/>
        <w:tblLayout w:type="autofit"/>
        <w:tblCellMar>
          <w:top w:w="0" w:type="dxa"/>
          <w:left w:w="0" w:type="dxa"/>
          <w:bottom w:w="0" w:type="dxa"/>
          <w:right w:w="0" w:type="dxa"/>
        </w:tblCellMar>
      </w:tblPr>
      <w:tblGrid>
        <w:gridCol w:w="4926"/>
        <w:gridCol w:w="4927"/>
      </w:tblGrid>
      <w:tr>
        <w:tblPrEx>
          <w:tblCellMar>
            <w:top w:w="0" w:type="dxa"/>
            <w:left w:w="0" w:type="dxa"/>
            <w:bottom w:w="0" w:type="dxa"/>
            <w:right w:w="0" w:type="dxa"/>
          </w:tblCellMar>
        </w:tblPrEx>
        <w:trPr>
          <w:trHeight w:val="340" w:hRule="atLeast"/>
        </w:trPr>
        <w:tc>
          <w:tcPr>
            <w:tcW w:w="426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pStyle w:val="8"/>
              <w:spacing w:before="0" w:beforeAutospacing="0" w:after="0" w:afterAutospacing="0"/>
              <w:ind w:firstLine="360"/>
              <w:rPr>
                <w:rFonts w:ascii="Times New Roman" w:hAnsi="Times New Roman" w:cs="Times New Roman"/>
              </w:rPr>
            </w:pPr>
            <w:r>
              <w:rPr>
                <w:rFonts w:ascii="Times New Roman" w:hAnsi="Times New Roman" w:cs="Times New Roman"/>
                <w:sz w:val="18"/>
                <w:szCs w:val="18"/>
              </w:rPr>
              <w:t>项目</w:t>
            </w:r>
          </w:p>
        </w:tc>
        <w:tc>
          <w:tcPr>
            <w:tcW w:w="4264"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pStyle w:val="8"/>
              <w:spacing w:before="0" w:beforeAutospacing="0" w:after="0" w:afterAutospacing="0"/>
              <w:ind w:firstLine="360"/>
              <w:rPr>
                <w:rFonts w:ascii="Times New Roman" w:hAnsi="Times New Roman" w:cs="Times New Roman"/>
              </w:rPr>
            </w:pPr>
            <w:r>
              <w:rPr>
                <w:rFonts w:ascii="Times New Roman" w:hAnsi="Times New Roman" w:cs="Times New Roman"/>
                <w:sz w:val="18"/>
                <w:szCs w:val="18"/>
              </w:rPr>
              <w:t>确定组合的依据</w:t>
            </w:r>
          </w:p>
        </w:tc>
      </w:tr>
      <w:tr>
        <w:tblPrEx>
          <w:tblCellMar>
            <w:top w:w="0" w:type="dxa"/>
            <w:left w:w="0" w:type="dxa"/>
            <w:bottom w:w="0" w:type="dxa"/>
            <w:right w:w="0" w:type="dxa"/>
          </w:tblCellMar>
        </w:tblPrEx>
        <w:trPr>
          <w:trHeight w:val="340" w:hRule="atLeast"/>
        </w:trPr>
        <w:tc>
          <w:tcPr>
            <w:tcW w:w="4264"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pStyle w:val="8"/>
              <w:spacing w:before="0" w:beforeAutospacing="0" w:after="0" w:afterAutospacing="0"/>
              <w:ind w:firstLine="360"/>
              <w:rPr>
                <w:rFonts w:ascii="Times New Roman" w:hAnsi="Times New Roman" w:cs="Times New Roman"/>
              </w:rPr>
            </w:pPr>
            <w:r>
              <w:rPr>
                <w:rFonts w:ascii="Times New Roman" w:hAnsi="Times New Roman" w:cs="Times New Roman"/>
                <w:sz w:val="18"/>
                <w:szCs w:val="18"/>
              </w:rPr>
              <w:t>应收账款：</w:t>
            </w:r>
          </w:p>
        </w:tc>
        <w:tc>
          <w:tcPr>
            <w:tcW w:w="4264"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pStyle w:val="8"/>
              <w:spacing w:before="0" w:beforeAutospacing="0" w:after="0" w:afterAutospacing="0"/>
              <w:ind w:firstLine="360"/>
              <w:rPr>
                <w:rFonts w:ascii="Times New Roman" w:hAnsi="Times New Roman" w:cs="Times New Roman"/>
              </w:rPr>
            </w:pPr>
            <w:r>
              <w:rPr>
                <w:rFonts w:ascii="Times New Roman" w:hAnsi="Times New Roman" w:cs="Times New Roman"/>
                <w:sz w:val="18"/>
                <w:szCs w:val="18"/>
              </w:rPr>
              <w:t> </w:t>
            </w:r>
          </w:p>
        </w:tc>
      </w:tr>
      <w:tr>
        <w:tblPrEx>
          <w:tblCellMar>
            <w:top w:w="0" w:type="dxa"/>
            <w:left w:w="0" w:type="dxa"/>
            <w:bottom w:w="0" w:type="dxa"/>
            <w:right w:w="0" w:type="dxa"/>
          </w:tblCellMar>
        </w:tblPrEx>
        <w:trPr>
          <w:trHeight w:val="340" w:hRule="atLeast"/>
        </w:trPr>
        <w:tc>
          <w:tcPr>
            <w:tcW w:w="4264"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pStyle w:val="8"/>
              <w:spacing w:before="0" w:beforeAutospacing="0" w:after="0" w:afterAutospacing="0"/>
              <w:ind w:firstLine="360"/>
              <w:rPr>
                <w:rFonts w:ascii="Times New Roman" w:hAnsi="Times New Roman" w:cs="Times New Roman"/>
              </w:rPr>
            </w:pPr>
            <w:r>
              <w:rPr>
                <w:rFonts w:ascii="Times New Roman" w:hAnsi="Times New Roman" w:cs="Times New Roman"/>
                <w:sz w:val="18"/>
                <w:szCs w:val="18"/>
              </w:rPr>
              <w:t>组合1：应收合并范围内关联方款项组合</w:t>
            </w:r>
          </w:p>
        </w:tc>
        <w:tc>
          <w:tcPr>
            <w:tcW w:w="4264"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pStyle w:val="8"/>
              <w:spacing w:before="0" w:beforeAutospacing="0" w:after="0" w:afterAutospacing="0"/>
              <w:ind w:firstLine="360"/>
              <w:rPr>
                <w:rFonts w:ascii="Times New Roman" w:hAnsi="Times New Roman" w:cs="Times New Roman"/>
              </w:rPr>
            </w:pPr>
            <w:r>
              <w:rPr>
                <w:rFonts w:ascii="Times New Roman" w:hAnsi="Times New Roman" w:cs="Times New Roman"/>
                <w:sz w:val="18"/>
                <w:szCs w:val="18"/>
              </w:rPr>
              <w:t>合并范围内各家单位之间的往来款项</w:t>
            </w:r>
          </w:p>
        </w:tc>
      </w:tr>
      <w:tr>
        <w:tblPrEx>
          <w:tblCellMar>
            <w:top w:w="0" w:type="dxa"/>
            <w:left w:w="0" w:type="dxa"/>
            <w:bottom w:w="0" w:type="dxa"/>
            <w:right w:w="0" w:type="dxa"/>
          </w:tblCellMar>
        </w:tblPrEx>
        <w:trPr>
          <w:trHeight w:val="340" w:hRule="atLeast"/>
        </w:trPr>
        <w:tc>
          <w:tcPr>
            <w:tcW w:w="4264"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pStyle w:val="8"/>
              <w:spacing w:before="0" w:beforeAutospacing="0" w:after="0" w:afterAutospacing="0"/>
              <w:ind w:firstLine="360"/>
              <w:rPr>
                <w:rFonts w:ascii="Times New Roman" w:hAnsi="Times New Roman" w:cs="Times New Roman"/>
              </w:rPr>
            </w:pPr>
            <w:r>
              <w:rPr>
                <w:rFonts w:ascii="Times New Roman" w:hAnsi="Times New Roman" w:cs="Times New Roman"/>
                <w:sz w:val="18"/>
                <w:szCs w:val="18"/>
              </w:rPr>
              <w:t>组合2：账龄组合</w:t>
            </w:r>
          </w:p>
        </w:tc>
        <w:tc>
          <w:tcPr>
            <w:tcW w:w="4264"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pStyle w:val="8"/>
              <w:spacing w:before="0" w:beforeAutospacing="0" w:after="0" w:afterAutospacing="0"/>
              <w:ind w:firstLine="360"/>
              <w:rPr>
                <w:rFonts w:ascii="Times New Roman" w:hAnsi="Times New Roman" w:cs="Times New Roman"/>
              </w:rPr>
            </w:pPr>
            <w:r>
              <w:rPr>
                <w:rFonts w:ascii="Times New Roman" w:hAnsi="Times New Roman" w:cs="Times New Roman"/>
                <w:sz w:val="18"/>
                <w:szCs w:val="18"/>
              </w:rPr>
              <w:t>本组合以应收款项的账龄作为信用风险特征</w:t>
            </w:r>
          </w:p>
        </w:tc>
      </w:tr>
      <w:tr>
        <w:tblPrEx>
          <w:tblCellMar>
            <w:top w:w="0" w:type="dxa"/>
            <w:left w:w="0" w:type="dxa"/>
            <w:bottom w:w="0" w:type="dxa"/>
            <w:right w:w="0" w:type="dxa"/>
          </w:tblCellMar>
        </w:tblPrEx>
        <w:trPr>
          <w:trHeight w:val="340" w:hRule="atLeast"/>
        </w:trPr>
        <w:tc>
          <w:tcPr>
            <w:tcW w:w="4264"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pStyle w:val="8"/>
              <w:spacing w:before="0" w:beforeAutospacing="0" w:after="0" w:afterAutospacing="0"/>
              <w:ind w:firstLine="360"/>
              <w:rPr>
                <w:rFonts w:ascii="Times New Roman" w:hAnsi="Times New Roman" w:cs="Times New Roman"/>
              </w:rPr>
            </w:pPr>
            <w:r>
              <w:rPr>
                <w:rFonts w:ascii="Times New Roman" w:hAnsi="Times New Roman" w:cs="Times New Roman"/>
                <w:sz w:val="18"/>
                <w:szCs w:val="18"/>
              </w:rPr>
              <w:t>合同资产：</w:t>
            </w:r>
          </w:p>
        </w:tc>
        <w:tc>
          <w:tcPr>
            <w:tcW w:w="4264"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pStyle w:val="8"/>
              <w:spacing w:before="0" w:beforeAutospacing="0" w:after="0" w:afterAutospacing="0"/>
              <w:ind w:firstLine="360"/>
              <w:rPr>
                <w:rFonts w:ascii="Times New Roman" w:hAnsi="Times New Roman" w:cs="Times New Roman"/>
              </w:rPr>
            </w:pPr>
            <w:r>
              <w:rPr>
                <w:rFonts w:ascii="Times New Roman" w:hAnsi="Times New Roman" w:cs="Times New Roman"/>
                <w:sz w:val="18"/>
                <w:szCs w:val="18"/>
              </w:rPr>
              <w:t> </w:t>
            </w:r>
          </w:p>
        </w:tc>
      </w:tr>
      <w:tr>
        <w:tblPrEx>
          <w:tblCellMar>
            <w:top w:w="0" w:type="dxa"/>
            <w:left w:w="0" w:type="dxa"/>
            <w:bottom w:w="0" w:type="dxa"/>
            <w:right w:w="0" w:type="dxa"/>
          </w:tblCellMar>
        </w:tblPrEx>
        <w:trPr>
          <w:trHeight w:val="340" w:hRule="atLeast"/>
        </w:trPr>
        <w:tc>
          <w:tcPr>
            <w:tcW w:w="4264"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pStyle w:val="8"/>
              <w:spacing w:before="0" w:beforeAutospacing="0" w:after="0" w:afterAutospacing="0"/>
              <w:ind w:firstLine="360"/>
              <w:rPr>
                <w:rFonts w:ascii="Times New Roman" w:hAnsi="Times New Roman" w:cs="Times New Roman"/>
              </w:rPr>
            </w:pPr>
            <w:r>
              <w:rPr>
                <w:rFonts w:ascii="Times New Roman" w:hAnsi="Times New Roman" w:cs="Times New Roman"/>
                <w:sz w:val="18"/>
                <w:szCs w:val="18"/>
              </w:rPr>
              <w:t>组合1：账龄组合</w:t>
            </w:r>
          </w:p>
        </w:tc>
        <w:tc>
          <w:tcPr>
            <w:tcW w:w="4264"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pStyle w:val="8"/>
              <w:spacing w:before="0" w:beforeAutospacing="0" w:after="0" w:afterAutospacing="0"/>
              <w:ind w:firstLine="360"/>
              <w:rPr>
                <w:rFonts w:ascii="Times New Roman" w:hAnsi="Times New Roman" w:cs="Times New Roman"/>
              </w:rPr>
            </w:pPr>
            <w:r>
              <w:rPr>
                <w:rFonts w:ascii="Times New Roman" w:hAnsi="Times New Roman" w:cs="Times New Roman"/>
                <w:sz w:val="18"/>
                <w:szCs w:val="18"/>
              </w:rPr>
              <w:t>本组合以应收款项的账龄作为信用风险特征</w:t>
            </w:r>
          </w:p>
        </w:tc>
      </w:tr>
    </w:tbl>
    <w:p>
      <w:pPr>
        <w:pStyle w:val="8"/>
        <w:spacing w:before="0" w:beforeAutospacing="0" w:after="0" w:afterAutospacing="0" w:line="276" w:lineRule="auto"/>
        <w:ind w:firstLine="360"/>
        <w:rPr>
          <w:rFonts w:ascii="Times New Roman" w:hAnsi="Times New Roman" w:cs="Times New Roman"/>
        </w:rPr>
      </w:pPr>
      <w:r>
        <w:rPr>
          <w:rFonts w:hint="eastAsia"/>
          <w:color w:val="000000"/>
          <w:sz w:val="18"/>
          <w:szCs w:val="18"/>
        </w:rPr>
        <w:t>③</w:t>
      </w:r>
      <w:r>
        <w:rPr>
          <w:rFonts w:ascii="Times New Roman" w:hAnsi="Times New Roman" w:cs="Times New Roman"/>
          <w:color w:val="000000"/>
          <w:sz w:val="18"/>
          <w:szCs w:val="18"/>
        </w:rPr>
        <w:t>应收款项融资</w:t>
      </w:r>
    </w:p>
    <w:p>
      <w:pPr>
        <w:pStyle w:val="8"/>
        <w:spacing w:before="0" w:beforeAutospacing="0" w:after="0" w:afterAutospacing="0" w:line="276" w:lineRule="auto"/>
        <w:ind w:firstLine="360"/>
        <w:rPr>
          <w:rFonts w:ascii="Times New Roman" w:hAnsi="Times New Roman" w:cs="Times New Roman"/>
        </w:rPr>
      </w:pPr>
      <w:r>
        <w:rPr>
          <w:rFonts w:ascii="Times New Roman" w:hAnsi="Times New Roman" w:cs="Times New Roman"/>
          <w:sz w:val="18"/>
          <w:szCs w:val="18"/>
        </w:rPr>
        <w:t>以公允价值计量且其变动计入其他综合收益的应收票据和应收账款，自初始确认日起到期期限在一年内（含一年）的，列报为应收款项融资。本集团采用整个存续期的预期信用损失的金额计量减值损失。</w:t>
      </w:r>
    </w:p>
    <w:p>
      <w:pPr>
        <w:pStyle w:val="8"/>
        <w:spacing w:before="0" w:beforeAutospacing="0" w:after="0" w:afterAutospacing="0" w:line="276" w:lineRule="auto"/>
        <w:ind w:firstLine="360"/>
        <w:rPr>
          <w:rFonts w:ascii="Times New Roman" w:hAnsi="Times New Roman" w:cs="Times New Roman"/>
        </w:rPr>
      </w:pPr>
      <w:r>
        <w:rPr>
          <w:rFonts w:ascii="Times New Roman" w:hAnsi="Times New Roman" w:cs="Times New Roman"/>
          <w:sz w:val="18"/>
          <w:szCs w:val="18"/>
        </w:rPr>
        <w:t>除了单项评估信用风险的应收款项融资外，基于其信用风险特征，将其划分为不同组合：</w:t>
      </w:r>
    </w:p>
    <w:tbl>
      <w:tblPr>
        <w:tblStyle w:val="9"/>
        <w:tblW w:w="5000" w:type="pct"/>
        <w:tblInd w:w="0" w:type="dxa"/>
        <w:tblLayout w:type="autofit"/>
        <w:tblCellMar>
          <w:top w:w="0" w:type="dxa"/>
          <w:left w:w="0" w:type="dxa"/>
          <w:bottom w:w="0" w:type="dxa"/>
          <w:right w:w="0" w:type="dxa"/>
        </w:tblCellMar>
      </w:tblPr>
      <w:tblGrid>
        <w:gridCol w:w="4495"/>
        <w:gridCol w:w="5358"/>
      </w:tblGrid>
      <w:tr>
        <w:tblPrEx>
          <w:tblCellMar>
            <w:top w:w="0" w:type="dxa"/>
            <w:left w:w="0" w:type="dxa"/>
            <w:bottom w:w="0" w:type="dxa"/>
            <w:right w:w="0" w:type="dxa"/>
          </w:tblCellMar>
        </w:tblPrEx>
        <w:trPr>
          <w:trHeight w:val="340" w:hRule="atLeast"/>
        </w:trPr>
        <w:tc>
          <w:tcPr>
            <w:tcW w:w="2281"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8"/>
              <w:spacing w:before="0" w:beforeAutospacing="0" w:after="0" w:afterAutospacing="0"/>
              <w:ind w:firstLine="360"/>
              <w:rPr>
                <w:rFonts w:ascii="Times New Roman" w:hAnsi="Times New Roman" w:cs="Times New Roman"/>
              </w:rPr>
            </w:pPr>
            <w:r>
              <w:rPr>
                <w:rFonts w:ascii="Times New Roman" w:hAnsi="Times New Roman" w:cs="Times New Roman"/>
                <w:sz w:val="18"/>
                <w:szCs w:val="18"/>
              </w:rPr>
              <w:t>项目</w:t>
            </w:r>
          </w:p>
        </w:tc>
        <w:tc>
          <w:tcPr>
            <w:tcW w:w="2719" w:type="pc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pStyle w:val="8"/>
              <w:spacing w:before="0" w:beforeAutospacing="0" w:after="0" w:afterAutospacing="0"/>
              <w:ind w:firstLine="360"/>
              <w:rPr>
                <w:rFonts w:ascii="Times New Roman" w:hAnsi="Times New Roman" w:cs="Times New Roman"/>
              </w:rPr>
            </w:pPr>
            <w:r>
              <w:rPr>
                <w:rFonts w:ascii="Times New Roman" w:hAnsi="Times New Roman" w:cs="Times New Roman"/>
                <w:sz w:val="18"/>
                <w:szCs w:val="18"/>
              </w:rPr>
              <w:t>确定组合的依据</w:t>
            </w:r>
          </w:p>
        </w:tc>
      </w:tr>
      <w:tr>
        <w:tblPrEx>
          <w:tblCellMar>
            <w:top w:w="0" w:type="dxa"/>
            <w:left w:w="0" w:type="dxa"/>
            <w:bottom w:w="0" w:type="dxa"/>
            <w:right w:w="0" w:type="dxa"/>
          </w:tblCellMar>
        </w:tblPrEx>
        <w:trPr>
          <w:trHeight w:val="340" w:hRule="atLeast"/>
        </w:trPr>
        <w:tc>
          <w:tcPr>
            <w:tcW w:w="2281"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pStyle w:val="8"/>
              <w:spacing w:before="0" w:beforeAutospacing="0" w:after="0" w:afterAutospacing="0"/>
              <w:ind w:firstLine="360"/>
              <w:rPr>
                <w:rFonts w:ascii="Times New Roman" w:hAnsi="Times New Roman" w:cs="Times New Roman"/>
              </w:rPr>
            </w:pPr>
            <w:r>
              <w:rPr>
                <w:rFonts w:ascii="Times New Roman" w:hAnsi="Times New Roman" w:cs="Times New Roman"/>
                <w:sz w:val="18"/>
                <w:szCs w:val="18"/>
              </w:rPr>
              <w:t>组合1：应收合并范围内关联方款项组合</w:t>
            </w:r>
          </w:p>
        </w:tc>
        <w:tc>
          <w:tcPr>
            <w:tcW w:w="2719" w:type="pct"/>
            <w:tcBorders>
              <w:top w:val="nil"/>
              <w:left w:val="nil"/>
              <w:bottom w:val="single" w:color="auto" w:sz="8" w:space="0"/>
              <w:right w:val="single" w:color="auto" w:sz="8" w:space="0"/>
            </w:tcBorders>
            <w:noWrap/>
            <w:tcMar>
              <w:top w:w="0" w:type="dxa"/>
              <w:left w:w="108" w:type="dxa"/>
              <w:bottom w:w="0" w:type="dxa"/>
              <w:right w:w="108" w:type="dxa"/>
            </w:tcMar>
            <w:vAlign w:val="center"/>
          </w:tcPr>
          <w:p>
            <w:pPr>
              <w:pStyle w:val="8"/>
              <w:spacing w:before="0" w:beforeAutospacing="0" w:after="0" w:afterAutospacing="0"/>
              <w:ind w:firstLine="360"/>
              <w:rPr>
                <w:rFonts w:ascii="Times New Roman" w:hAnsi="Times New Roman" w:cs="Times New Roman"/>
              </w:rPr>
            </w:pPr>
            <w:r>
              <w:rPr>
                <w:rFonts w:ascii="Times New Roman" w:hAnsi="Times New Roman" w:cs="Times New Roman"/>
                <w:sz w:val="18"/>
                <w:szCs w:val="18"/>
              </w:rPr>
              <w:t>合并范围内各家单位之间的往来款项</w:t>
            </w:r>
          </w:p>
        </w:tc>
      </w:tr>
      <w:tr>
        <w:tblPrEx>
          <w:tblCellMar>
            <w:top w:w="0" w:type="dxa"/>
            <w:left w:w="0" w:type="dxa"/>
            <w:bottom w:w="0" w:type="dxa"/>
            <w:right w:w="0" w:type="dxa"/>
          </w:tblCellMar>
        </w:tblPrEx>
        <w:trPr>
          <w:trHeight w:val="340" w:hRule="atLeast"/>
        </w:trPr>
        <w:tc>
          <w:tcPr>
            <w:tcW w:w="2281"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pStyle w:val="8"/>
              <w:spacing w:before="0" w:beforeAutospacing="0" w:after="0" w:afterAutospacing="0"/>
              <w:ind w:firstLine="360"/>
              <w:rPr>
                <w:rFonts w:ascii="Times New Roman" w:hAnsi="Times New Roman" w:cs="Times New Roman"/>
              </w:rPr>
            </w:pPr>
            <w:r>
              <w:rPr>
                <w:rFonts w:ascii="Times New Roman" w:hAnsi="Times New Roman" w:cs="Times New Roman"/>
                <w:sz w:val="18"/>
                <w:szCs w:val="18"/>
              </w:rPr>
              <w:t>组合2：账龄组合</w:t>
            </w:r>
          </w:p>
        </w:tc>
        <w:tc>
          <w:tcPr>
            <w:tcW w:w="2719" w:type="pct"/>
            <w:tcBorders>
              <w:top w:val="nil"/>
              <w:left w:val="nil"/>
              <w:bottom w:val="single" w:color="auto" w:sz="8" w:space="0"/>
              <w:right w:val="single" w:color="auto" w:sz="8" w:space="0"/>
            </w:tcBorders>
            <w:noWrap/>
            <w:tcMar>
              <w:top w:w="0" w:type="dxa"/>
              <w:left w:w="108" w:type="dxa"/>
              <w:bottom w:w="0" w:type="dxa"/>
              <w:right w:w="108" w:type="dxa"/>
            </w:tcMar>
            <w:vAlign w:val="center"/>
          </w:tcPr>
          <w:p>
            <w:pPr>
              <w:pStyle w:val="8"/>
              <w:spacing w:before="0" w:beforeAutospacing="0" w:after="0" w:afterAutospacing="0"/>
              <w:ind w:firstLine="360"/>
              <w:rPr>
                <w:rFonts w:ascii="Times New Roman" w:hAnsi="Times New Roman" w:cs="Times New Roman"/>
              </w:rPr>
            </w:pPr>
            <w:r>
              <w:rPr>
                <w:rFonts w:ascii="Times New Roman" w:hAnsi="Times New Roman" w:cs="Times New Roman"/>
                <w:sz w:val="18"/>
                <w:szCs w:val="18"/>
              </w:rPr>
              <w:t>本组合以应收款项的账龄作为信用风险特征</w:t>
            </w:r>
          </w:p>
        </w:tc>
      </w:tr>
    </w:tbl>
    <w:p>
      <w:pPr>
        <w:pStyle w:val="8"/>
        <w:spacing w:before="0" w:beforeAutospacing="0" w:after="0" w:afterAutospacing="0" w:line="276" w:lineRule="auto"/>
        <w:ind w:firstLine="360"/>
        <w:rPr>
          <w:rFonts w:ascii="Times New Roman" w:hAnsi="Times New Roman" w:cs="Times New Roman"/>
        </w:rPr>
      </w:pPr>
      <w:r>
        <w:rPr>
          <w:rFonts w:hint="eastAsia"/>
          <w:sz w:val="18"/>
          <w:szCs w:val="18"/>
        </w:rPr>
        <w:t>④</w:t>
      </w:r>
      <w:r>
        <w:rPr>
          <w:rFonts w:ascii="Times New Roman" w:hAnsi="Times New Roman" w:cs="Times New Roman"/>
          <w:sz w:val="18"/>
          <w:szCs w:val="18"/>
        </w:rPr>
        <w:t>其他应收款</w:t>
      </w:r>
    </w:p>
    <w:p>
      <w:pPr>
        <w:pStyle w:val="8"/>
        <w:spacing w:before="0" w:beforeAutospacing="0" w:after="0" w:afterAutospacing="0" w:line="276" w:lineRule="auto"/>
        <w:ind w:firstLine="360"/>
        <w:rPr>
          <w:rFonts w:ascii="Times New Roman" w:hAnsi="Times New Roman" w:cs="Times New Roman"/>
        </w:rPr>
      </w:pPr>
      <w:r>
        <w:rPr>
          <w:rFonts w:ascii="Times New Roman" w:hAnsi="Times New Roman" w:cs="Times New Roman"/>
          <w:sz w:val="18"/>
          <w:szCs w:val="18"/>
        </w:rPr>
        <w:t>本集团依据其他应收款信用风险自初始确认后是否已经显著增加，采用相当于未来12个月内、或整个存续期的预期信用损失的金额计量减值损失。除了单项评估信用风险的其他应收款外，基于其信用风险特征，将其划分为不同组合：</w:t>
      </w:r>
    </w:p>
    <w:tbl>
      <w:tblPr>
        <w:tblStyle w:val="9"/>
        <w:tblW w:w="5000" w:type="pct"/>
        <w:tblInd w:w="0" w:type="dxa"/>
        <w:tblLayout w:type="autofit"/>
        <w:tblCellMar>
          <w:top w:w="0" w:type="dxa"/>
          <w:left w:w="0" w:type="dxa"/>
          <w:bottom w:w="0" w:type="dxa"/>
          <w:right w:w="0" w:type="dxa"/>
        </w:tblCellMar>
      </w:tblPr>
      <w:tblGrid>
        <w:gridCol w:w="1866"/>
        <w:gridCol w:w="7987"/>
      </w:tblGrid>
      <w:tr>
        <w:tblPrEx>
          <w:tblCellMar>
            <w:top w:w="0" w:type="dxa"/>
            <w:left w:w="0" w:type="dxa"/>
            <w:bottom w:w="0" w:type="dxa"/>
            <w:right w:w="0" w:type="dxa"/>
          </w:tblCellMar>
        </w:tblPrEx>
        <w:trPr>
          <w:trHeight w:val="378" w:hRule="atLeast"/>
        </w:trPr>
        <w:tc>
          <w:tcPr>
            <w:tcW w:w="1227"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8"/>
              <w:spacing w:before="0" w:beforeAutospacing="0" w:after="0" w:afterAutospacing="0"/>
              <w:ind w:firstLine="360"/>
              <w:rPr>
                <w:rFonts w:ascii="Times New Roman" w:hAnsi="Times New Roman" w:cs="Times New Roman"/>
              </w:rPr>
            </w:pPr>
            <w:r>
              <w:rPr>
                <w:rFonts w:ascii="Times New Roman" w:hAnsi="Times New Roman" w:cs="Times New Roman"/>
                <w:sz w:val="18"/>
                <w:szCs w:val="18"/>
              </w:rPr>
              <w:t>项目</w:t>
            </w:r>
          </w:p>
        </w:tc>
        <w:tc>
          <w:tcPr>
            <w:tcW w:w="3773" w:type="pc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pStyle w:val="8"/>
              <w:spacing w:before="0" w:beforeAutospacing="0" w:after="0" w:afterAutospacing="0"/>
              <w:ind w:firstLine="360"/>
              <w:rPr>
                <w:rFonts w:ascii="Times New Roman" w:hAnsi="Times New Roman" w:cs="Times New Roman"/>
              </w:rPr>
            </w:pPr>
            <w:r>
              <w:rPr>
                <w:rFonts w:ascii="Times New Roman" w:hAnsi="Times New Roman" w:cs="Times New Roman"/>
                <w:sz w:val="18"/>
                <w:szCs w:val="18"/>
              </w:rPr>
              <w:t>确定组合的依据</w:t>
            </w:r>
          </w:p>
        </w:tc>
      </w:tr>
      <w:tr>
        <w:tblPrEx>
          <w:tblCellMar>
            <w:top w:w="0" w:type="dxa"/>
            <w:left w:w="0" w:type="dxa"/>
            <w:bottom w:w="0" w:type="dxa"/>
            <w:right w:w="0" w:type="dxa"/>
          </w:tblCellMar>
        </w:tblPrEx>
        <w:trPr>
          <w:trHeight w:val="300" w:hRule="atLeast"/>
        </w:trPr>
        <w:tc>
          <w:tcPr>
            <w:tcW w:w="1227"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pStyle w:val="8"/>
              <w:spacing w:before="0" w:beforeAutospacing="0" w:after="0" w:afterAutospacing="0"/>
              <w:ind w:firstLine="360"/>
              <w:rPr>
                <w:rFonts w:ascii="Times New Roman" w:hAnsi="Times New Roman" w:cs="Times New Roman"/>
              </w:rPr>
            </w:pPr>
            <w:r>
              <w:rPr>
                <w:rFonts w:ascii="Times New Roman" w:hAnsi="Times New Roman" w:cs="Times New Roman"/>
                <w:sz w:val="18"/>
                <w:szCs w:val="18"/>
              </w:rPr>
              <w:t>组合1：应收合并范围内关联方款项组合</w:t>
            </w:r>
          </w:p>
        </w:tc>
        <w:tc>
          <w:tcPr>
            <w:tcW w:w="3773" w:type="pct"/>
            <w:tcBorders>
              <w:top w:val="nil"/>
              <w:left w:val="nil"/>
              <w:bottom w:val="single" w:color="auto" w:sz="8" w:space="0"/>
              <w:right w:val="single" w:color="auto" w:sz="8" w:space="0"/>
            </w:tcBorders>
            <w:noWrap/>
            <w:tcMar>
              <w:top w:w="0" w:type="dxa"/>
              <w:left w:w="108" w:type="dxa"/>
              <w:bottom w:w="0" w:type="dxa"/>
              <w:right w:w="108" w:type="dxa"/>
            </w:tcMar>
            <w:vAlign w:val="center"/>
          </w:tcPr>
          <w:p>
            <w:pPr>
              <w:pStyle w:val="8"/>
              <w:spacing w:before="0" w:beforeAutospacing="0" w:after="0" w:afterAutospacing="0"/>
              <w:ind w:firstLine="360"/>
              <w:rPr>
                <w:rFonts w:ascii="Times New Roman" w:hAnsi="Times New Roman" w:cs="Times New Roman"/>
              </w:rPr>
            </w:pPr>
            <w:r>
              <w:rPr>
                <w:rFonts w:ascii="Times New Roman" w:hAnsi="Times New Roman" w:cs="Times New Roman"/>
                <w:sz w:val="18"/>
                <w:szCs w:val="18"/>
              </w:rPr>
              <w:t>合并范围内各家单位之间的往来款项</w:t>
            </w:r>
          </w:p>
        </w:tc>
      </w:tr>
      <w:tr>
        <w:tblPrEx>
          <w:tblCellMar>
            <w:top w:w="0" w:type="dxa"/>
            <w:left w:w="0" w:type="dxa"/>
            <w:bottom w:w="0" w:type="dxa"/>
            <w:right w:w="0" w:type="dxa"/>
          </w:tblCellMar>
        </w:tblPrEx>
        <w:trPr>
          <w:trHeight w:val="300" w:hRule="atLeast"/>
        </w:trPr>
        <w:tc>
          <w:tcPr>
            <w:tcW w:w="1227"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pStyle w:val="8"/>
              <w:spacing w:before="0" w:beforeAutospacing="0" w:after="0" w:afterAutospacing="0"/>
              <w:ind w:firstLine="360"/>
              <w:rPr>
                <w:rFonts w:ascii="Times New Roman" w:hAnsi="Times New Roman" w:cs="Times New Roman"/>
              </w:rPr>
            </w:pPr>
            <w:r>
              <w:rPr>
                <w:rFonts w:ascii="Times New Roman" w:hAnsi="Times New Roman" w:cs="Times New Roman"/>
                <w:sz w:val="18"/>
                <w:szCs w:val="18"/>
              </w:rPr>
              <w:t>组合2：账龄组合</w:t>
            </w:r>
          </w:p>
        </w:tc>
        <w:tc>
          <w:tcPr>
            <w:tcW w:w="3773" w:type="pct"/>
            <w:tcBorders>
              <w:top w:val="nil"/>
              <w:left w:val="nil"/>
              <w:bottom w:val="single" w:color="auto" w:sz="8" w:space="0"/>
              <w:right w:val="single" w:color="auto" w:sz="8" w:space="0"/>
            </w:tcBorders>
            <w:noWrap/>
            <w:tcMar>
              <w:top w:w="0" w:type="dxa"/>
              <w:left w:w="108" w:type="dxa"/>
              <w:bottom w:w="0" w:type="dxa"/>
              <w:right w:w="108" w:type="dxa"/>
            </w:tcMar>
            <w:vAlign w:val="center"/>
          </w:tcPr>
          <w:p>
            <w:pPr>
              <w:pStyle w:val="8"/>
              <w:spacing w:before="0" w:beforeAutospacing="0" w:after="0" w:afterAutospacing="0"/>
              <w:ind w:firstLine="360"/>
              <w:rPr>
                <w:rFonts w:ascii="Times New Roman" w:hAnsi="Times New Roman" w:cs="Times New Roman"/>
              </w:rPr>
            </w:pPr>
            <w:r>
              <w:rPr>
                <w:rFonts w:ascii="Times New Roman" w:hAnsi="Times New Roman" w:cs="Times New Roman"/>
                <w:sz w:val="18"/>
                <w:szCs w:val="18"/>
              </w:rPr>
              <w:t>除上述组合外的其他组合，本组合以其他应收款的账龄作为信用风险特征。公司根据账龄段划分的具有类似信用风险特征的其他应收款组合的预期损失率为基础，结合现时情况分析法确定坏账准备计提的比例</w:t>
            </w:r>
          </w:p>
        </w:tc>
      </w:tr>
    </w:tbl>
    <w:p>
      <w:pPr>
        <w:pStyle w:val="8"/>
        <w:spacing w:before="0" w:beforeAutospacing="0" w:after="0" w:afterAutospacing="0" w:line="276" w:lineRule="auto"/>
        <w:ind w:firstLine="360"/>
        <w:rPr>
          <w:rFonts w:ascii="Times New Roman" w:hAnsi="Times New Roman" w:cs="Times New Roman"/>
        </w:rPr>
      </w:pPr>
      <w:r>
        <w:rPr>
          <w:rFonts w:hint="eastAsia"/>
          <w:sz w:val="18"/>
          <w:szCs w:val="18"/>
        </w:rPr>
        <w:t>⑤</w:t>
      </w:r>
      <w:r>
        <w:rPr>
          <w:rFonts w:ascii="Times New Roman" w:hAnsi="Times New Roman" w:cs="Times New Roman"/>
          <w:sz w:val="18"/>
          <w:szCs w:val="18"/>
        </w:rPr>
        <w:t>长期应收款</w:t>
      </w:r>
    </w:p>
    <w:p>
      <w:pPr>
        <w:pStyle w:val="8"/>
        <w:spacing w:before="0" w:beforeAutospacing="0" w:after="0" w:afterAutospacing="0" w:line="276" w:lineRule="auto"/>
        <w:ind w:firstLine="360"/>
        <w:rPr>
          <w:rFonts w:ascii="Times New Roman" w:hAnsi="Times New Roman" w:cs="Times New Roman"/>
        </w:rPr>
      </w:pPr>
      <w:r>
        <w:rPr>
          <w:rFonts w:ascii="Times New Roman" w:hAnsi="Times New Roman" w:cs="Times New Roman"/>
          <w:sz w:val="18"/>
          <w:szCs w:val="18"/>
        </w:rPr>
        <w:t>由《企业会计准则第21号——租赁》规范的交易形成的应收融资租赁款和应收经营租赁款，本集团选择始终按照相当于存续期内预期信用损失的金额计量损失准备。</w:t>
      </w:r>
    </w:p>
    <w:p>
      <w:pPr>
        <w:pStyle w:val="8"/>
        <w:spacing w:before="0" w:beforeAutospacing="0" w:after="0" w:afterAutospacing="0" w:line="276" w:lineRule="auto"/>
        <w:ind w:firstLine="360"/>
        <w:rPr>
          <w:rFonts w:ascii="Times New Roman" w:hAnsi="Times New Roman" w:cs="Times New Roman"/>
        </w:rPr>
      </w:pPr>
      <w:r>
        <w:rPr>
          <w:rFonts w:ascii="Times New Roman" w:hAnsi="Times New Roman" w:cs="Times New Roman"/>
          <w:sz w:val="18"/>
          <w:szCs w:val="18"/>
        </w:rPr>
        <w:t>对于不适用或不选择简化处理方法的应收款项，本集团依据其信用风险自初始确认后是否已经显著增加，采用相当于未来12个月内、或整个存续期的预期信用损失的金额计量长期应收款减值损失。</w:t>
      </w:r>
    </w:p>
    <w:p>
      <w:pPr>
        <w:pStyle w:val="8"/>
        <w:spacing w:before="0" w:beforeAutospacing="0" w:after="0" w:afterAutospacing="0" w:line="276" w:lineRule="auto"/>
        <w:ind w:firstLine="360"/>
        <w:rPr>
          <w:rFonts w:ascii="Times New Roman" w:hAnsi="Times New Roman" w:cs="Times New Roman"/>
        </w:rPr>
      </w:pPr>
      <w:r>
        <w:rPr>
          <w:rFonts w:ascii="Times New Roman" w:hAnsi="Times New Roman" w:cs="Times New Roman"/>
          <w:sz w:val="18"/>
          <w:szCs w:val="18"/>
        </w:rPr>
        <w:t>除了单项评估信用风险的长期应收款外，基于其信用风险特征，将其划分为不同组合：</w:t>
      </w:r>
    </w:p>
    <w:tbl>
      <w:tblPr>
        <w:tblStyle w:val="9"/>
        <w:tblW w:w="5000" w:type="pct"/>
        <w:tblInd w:w="0" w:type="dxa"/>
        <w:tblLayout w:type="autofit"/>
        <w:tblCellMar>
          <w:top w:w="0" w:type="dxa"/>
          <w:left w:w="0" w:type="dxa"/>
          <w:bottom w:w="0" w:type="dxa"/>
          <w:right w:w="0" w:type="dxa"/>
        </w:tblCellMar>
      </w:tblPr>
      <w:tblGrid>
        <w:gridCol w:w="1866"/>
        <w:gridCol w:w="7987"/>
      </w:tblGrid>
      <w:tr>
        <w:tblPrEx>
          <w:tblCellMar>
            <w:top w:w="0" w:type="dxa"/>
            <w:left w:w="0" w:type="dxa"/>
            <w:bottom w:w="0" w:type="dxa"/>
            <w:right w:w="0" w:type="dxa"/>
          </w:tblCellMar>
        </w:tblPrEx>
        <w:trPr>
          <w:trHeight w:val="340" w:hRule="atLeast"/>
        </w:trPr>
        <w:tc>
          <w:tcPr>
            <w:tcW w:w="902"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pStyle w:val="8"/>
              <w:spacing w:before="0" w:beforeAutospacing="0" w:after="0" w:afterAutospacing="0"/>
              <w:ind w:firstLine="360"/>
              <w:rPr>
                <w:rFonts w:ascii="Times New Roman" w:hAnsi="Times New Roman" w:cs="Times New Roman"/>
              </w:rPr>
            </w:pPr>
            <w:r>
              <w:rPr>
                <w:rFonts w:ascii="Times New Roman" w:hAnsi="Times New Roman" w:cs="Times New Roman"/>
                <w:sz w:val="18"/>
                <w:szCs w:val="18"/>
              </w:rPr>
              <w:t>项目</w:t>
            </w:r>
          </w:p>
        </w:tc>
        <w:tc>
          <w:tcPr>
            <w:tcW w:w="4098" w:type="pct"/>
            <w:tcBorders>
              <w:top w:val="single" w:color="auto" w:sz="8" w:space="0"/>
              <w:left w:val="nil"/>
              <w:bottom w:val="single" w:color="auto" w:sz="8" w:space="0"/>
              <w:right w:val="single" w:color="auto" w:sz="8" w:space="0"/>
            </w:tcBorders>
            <w:tcMar>
              <w:top w:w="0" w:type="dxa"/>
              <w:left w:w="108" w:type="dxa"/>
              <w:bottom w:w="0" w:type="dxa"/>
              <w:right w:w="108" w:type="dxa"/>
            </w:tcMar>
          </w:tcPr>
          <w:p>
            <w:pPr>
              <w:pStyle w:val="8"/>
              <w:spacing w:before="0" w:beforeAutospacing="0" w:after="0" w:afterAutospacing="0"/>
              <w:ind w:firstLine="360"/>
              <w:rPr>
                <w:rFonts w:ascii="Times New Roman" w:hAnsi="Times New Roman" w:cs="Times New Roman"/>
              </w:rPr>
            </w:pPr>
            <w:r>
              <w:rPr>
                <w:rFonts w:ascii="Times New Roman" w:hAnsi="Times New Roman" w:cs="Times New Roman"/>
                <w:sz w:val="18"/>
                <w:szCs w:val="18"/>
              </w:rPr>
              <w:t>确定组合的依据</w:t>
            </w:r>
          </w:p>
        </w:tc>
      </w:tr>
      <w:tr>
        <w:tblPrEx>
          <w:tblCellMar>
            <w:top w:w="0" w:type="dxa"/>
            <w:left w:w="0" w:type="dxa"/>
            <w:bottom w:w="0" w:type="dxa"/>
            <w:right w:w="0" w:type="dxa"/>
          </w:tblCellMar>
        </w:tblPrEx>
        <w:trPr>
          <w:trHeight w:val="340" w:hRule="atLeast"/>
        </w:trPr>
        <w:tc>
          <w:tcPr>
            <w:tcW w:w="902"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pStyle w:val="8"/>
              <w:spacing w:before="0" w:beforeAutospacing="0" w:after="0" w:afterAutospacing="0"/>
              <w:ind w:firstLine="360"/>
              <w:rPr>
                <w:rFonts w:ascii="Times New Roman" w:hAnsi="Times New Roman" w:cs="Times New Roman"/>
              </w:rPr>
            </w:pPr>
            <w:r>
              <w:rPr>
                <w:rFonts w:ascii="Times New Roman" w:hAnsi="Times New Roman" w:cs="Times New Roman"/>
                <w:sz w:val="18"/>
                <w:szCs w:val="18"/>
              </w:rPr>
              <w:t>组合1：应收合并范围内关联方款项组合</w:t>
            </w:r>
          </w:p>
        </w:tc>
        <w:tc>
          <w:tcPr>
            <w:tcW w:w="4098" w:type="pct"/>
            <w:tcBorders>
              <w:top w:val="nil"/>
              <w:left w:val="nil"/>
              <w:bottom w:val="single" w:color="auto" w:sz="8" w:space="0"/>
              <w:right w:val="single" w:color="auto" w:sz="8" w:space="0"/>
            </w:tcBorders>
            <w:noWrap/>
            <w:tcMar>
              <w:top w:w="0" w:type="dxa"/>
              <w:left w:w="108" w:type="dxa"/>
              <w:bottom w:w="0" w:type="dxa"/>
              <w:right w:w="108" w:type="dxa"/>
            </w:tcMar>
            <w:vAlign w:val="center"/>
          </w:tcPr>
          <w:p>
            <w:pPr>
              <w:pStyle w:val="8"/>
              <w:spacing w:before="0" w:beforeAutospacing="0" w:after="0" w:afterAutospacing="0"/>
              <w:ind w:firstLine="360"/>
              <w:rPr>
                <w:rFonts w:ascii="Times New Roman" w:hAnsi="Times New Roman" w:cs="Times New Roman"/>
              </w:rPr>
            </w:pPr>
            <w:r>
              <w:rPr>
                <w:rFonts w:ascii="Times New Roman" w:hAnsi="Times New Roman" w:cs="Times New Roman"/>
                <w:sz w:val="18"/>
                <w:szCs w:val="18"/>
              </w:rPr>
              <w:t>合并范围内各家单位之间的往来款项</w:t>
            </w:r>
          </w:p>
        </w:tc>
      </w:tr>
      <w:tr>
        <w:tblPrEx>
          <w:tblCellMar>
            <w:top w:w="0" w:type="dxa"/>
            <w:left w:w="0" w:type="dxa"/>
            <w:bottom w:w="0" w:type="dxa"/>
            <w:right w:w="0" w:type="dxa"/>
          </w:tblCellMar>
        </w:tblPrEx>
        <w:trPr>
          <w:trHeight w:val="340" w:hRule="atLeast"/>
        </w:trPr>
        <w:tc>
          <w:tcPr>
            <w:tcW w:w="902"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pStyle w:val="8"/>
              <w:spacing w:before="0" w:beforeAutospacing="0" w:after="0" w:afterAutospacing="0"/>
              <w:ind w:firstLine="360"/>
              <w:rPr>
                <w:rFonts w:ascii="Times New Roman" w:hAnsi="Times New Roman" w:cs="Times New Roman"/>
              </w:rPr>
            </w:pPr>
            <w:r>
              <w:rPr>
                <w:rFonts w:ascii="Times New Roman" w:hAnsi="Times New Roman" w:cs="Times New Roman"/>
                <w:sz w:val="18"/>
                <w:szCs w:val="18"/>
              </w:rPr>
              <w:t>组合2：账龄组合</w:t>
            </w:r>
          </w:p>
        </w:tc>
        <w:tc>
          <w:tcPr>
            <w:tcW w:w="4098" w:type="pct"/>
            <w:tcBorders>
              <w:top w:val="nil"/>
              <w:left w:val="nil"/>
              <w:bottom w:val="single" w:color="auto" w:sz="8" w:space="0"/>
              <w:right w:val="single" w:color="auto" w:sz="8" w:space="0"/>
            </w:tcBorders>
            <w:noWrap/>
            <w:tcMar>
              <w:top w:w="0" w:type="dxa"/>
              <w:left w:w="108" w:type="dxa"/>
              <w:bottom w:w="0" w:type="dxa"/>
              <w:right w:w="108" w:type="dxa"/>
            </w:tcMar>
            <w:vAlign w:val="center"/>
          </w:tcPr>
          <w:p>
            <w:pPr>
              <w:pStyle w:val="8"/>
              <w:spacing w:before="0" w:beforeAutospacing="0" w:after="0" w:afterAutospacing="0"/>
              <w:ind w:firstLine="360"/>
              <w:rPr>
                <w:rFonts w:ascii="Times New Roman" w:hAnsi="Times New Roman" w:cs="Times New Roman"/>
              </w:rPr>
            </w:pPr>
            <w:r>
              <w:rPr>
                <w:rFonts w:ascii="Times New Roman" w:hAnsi="Times New Roman" w:cs="Times New Roman"/>
                <w:sz w:val="18"/>
                <w:szCs w:val="18"/>
              </w:rPr>
              <w:t>除上述组合外的其他组合，本组合以长期应收款的账龄作为信用风险特征。公司根据账龄段划分的具有类似信用风险特征的长期应收款组合的预期损失率为基础，结合现时情况分析法确定坏账准备计提的比例</w:t>
            </w:r>
          </w:p>
        </w:tc>
      </w:tr>
    </w:tbl>
    <w:p>
      <w:pPr>
        <w:pStyle w:val="8"/>
        <w:spacing w:before="0" w:beforeAutospacing="0" w:after="0" w:afterAutospacing="0"/>
        <w:rPr>
          <w:rFonts w:ascii="Times New Roman" w:hAnsi="Times New Roman" w:eastAsia="等线" w:cs="Times New Roman"/>
          <w:sz w:val="21"/>
          <w:szCs w:val="21"/>
        </w:rPr>
      </w:pPr>
      <w:r>
        <w:rPr>
          <w:rFonts w:ascii="Times New Roman" w:hAnsi="Times New Roman" w:eastAsia="等线" w:cs="Times New Roman"/>
          <w:sz w:val="21"/>
          <w:szCs w:val="21"/>
        </w:rPr>
        <w:t> </w:t>
      </w:r>
    </w:p>
    <w:p>
      <w:pPr>
        <w:pStyle w:val="3"/>
        <w:spacing w:line="280" w:lineRule="exact"/>
        <w:jc w:val="left"/>
        <w:rPr>
          <w:rFonts w:ascii="Times New Roman" w:hAnsi="Times New Roman" w:cs="Times New Roman"/>
          <w:b/>
          <w:bCs/>
        </w:rPr>
      </w:pPr>
      <w:bookmarkStart w:id="129" w:name="_Toc989018"/>
      <w:r>
        <w:rPr>
          <w:rFonts w:ascii="Times New Roman" w:hAnsi="Times New Roman" w:cs="Times New Roman"/>
          <w:b/>
          <w:bCs/>
        </w:rPr>
        <w:t>11、应收票据</w:t>
      </w:r>
      <w:bookmarkEnd w:id="129"/>
    </w:p>
    <w:p>
      <w:pPr>
        <w:pStyle w:val="8"/>
        <w:spacing w:before="0" w:beforeAutospacing="0" w:after="0" w:afterAutospacing="0" w:line="276" w:lineRule="auto"/>
        <w:ind w:firstLine="420"/>
        <w:jc w:val="both"/>
        <w:rPr>
          <w:rFonts w:ascii="Times New Roman" w:hAnsi="Times New Roman" w:cs="Times New Roman"/>
        </w:rPr>
      </w:pPr>
      <w:r>
        <w:rPr>
          <w:rFonts w:ascii="Times New Roman" w:hAnsi="Times New Roman" w:cs="Times New Roman"/>
          <w:sz w:val="18"/>
          <w:szCs w:val="18"/>
        </w:rPr>
        <w:t>本集团对于应收票据按照相当于整个存续期内的预期信用损失金额计量损失准备。基于应收票据的信用风险特征，将其划分为不同组合：</w:t>
      </w:r>
    </w:p>
    <w:tbl>
      <w:tblPr>
        <w:tblStyle w:val="9"/>
        <w:tblW w:w="5000" w:type="pct"/>
        <w:tblInd w:w="0" w:type="dxa"/>
        <w:tblLayout w:type="autofit"/>
        <w:tblCellMar>
          <w:top w:w="0" w:type="dxa"/>
          <w:left w:w="0" w:type="dxa"/>
          <w:bottom w:w="0" w:type="dxa"/>
          <w:right w:w="0" w:type="dxa"/>
        </w:tblCellMar>
      </w:tblPr>
      <w:tblGrid>
        <w:gridCol w:w="1927"/>
        <w:gridCol w:w="7926"/>
      </w:tblGrid>
      <w:tr>
        <w:tblPrEx>
          <w:tblCellMar>
            <w:top w:w="0" w:type="dxa"/>
            <w:left w:w="0" w:type="dxa"/>
            <w:bottom w:w="0" w:type="dxa"/>
            <w:right w:w="0" w:type="dxa"/>
          </w:tblCellMar>
        </w:tblPrEx>
        <w:trPr>
          <w:trHeight w:val="340" w:hRule="atLeast"/>
        </w:trPr>
        <w:tc>
          <w:tcPr>
            <w:tcW w:w="978"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8"/>
              <w:spacing w:before="0" w:beforeAutospacing="0" w:after="0" w:afterAutospacing="0" w:line="276" w:lineRule="auto"/>
              <w:jc w:val="center"/>
              <w:rPr>
                <w:rFonts w:ascii="Times New Roman" w:hAnsi="Times New Roman" w:cs="Times New Roman"/>
              </w:rPr>
            </w:pPr>
            <w:r>
              <w:rPr>
                <w:rFonts w:ascii="Times New Roman" w:hAnsi="Times New Roman" w:cs="Times New Roman"/>
                <w:sz w:val="18"/>
                <w:szCs w:val="18"/>
              </w:rPr>
              <w:t>项目</w:t>
            </w:r>
          </w:p>
        </w:tc>
        <w:tc>
          <w:tcPr>
            <w:tcW w:w="4022" w:type="pc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pStyle w:val="8"/>
              <w:spacing w:before="0" w:beforeAutospacing="0" w:after="0" w:afterAutospacing="0" w:line="276" w:lineRule="auto"/>
              <w:jc w:val="center"/>
              <w:rPr>
                <w:rFonts w:ascii="Times New Roman" w:hAnsi="Times New Roman" w:cs="Times New Roman"/>
              </w:rPr>
            </w:pPr>
            <w:r>
              <w:rPr>
                <w:rFonts w:ascii="Times New Roman" w:hAnsi="Times New Roman" w:cs="Times New Roman"/>
                <w:sz w:val="18"/>
                <w:szCs w:val="18"/>
              </w:rPr>
              <w:t>确定组合的依据</w:t>
            </w:r>
          </w:p>
        </w:tc>
      </w:tr>
      <w:tr>
        <w:tblPrEx>
          <w:tblCellMar>
            <w:top w:w="0" w:type="dxa"/>
            <w:left w:w="0" w:type="dxa"/>
            <w:bottom w:w="0" w:type="dxa"/>
            <w:right w:w="0" w:type="dxa"/>
          </w:tblCellMar>
        </w:tblPrEx>
        <w:trPr>
          <w:trHeight w:val="340" w:hRule="atLeast"/>
        </w:trPr>
        <w:tc>
          <w:tcPr>
            <w:tcW w:w="978"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pStyle w:val="8"/>
              <w:spacing w:before="0" w:beforeAutospacing="0" w:after="0" w:afterAutospacing="0" w:line="276" w:lineRule="auto"/>
              <w:jc w:val="both"/>
              <w:rPr>
                <w:rFonts w:ascii="Times New Roman" w:hAnsi="Times New Roman" w:cs="Times New Roman"/>
              </w:rPr>
            </w:pPr>
            <w:r>
              <w:rPr>
                <w:rFonts w:ascii="Times New Roman" w:hAnsi="Times New Roman" w:cs="Times New Roman"/>
                <w:sz w:val="18"/>
                <w:szCs w:val="18"/>
              </w:rPr>
              <w:t>银行承兑汇票</w:t>
            </w:r>
          </w:p>
        </w:tc>
        <w:tc>
          <w:tcPr>
            <w:tcW w:w="4022" w:type="pct"/>
            <w:tcBorders>
              <w:top w:val="nil"/>
              <w:left w:val="nil"/>
              <w:bottom w:val="single" w:color="auto" w:sz="8" w:space="0"/>
              <w:right w:val="single" w:color="auto" w:sz="8" w:space="0"/>
            </w:tcBorders>
            <w:noWrap/>
            <w:tcMar>
              <w:top w:w="0" w:type="dxa"/>
              <w:left w:w="108" w:type="dxa"/>
              <w:bottom w:w="0" w:type="dxa"/>
              <w:right w:w="108" w:type="dxa"/>
            </w:tcMar>
            <w:vAlign w:val="center"/>
          </w:tcPr>
          <w:p>
            <w:pPr>
              <w:pStyle w:val="8"/>
              <w:spacing w:before="0" w:beforeAutospacing="0" w:after="0" w:afterAutospacing="0" w:line="276" w:lineRule="auto"/>
              <w:jc w:val="both"/>
              <w:rPr>
                <w:rFonts w:ascii="Times New Roman" w:hAnsi="Times New Roman" w:cs="Times New Roman"/>
              </w:rPr>
            </w:pPr>
            <w:r>
              <w:rPr>
                <w:rFonts w:ascii="Times New Roman" w:hAnsi="Times New Roman" w:cs="Times New Roman"/>
                <w:sz w:val="18"/>
                <w:szCs w:val="18"/>
              </w:rPr>
              <w:t>承兑人为信用风险较小的银行</w:t>
            </w:r>
          </w:p>
        </w:tc>
      </w:tr>
      <w:tr>
        <w:tblPrEx>
          <w:tblCellMar>
            <w:top w:w="0" w:type="dxa"/>
            <w:left w:w="0" w:type="dxa"/>
            <w:bottom w:w="0" w:type="dxa"/>
            <w:right w:w="0" w:type="dxa"/>
          </w:tblCellMar>
        </w:tblPrEx>
        <w:trPr>
          <w:trHeight w:val="340" w:hRule="atLeast"/>
        </w:trPr>
        <w:tc>
          <w:tcPr>
            <w:tcW w:w="978"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pStyle w:val="8"/>
              <w:spacing w:before="0" w:beforeAutospacing="0" w:after="0" w:afterAutospacing="0" w:line="276" w:lineRule="auto"/>
              <w:jc w:val="both"/>
              <w:rPr>
                <w:rFonts w:ascii="Times New Roman" w:hAnsi="Times New Roman" w:cs="Times New Roman"/>
              </w:rPr>
            </w:pPr>
            <w:r>
              <w:rPr>
                <w:rFonts w:ascii="Times New Roman" w:hAnsi="Times New Roman" w:cs="Times New Roman"/>
                <w:sz w:val="18"/>
                <w:szCs w:val="18"/>
              </w:rPr>
              <w:t>商业承兑汇票</w:t>
            </w:r>
          </w:p>
        </w:tc>
        <w:tc>
          <w:tcPr>
            <w:tcW w:w="4022" w:type="pct"/>
            <w:tcBorders>
              <w:top w:val="nil"/>
              <w:left w:val="nil"/>
              <w:bottom w:val="single" w:color="auto" w:sz="8" w:space="0"/>
              <w:right w:val="single" w:color="auto" w:sz="8" w:space="0"/>
            </w:tcBorders>
            <w:noWrap/>
            <w:tcMar>
              <w:top w:w="0" w:type="dxa"/>
              <w:left w:w="108" w:type="dxa"/>
              <w:bottom w:w="0" w:type="dxa"/>
              <w:right w:w="108" w:type="dxa"/>
            </w:tcMar>
            <w:vAlign w:val="center"/>
          </w:tcPr>
          <w:p>
            <w:pPr>
              <w:pStyle w:val="8"/>
              <w:spacing w:before="0" w:beforeAutospacing="0" w:after="0" w:afterAutospacing="0" w:line="276" w:lineRule="auto"/>
              <w:jc w:val="both"/>
              <w:rPr>
                <w:rFonts w:ascii="Times New Roman" w:hAnsi="Times New Roman" w:cs="Times New Roman"/>
              </w:rPr>
            </w:pPr>
            <w:r>
              <w:rPr>
                <w:rFonts w:ascii="Times New Roman" w:hAnsi="Times New Roman" w:cs="Times New Roman"/>
                <w:sz w:val="18"/>
                <w:szCs w:val="18"/>
              </w:rPr>
              <w:t>根据承兑人的信用风险划分，应与“应收账款”组合划分相同</w:t>
            </w:r>
          </w:p>
        </w:tc>
      </w:tr>
    </w:tbl>
    <w:p>
      <w:pPr>
        <w:rPr>
          <w:rFonts w:ascii="Times New Roman" w:hAnsi="Times New Roman" w:cs="Times New Roman"/>
        </w:rPr>
      </w:pPr>
    </w:p>
    <w:p>
      <w:pPr>
        <w:pStyle w:val="3"/>
        <w:spacing w:line="280" w:lineRule="exact"/>
        <w:jc w:val="left"/>
        <w:rPr>
          <w:rFonts w:ascii="Times New Roman" w:hAnsi="Times New Roman" w:cs="Times New Roman"/>
          <w:b/>
          <w:bCs/>
        </w:rPr>
      </w:pPr>
      <w:bookmarkStart w:id="130" w:name="_Toc989019"/>
      <w:r>
        <w:rPr>
          <w:rFonts w:ascii="Times New Roman" w:hAnsi="Times New Roman" w:cs="Times New Roman"/>
          <w:b/>
          <w:bCs/>
        </w:rPr>
        <w:t>12、应收账款</w:t>
      </w:r>
      <w:bookmarkEnd w:id="130"/>
    </w:p>
    <w:p>
      <w:pPr>
        <w:pStyle w:val="8"/>
        <w:spacing w:before="0" w:beforeAutospacing="0" w:after="0" w:afterAutospacing="0" w:line="276" w:lineRule="auto"/>
        <w:ind w:firstLine="420"/>
        <w:jc w:val="both"/>
        <w:rPr>
          <w:rFonts w:ascii="Times New Roman" w:hAnsi="Times New Roman" w:cs="Times New Roman"/>
        </w:rPr>
      </w:pPr>
      <w:r>
        <w:rPr>
          <w:rFonts w:ascii="Times New Roman" w:hAnsi="Times New Roman" w:cs="Times New Roman"/>
          <w:sz w:val="18"/>
          <w:szCs w:val="18"/>
        </w:rPr>
        <w:t>对于不含重大融资成分的应收账款和合同资产，本集团按照相当于整个存续期内的预期信用损失金额计量损失准备。</w:t>
      </w:r>
    </w:p>
    <w:p>
      <w:pPr>
        <w:pStyle w:val="8"/>
        <w:spacing w:before="0" w:beforeAutospacing="0" w:after="0" w:afterAutospacing="0" w:line="276" w:lineRule="auto"/>
        <w:ind w:firstLine="420"/>
        <w:jc w:val="both"/>
        <w:rPr>
          <w:rFonts w:ascii="Times New Roman" w:hAnsi="Times New Roman" w:cs="Times New Roman"/>
        </w:rPr>
      </w:pPr>
      <w:r>
        <w:rPr>
          <w:rFonts w:ascii="Times New Roman" w:hAnsi="Times New Roman" w:cs="Times New Roman"/>
          <w:sz w:val="18"/>
          <w:szCs w:val="18"/>
        </w:rPr>
        <w:t>对于包含重大融资成分的应收账款、合同资产和租赁应收款，本集团选择始终按照相当于存续期内预期信用损失的金额计量损失准备。</w:t>
      </w:r>
    </w:p>
    <w:p>
      <w:pPr>
        <w:pStyle w:val="8"/>
        <w:spacing w:before="0" w:beforeAutospacing="0" w:after="0" w:afterAutospacing="0" w:line="276" w:lineRule="auto"/>
        <w:ind w:firstLine="420"/>
        <w:jc w:val="both"/>
        <w:rPr>
          <w:rFonts w:ascii="Times New Roman" w:hAnsi="Times New Roman" w:cs="Times New Roman"/>
        </w:rPr>
      </w:pPr>
      <w:r>
        <w:rPr>
          <w:rFonts w:ascii="Times New Roman" w:hAnsi="Times New Roman" w:cs="Times New Roman"/>
          <w:sz w:val="18"/>
          <w:szCs w:val="18"/>
        </w:rPr>
        <w:t>除了单项评估信用风险的应收账款外，基于其信用风险特征，将其划分为不同组合：</w:t>
      </w:r>
    </w:p>
    <w:tbl>
      <w:tblPr>
        <w:tblStyle w:val="9"/>
        <w:tblW w:w="5000" w:type="pct"/>
        <w:tblInd w:w="0" w:type="dxa"/>
        <w:tblLayout w:type="autofit"/>
        <w:tblCellMar>
          <w:top w:w="0" w:type="dxa"/>
          <w:left w:w="0" w:type="dxa"/>
          <w:bottom w:w="0" w:type="dxa"/>
          <w:right w:w="0" w:type="dxa"/>
        </w:tblCellMar>
      </w:tblPr>
      <w:tblGrid>
        <w:gridCol w:w="4926"/>
        <w:gridCol w:w="4927"/>
      </w:tblGrid>
      <w:tr>
        <w:tblPrEx>
          <w:tblCellMar>
            <w:top w:w="0" w:type="dxa"/>
            <w:left w:w="0" w:type="dxa"/>
            <w:bottom w:w="0" w:type="dxa"/>
            <w:right w:w="0" w:type="dxa"/>
          </w:tblCellMar>
        </w:tblPrEx>
        <w:trPr>
          <w:trHeight w:val="340" w:hRule="atLeast"/>
        </w:trPr>
        <w:tc>
          <w:tcPr>
            <w:tcW w:w="426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pStyle w:val="8"/>
              <w:spacing w:before="0" w:beforeAutospacing="0" w:after="0" w:afterAutospacing="0" w:line="276" w:lineRule="auto"/>
              <w:jc w:val="center"/>
              <w:rPr>
                <w:rFonts w:ascii="Times New Roman" w:hAnsi="Times New Roman" w:cs="Times New Roman"/>
              </w:rPr>
            </w:pPr>
            <w:r>
              <w:rPr>
                <w:rFonts w:ascii="Times New Roman" w:hAnsi="Times New Roman" w:cs="Times New Roman"/>
                <w:sz w:val="18"/>
                <w:szCs w:val="18"/>
              </w:rPr>
              <w:t>项目</w:t>
            </w:r>
          </w:p>
        </w:tc>
        <w:tc>
          <w:tcPr>
            <w:tcW w:w="4264"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pStyle w:val="8"/>
              <w:spacing w:before="0" w:beforeAutospacing="0" w:after="0" w:afterAutospacing="0" w:line="276" w:lineRule="auto"/>
              <w:jc w:val="center"/>
              <w:rPr>
                <w:rFonts w:ascii="Times New Roman" w:hAnsi="Times New Roman" w:cs="Times New Roman"/>
              </w:rPr>
            </w:pPr>
            <w:r>
              <w:rPr>
                <w:rFonts w:ascii="Times New Roman" w:hAnsi="Times New Roman" w:cs="Times New Roman"/>
                <w:sz w:val="18"/>
                <w:szCs w:val="18"/>
              </w:rPr>
              <w:t>确定组合的依据</w:t>
            </w:r>
          </w:p>
        </w:tc>
      </w:tr>
      <w:tr>
        <w:tblPrEx>
          <w:tblCellMar>
            <w:top w:w="0" w:type="dxa"/>
            <w:left w:w="0" w:type="dxa"/>
            <w:bottom w:w="0" w:type="dxa"/>
            <w:right w:w="0" w:type="dxa"/>
          </w:tblCellMar>
        </w:tblPrEx>
        <w:trPr>
          <w:trHeight w:val="340" w:hRule="atLeast"/>
        </w:trPr>
        <w:tc>
          <w:tcPr>
            <w:tcW w:w="4264"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pStyle w:val="8"/>
              <w:spacing w:before="0" w:beforeAutospacing="0" w:after="0" w:afterAutospacing="0" w:line="276" w:lineRule="auto"/>
              <w:jc w:val="both"/>
              <w:rPr>
                <w:rFonts w:ascii="Times New Roman" w:hAnsi="Times New Roman" w:cs="Times New Roman"/>
              </w:rPr>
            </w:pPr>
            <w:r>
              <w:rPr>
                <w:rFonts w:ascii="Times New Roman" w:hAnsi="Times New Roman" w:cs="Times New Roman"/>
                <w:sz w:val="18"/>
                <w:szCs w:val="18"/>
              </w:rPr>
              <w:t>应收账款：</w:t>
            </w:r>
          </w:p>
        </w:tc>
        <w:tc>
          <w:tcPr>
            <w:tcW w:w="4264"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pStyle w:val="8"/>
              <w:spacing w:before="0" w:beforeAutospacing="0" w:after="0" w:afterAutospacing="0" w:line="276" w:lineRule="auto"/>
              <w:jc w:val="both"/>
              <w:rPr>
                <w:rFonts w:ascii="Times New Roman" w:hAnsi="Times New Roman" w:cs="Times New Roman"/>
              </w:rPr>
            </w:pPr>
            <w:r>
              <w:rPr>
                <w:rFonts w:ascii="Times New Roman" w:hAnsi="Times New Roman" w:cs="Times New Roman"/>
                <w:sz w:val="18"/>
                <w:szCs w:val="18"/>
              </w:rPr>
              <w:t> </w:t>
            </w:r>
          </w:p>
        </w:tc>
      </w:tr>
      <w:tr>
        <w:tblPrEx>
          <w:tblCellMar>
            <w:top w:w="0" w:type="dxa"/>
            <w:left w:w="0" w:type="dxa"/>
            <w:bottom w:w="0" w:type="dxa"/>
            <w:right w:w="0" w:type="dxa"/>
          </w:tblCellMar>
        </w:tblPrEx>
        <w:trPr>
          <w:trHeight w:val="340" w:hRule="atLeast"/>
        </w:trPr>
        <w:tc>
          <w:tcPr>
            <w:tcW w:w="4264"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pStyle w:val="8"/>
              <w:spacing w:before="0" w:beforeAutospacing="0" w:after="0" w:afterAutospacing="0" w:line="276" w:lineRule="auto"/>
              <w:jc w:val="both"/>
              <w:rPr>
                <w:rFonts w:ascii="Times New Roman" w:hAnsi="Times New Roman" w:cs="Times New Roman"/>
              </w:rPr>
            </w:pPr>
            <w:r>
              <w:rPr>
                <w:rFonts w:ascii="Times New Roman" w:hAnsi="Times New Roman" w:cs="Times New Roman"/>
                <w:sz w:val="18"/>
                <w:szCs w:val="18"/>
              </w:rPr>
              <w:t>组合1：应收合并范围内关联方款项组合</w:t>
            </w:r>
          </w:p>
        </w:tc>
        <w:tc>
          <w:tcPr>
            <w:tcW w:w="4264"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pStyle w:val="8"/>
              <w:spacing w:before="0" w:beforeAutospacing="0" w:after="0" w:afterAutospacing="0" w:line="276" w:lineRule="auto"/>
              <w:jc w:val="both"/>
              <w:rPr>
                <w:rFonts w:ascii="Times New Roman" w:hAnsi="Times New Roman" w:cs="Times New Roman"/>
              </w:rPr>
            </w:pPr>
            <w:r>
              <w:rPr>
                <w:rFonts w:ascii="Times New Roman" w:hAnsi="Times New Roman" w:cs="Times New Roman"/>
                <w:sz w:val="18"/>
                <w:szCs w:val="18"/>
              </w:rPr>
              <w:t>合并范围内各家单位之间的往来款项</w:t>
            </w:r>
          </w:p>
        </w:tc>
      </w:tr>
      <w:tr>
        <w:tblPrEx>
          <w:tblCellMar>
            <w:top w:w="0" w:type="dxa"/>
            <w:left w:w="0" w:type="dxa"/>
            <w:bottom w:w="0" w:type="dxa"/>
            <w:right w:w="0" w:type="dxa"/>
          </w:tblCellMar>
        </w:tblPrEx>
        <w:trPr>
          <w:trHeight w:val="340" w:hRule="atLeast"/>
        </w:trPr>
        <w:tc>
          <w:tcPr>
            <w:tcW w:w="4264"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pStyle w:val="8"/>
              <w:spacing w:before="0" w:beforeAutospacing="0" w:after="0" w:afterAutospacing="0" w:line="276" w:lineRule="auto"/>
              <w:jc w:val="both"/>
              <w:rPr>
                <w:rFonts w:ascii="Times New Roman" w:hAnsi="Times New Roman" w:cs="Times New Roman"/>
              </w:rPr>
            </w:pPr>
            <w:r>
              <w:rPr>
                <w:rFonts w:ascii="Times New Roman" w:hAnsi="Times New Roman" w:cs="Times New Roman"/>
                <w:sz w:val="18"/>
                <w:szCs w:val="18"/>
              </w:rPr>
              <w:t>组合2：账龄组合</w:t>
            </w:r>
          </w:p>
        </w:tc>
        <w:tc>
          <w:tcPr>
            <w:tcW w:w="4264"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pStyle w:val="8"/>
              <w:spacing w:before="0" w:beforeAutospacing="0" w:after="0" w:afterAutospacing="0" w:line="276" w:lineRule="auto"/>
              <w:jc w:val="both"/>
              <w:rPr>
                <w:rFonts w:ascii="Times New Roman" w:hAnsi="Times New Roman" w:cs="Times New Roman"/>
              </w:rPr>
            </w:pPr>
            <w:r>
              <w:rPr>
                <w:rFonts w:ascii="Times New Roman" w:hAnsi="Times New Roman" w:cs="Times New Roman"/>
                <w:sz w:val="18"/>
                <w:szCs w:val="18"/>
              </w:rPr>
              <w:t>本组合以应收款项的账龄作为信用风险特征</w:t>
            </w:r>
          </w:p>
        </w:tc>
      </w:tr>
      <w:tr>
        <w:tblPrEx>
          <w:tblCellMar>
            <w:top w:w="0" w:type="dxa"/>
            <w:left w:w="0" w:type="dxa"/>
            <w:bottom w:w="0" w:type="dxa"/>
            <w:right w:w="0" w:type="dxa"/>
          </w:tblCellMar>
        </w:tblPrEx>
        <w:trPr>
          <w:trHeight w:val="340" w:hRule="atLeast"/>
        </w:trPr>
        <w:tc>
          <w:tcPr>
            <w:tcW w:w="4264"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pStyle w:val="8"/>
              <w:spacing w:before="0" w:beforeAutospacing="0" w:after="0" w:afterAutospacing="0" w:line="276" w:lineRule="auto"/>
              <w:rPr>
                <w:rFonts w:ascii="Times New Roman" w:hAnsi="Times New Roman" w:cs="Times New Roman"/>
              </w:rPr>
            </w:pPr>
            <w:r>
              <w:rPr>
                <w:rFonts w:ascii="Times New Roman" w:hAnsi="Times New Roman" w:cs="Times New Roman"/>
                <w:sz w:val="18"/>
                <w:szCs w:val="18"/>
              </w:rPr>
              <w:t>合同资产：</w:t>
            </w:r>
          </w:p>
        </w:tc>
        <w:tc>
          <w:tcPr>
            <w:tcW w:w="4264"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pStyle w:val="8"/>
              <w:spacing w:before="0" w:beforeAutospacing="0" w:after="0" w:afterAutospacing="0" w:line="276" w:lineRule="auto"/>
              <w:jc w:val="both"/>
              <w:rPr>
                <w:rFonts w:ascii="Times New Roman" w:hAnsi="Times New Roman" w:cs="Times New Roman"/>
              </w:rPr>
            </w:pPr>
            <w:r>
              <w:rPr>
                <w:rFonts w:ascii="Times New Roman" w:hAnsi="Times New Roman" w:cs="Times New Roman"/>
                <w:sz w:val="18"/>
                <w:szCs w:val="18"/>
              </w:rPr>
              <w:t> </w:t>
            </w:r>
          </w:p>
        </w:tc>
      </w:tr>
      <w:tr>
        <w:tblPrEx>
          <w:tblCellMar>
            <w:top w:w="0" w:type="dxa"/>
            <w:left w:w="0" w:type="dxa"/>
            <w:bottom w:w="0" w:type="dxa"/>
            <w:right w:w="0" w:type="dxa"/>
          </w:tblCellMar>
        </w:tblPrEx>
        <w:trPr>
          <w:trHeight w:val="340" w:hRule="atLeast"/>
        </w:trPr>
        <w:tc>
          <w:tcPr>
            <w:tcW w:w="4264"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pStyle w:val="8"/>
              <w:spacing w:before="0" w:beforeAutospacing="0" w:after="0" w:afterAutospacing="0" w:line="276" w:lineRule="auto"/>
              <w:jc w:val="both"/>
              <w:rPr>
                <w:rFonts w:ascii="Times New Roman" w:hAnsi="Times New Roman" w:cs="Times New Roman"/>
              </w:rPr>
            </w:pPr>
            <w:r>
              <w:rPr>
                <w:rFonts w:ascii="Times New Roman" w:hAnsi="Times New Roman" w:cs="Times New Roman"/>
                <w:sz w:val="18"/>
                <w:szCs w:val="18"/>
              </w:rPr>
              <w:t>组合1：账龄组合</w:t>
            </w:r>
          </w:p>
        </w:tc>
        <w:tc>
          <w:tcPr>
            <w:tcW w:w="4264"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pStyle w:val="8"/>
              <w:spacing w:before="0" w:beforeAutospacing="0" w:after="0" w:afterAutospacing="0" w:line="276" w:lineRule="auto"/>
              <w:jc w:val="both"/>
              <w:rPr>
                <w:rFonts w:ascii="Times New Roman" w:hAnsi="Times New Roman" w:cs="Times New Roman"/>
              </w:rPr>
            </w:pPr>
            <w:r>
              <w:rPr>
                <w:rFonts w:ascii="Times New Roman" w:hAnsi="Times New Roman" w:cs="Times New Roman"/>
                <w:sz w:val="18"/>
                <w:szCs w:val="18"/>
              </w:rPr>
              <w:t>本组合以应收款项的账龄作为信用风险特征</w:t>
            </w:r>
          </w:p>
        </w:tc>
      </w:tr>
    </w:tbl>
    <w:p>
      <w:pPr>
        <w:rPr>
          <w:rFonts w:ascii="Times New Roman" w:hAnsi="Times New Roman" w:cs="Times New Roman"/>
        </w:rPr>
      </w:pPr>
    </w:p>
    <w:p>
      <w:pPr>
        <w:pStyle w:val="3"/>
        <w:spacing w:line="280" w:lineRule="exact"/>
        <w:jc w:val="left"/>
        <w:rPr>
          <w:rFonts w:ascii="Times New Roman" w:hAnsi="Times New Roman" w:cs="Times New Roman"/>
          <w:b/>
          <w:bCs/>
        </w:rPr>
      </w:pPr>
      <w:bookmarkStart w:id="131" w:name="_Toc989020"/>
      <w:r>
        <w:rPr>
          <w:rFonts w:ascii="Times New Roman" w:hAnsi="Times New Roman" w:cs="Times New Roman"/>
          <w:b/>
          <w:bCs/>
        </w:rPr>
        <w:t>13、应收款项融资</w:t>
      </w:r>
      <w:bookmarkEnd w:id="131"/>
    </w:p>
    <w:p>
      <w:pPr>
        <w:pStyle w:val="8"/>
        <w:spacing w:before="0" w:beforeAutospacing="0" w:after="0" w:afterAutospacing="0" w:line="276" w:lineRule="auto"/>
        <w:ind w:firstLine="420"/>
        <w:rPr>
          <w:rFonts w:ascii="Times New Roman" w:hAnsi="Times New Roman" w:cs="Times New Roman"/>
        </w:rPr>
      </w:pPr>
      <w:r>
        <w:rPr>
          <w:rFonts w:ascii="Times New Roman" w:hAnsi="Times New Roman" w:cs="Times New Roman"/>
          <w:sz w:val="18"/>
          <w:szCs w:val="18"/>
        </w:rPr>
        <w:t>分类为以公允价值计量且其变动计入其他综合收益的应收票据和应收账款，自初始确认日起到期期限在一年内（含一年）的，列示为应收款项融资；自初始确认日起到期期限在一年以上的，列示为其他债权投资。其相关会计政策参见本附注五、10“金融工具”。</w:t>
      </w:r>
    </w:p>
    <w:p>
      <w:pPr>
        <w:pStyle w:val="8"/>
        <w:spacing w:before="0" w:beforeAutospacing="0" w:after="0" w:afterAutospacing="0" w:line="276" w:lineRule="auto"/>
        <w:ind w:firstLine="420"/>
        <w:rPr>
          <w:rFonts w:ascii="Times New Roman" w:hAnsi="Times New Roman" w:cs="Times New Roman"/>
        </w:rPr>
      </w:pPr>
      <w:r>
        <w:rPr>
          <w:rFonts w:ascii="Times New Roman" w:hAnsi="Times New Roman" w:cs="Times New Roman"/>
          <w:sz w:val="18"/>
          <w:szCs w:val="18"/>
        </w:rPr>
        <w:t>除了单项评估信用风险的应收款项融资外，基于其信用风险特征，将其划分为不同组合：</w:t>
      </w:r>
    </w:p>
    <w:tbl>
      <w:tblPr>
        <w:tblStyle w:val="9"/>
        <w:tblW w:w="5000" w:type="pct"/>
        <w:tblInd w:w="0" w:type="dxa"/>
        <w:tblLayout w:type="autofit"/>
        <w:tblCellMar>
          <w:top w:w="0" w:type="dxa"/>
          <w:left w:w="0" w:type="dxa"/>
          <w:bottom w:w="0" w:type="dxa"/>
          <w:right w:w="0" w:type="dxa"/>
        </w:tblCellMar>
      </w:tblPr>
      <w:tblGrid>
        <w:gridCol w:w="4495"/>
        <w:gridCol w:w="5358"/>
      </w:tblGrid>
      <w:tr>
        <w:tblPrEx>
          <w:tblCellMar>
            <w:top w:w="0" w:type="dxa"/>
            <w:left w:w="0" w:type="dxa"/>
            <w:bottom w:w="0" w:type="dxa"/>
            <w:right w:w="0" w:type="dxa"/>
          </w:tblCellMar>
        </w:tblPrEx>
        <w:trPr>
          <w:trHeight w:val="340" w:hRule="atLeast"/>
        </w:trPr>
        <w:tc>
          <w:tcPr>
            <w:tcW w:w="2281"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8"/>
              <w:spacing w:before="0" w:beforeAutospacing="0" w:after="0" w:afterAutospacing="0"/>
              <w:jc w:val="center"/>
              <w:rPr>
                <w:rFonts w:ascii="Times New Roman" w:hAnsi="Times New Roman" w:cs="Times New Roman"/>
              </w:rPr>
            </w:pPr>
            <w:r>
              <w:rPr>
                <w:rFonts w:ascii="Times New Roman" w:hAnsi="Times New Roman" w:cs="Times New Roman"/>
                <w:sz w:val="18"/>
                <w:szCs w:val="18"/>
              </w:rPr>
              <w:t>项目</w:t>
            </w:r>
          </w:p>
        </w:tc>
        <w:tc>
          <w:tcPr>
            <w:tcW w:w="2719" w:type="pc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pStyle w:val="8"/>
              <w:spacing w:before="0" w:beforeAutospacing="0" w:after="0" w:afterAutospacing="0"/>
              <w:jc w:val="center"/>
              <w:rPr>
                <w:rFonts w:ascii="Times New Roman" w:hAnsi="Times New Roman" w:cs="Times New Roman"/>
              </w:rPr>
            </w:pPr>
            <w:r>
              <w:rPr>
                <w:rFonts w:ascii="Times New Roman" w:hAnsi="Times New Roman" w:cs="Times New Roman"/>
                <w:sz w:val="18"/>
                <w:szCs w:val="18"/>
              </w:rPr>
              <w:t>确定组合的依据</w:t>
            </w:r>
          </w:p>
        </w:tc>
      </w:tr>
      <w:tr>
        <w:tblPrEx>
          <w:tblCellMar>
            <w:top w:w="0" w:type="dxa"/>
            <w:left w:w="0" w:type="dxa"/>
            <w:bottom w:w="0" w:type="dxa"/>
            <w:right w:w="0" w:type="dxa"/>
          </w:tblCellMar>
        </w:tblPrEx>
        <w:trPr>
          <w:trHeight w:val="340" w:hRule="atLeast"/>
        </w:trPr>
        <w:tc>
          <w:tcPr>
            <w:tcW w:w="2281"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pStyle w:val="8"/>
              <w:spacing w:before="0" w:beforeAutospacing="0" w:after="0" w:afterAutospacing="0"/>
              <w:rPr>
                <w:rFonts w:ascii="Times New Roman" w:hAnsi="Times New Roman" w:cs="Times New Roman"/>
              </w:rPr>
            </w:pPr>
            <w:r>
              <w:rPr>
                <w:rFonts w:ascii="Times New Roman" w:hAnsi="Times New Roman" w:cs="Times New Roman"/>
                <w:sz w:val="18"/>
                <w:szCs w:val="18"/>
              </w:rPr>
              <w:t>组合1：应收合并范围内关联方款项组合</w:t>
            </w:r>
          </w:p>
        </w:tc>
        <w:tc>
          <w:tcPr>
            <w:tcW w:w="2719" w:type="pct"/>
            <w:tcBorders>
              <w:top w:val="nil"/>
              <w:left w:val="nil"/>
              <w:bottom w:val="single" w:color="auto" w:sz="8" w:space="0"/>
              <w:right w:val="single" w:color="auto" w:sz="8" w:space="0"/>
            </w:tcBorders>
            <w:noWrap/>
            <w:tcMar>
              <w:top w:w="0" w:type="dxa"/>
              <w:left w:w="108" w:type="dxa"/>
              <w:bottom w:w="0" w:type="dxa"/>
              <w:right w:w="108" w:type="dxa"/>
            </w:tcMar>
            <w:vAlign w:val="center"/>
          </w:tcPr>
          <w:p>
            <w:pPr>
              <w:pStyle w:val="8"/>
              <w:spacing w:before="0" w:beforeAutospacing="0" w:after="0" w:afterAutospacing="0"/>
              <w:rPr>
                <w:rFonts w:ascii="Times New Roman" w:hAnsi="Times New Roman" w:cs="Times New Roman"/>
              </w:rPr>
            </w:pPr>
            <w:r>
              <w:rPr>
                <w:rFonts w:ascii="Times New Roman" w:hAnsi="Times New Roman" w:cs="Times New Roman"/>
                <w:sz w:val="18"/>
                <w:szCs w:val="18"/>
              </w:rPr>
              <w:t>合并范围内各家单位之间的往来款项</w:t>
            </w:r>
          </w:p>
        </w:tc>
      </w:tr>
      <w:tr>
        <w:tblPrEx>
          <w:tblCellMar>
            <w:top w:w="0" w:type="dxa"/>
            <w:left w:w="0" w:type="dxa"/>
            <w:bottom w:w="0" w:type="dxa"/>
            <w:right w:w="0" w:type="dxa"/>
          </w:tblCellMar>
        </w:tblPrEx>
        <w:trPr>
          <w:trHeight w:val="340" w:hRule="atLeast"/>
        </w:trPr>
        <w:tc>
          <w:tcPr>
            <w:tcW w:w="2281"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pStyle w:val="8"/>
              <w:spacing w:before="0" w:beforeAutospacing="0" w:after="0" w:afterAutospacing="0"/>
              <w:rPr>
                <w:rFonts w:ascii="Times New Roman" w:hAnsi="Times New Roman" w:cs="Times New Roman"/>
              </w:rPr>
            </w:pPr>
            <w:r>
              <w:rPr>
                <w:rFonts w:ascii="Times New Roman" w:hAnsi="Times New Roman" w:cs="Times New Roman"/>
                <w:sz w:val="18"/>
                <w:szCs w:val="18"/>
              </w:rPr>
              <w:t>组合2：账龄组合</w:t>
            </w:r>
          </w:p>
        </w:tc>
        <w:tc>
          <w:tcPr>
            <w:tcW w:w="2719" w:type="pct"/>
            <w:tcBorders>
              <w:top w:val="nil"/>
              <w:left w:val="nil"/>
              <w:bottom w:val="single" w:color="auto" w:sz="8" w:space="0"/>
              <w:right w:val="single" w:color="auto" w:sz="8" w:space="0"/>
            </w:tcBorders>
            <w:noWrap/>
            <w:tcMar>
              <w:top w:w="0" w:type="dxa"/>
              <w:left w:w="108" w:type="dxa"/>
              <w:bottom w:w="0" w:type="dxa"/>
              <w:right w:w="108" w:type="dxa"/>
            </w:tcMar>
            <w:vAlign w:val="center"/>
          </w:tcPr>
          <w:p>
            <w:pPr>
              <w:pStyle w:val="8"/>
              <w:spacing w:before="0" w:beforeAutospacing="0" w:after="0" w:afterAutospacing="0"/>
              <w:rPr>
                <w:rFonts w:ascii="Times New Roman" w:hAnsi="Times New Roman" w:cs="Times New Roman"/>
              </w:rPr>
            </w:pPr>
            <w:r>
              <w:rPr>
                <w:rFonts w:ascii="Times New Roman" w:hAnsi="Times New Roman" w:cs="Times New Roman"/>
                <w:sz w:val="18"/>
                <w:szCs w:val="18"/>
              </w:rPr>
              <w:t>本组合以应收款项的账龄作为信用风险特征</w:t>
            </w:r>
          </w:p>
        </w:tc>
      </w:tr>
    </w:tbl>
    <w:p>
      <w:pPr>
        <w:pStyle w:val="8"/>
        <w:spacing w:before="0" w:beforeAutospacing="0" w:after="0" w:afterAutospacing="0"/>
        <w:rPr>
          <w:rFonts w:ascii="Times New Roman" w:hAnsi="Times New Roman" w:eastAsia="等线" w:cs="Times New Roman"/>
          <w:sz w:val="21"/>
          <w:szCs w:val="21"/>
        </w:rPr>
      </w:pPr>
      <w:r>
        <w:rPr>
          <w:rFonts w:ascii="Times New Roman" w:hAnsi="Times New Roman" w:eastAsia="等线" w:cs="Times New Roman"/>
          <w:sz w:val="21"/>
          <w:szCs w:val="21"/>
        </w:rPr>
        <w:t> </w:t>
      </w:r>
    </w:p>
    <w:p>
      <w:pPr>
        <w:pStyle w:val="3"/>
        <w:spacing w:line="280" w:lineRule="exact"/>
        <w:jc w:val="left"/>
        <w:rPr>
          <w:rFonts w:ascii="Times New Roman" w:hAnsi="Times New Roman" w:cs="Times New Roman"/>
          <w:b/>
          <w:bCs/>
        </w:rPr>
      </w:pPr>
      <w:bookmarkStart w:id="132" w:name="_Toc989021"/>
      <w:r>
        <w:rPr>
          <w:rFonts w:ascii="Times New Roman" w:hAnsi="Times New Roman" w:cs="Times New Roman"/>
          <w:b/>
          <w:bCs/>
        </w:rPr>
        <w:t>14、其他应收款</w:t>
      </w:r>
      <w:bookmarkEnd w:id="132"/>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其他应收款的预期信用损失的确定方法及会计处理方法</w:t>
      </w:r>
    </w:p>
    <w:p>
      <w:pPr>
        <w:pStyle w:val="8"/>
        <w:spacing w:before="0" w:beforeAutospacing="0" w:after="0" w:afterAutospacing="0" w:line="276" w:lineRule="auto"/>
        <w:ind w:firstLine="420"/>
        <w:rPr>
          <w:rFonts w:ascii="Times New Roman" w:hAnsi="Times New Roman" w:cs="Times New Roman"/>
        </w:rPr>
      </w:pPr>
      <w:r>
        <w:rPr>
          <w:rFonts w:ascii="Times New Roman" w:hAnsi="Times New Roman" w:cs="Times New Roman"/>
          <w:sz w:val="18"/>
          <w:szCs w:val="18"/>
        </w:rPr>
        <w:t>本集团依据其他应收款信用风险自初始确认后是否已经显著增加，采用相当于未来12个月内、或整个存续期的预期信用损失的金额计量减值损失。除了单项评估信用风险的其他应收款外，基于其信用风险特征，将其划分为不同组合：</w:t>
      </w:r>
    </w:p>
    <w:tbl>
      <w:tblPr>
        <w:tblStyle w:val="9"/>
        <w:tblW w:w="5000" w:type="pct"/>
        <w:tblInd w:w="0" w:type="dxa"/>
        <w:tblLayout w:type="autofit"/>
        <w:tblCellMar>
          <w:top w:w="0" w:type="dxa"/>
          <w:left w:w="0" w:type="dxa"/>
          <w:bottom w:w="0" w:type="dxa"/>
          <w:right w:w="0" w:type="dxa"/>
        </w:tblCellMar>
      </w:tblPr>
      <w:tblGrid>
        <w:gridCol w:w="1754"/>
        <w:gridCol w:w="8099"/>
      </w:tblGrid>
      <w:tr>
        <w:tblPrEx>
          <w:tblCellMar>
            <w:top w:w="0" w:type="dxa"/>
            <w:left w:w="0" w:type="dxa"/>
            <w:bottom w:w="0" w:type="dxa"/>
            <w:right w:w="0" w:type="dxa"/>
          </w:tblCellMar>
        </w:tblPrEx>
        <w:trPr>
          <w:trHeight w:val="378" w:hRule="atLeast"/>
        </w:trPr>
        <w:tc>
          <w:tcPr>
            <w:tcW w:w="1227"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8"/>
              <w:spacing w:before="0" w:beforeAutospacing="0" w:after="0" w:afterAutospacing="0"/>
              <w:jc w:val="center"/>
              <w:rPr>
                <w:rFonts w:ascii="Times New Roman" w:hAnsi="Times New Roman" w:cs="Times New Roman"/>
              </w:rPr>
            </w:pPr>
            <w:r>
              <w:rPr>
                <w:rFonts w:ascii="Times New Roman" w:hAnsi="Times New Roman" w:cs="Times New Roman"/>
                <w:sz w:val="18"/>
                <w:szCs w:val="18"/>
              </w:rPr>
              <w:t>项目</w:t>
            </w:r>
          </w:p>
        </w:tc>
        <w:tc>
          <w:tcPr>
            <w:tcW w:w="3773" w:type="pc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pStyle w:val="8"/>
              <w:spacing w:before="0" w:beforeAutospacing="0" w:after="0" w:afterAutospacing="0"/>
              <w:ind w:firstLine="420"/>
              <w:jc w:val="center"/>
              <w:rPr>
                <w:rFonts w:ascii="Times New Roman" w:hAnsi="Times New Roman" w:cs="Times New Roman"/>
              </w:rPr>
            </w:pPr>
            <w:r>
              <w:rPr>
                <w:rFonts w:ascii="Times New Roman" w:hAnsi="Times New Roman" w:cs="Times New Roman"/>
                <w:sz w:val="18"/>
                <w:szCs w:val="18"/>
              </w:rPr>
              <w:t>确定组合的依据</w:t>
            </w:r>
          </w:p>
        </w:tc>
      </w:tr>
      <w:tr>
        <w:tblPrEx>
          <w:tblCellMar>
            <w:top w:w="0" w:type="dxa"/>
            <w:left w:w="0" w:type="dxa"/>
            <w:bottom w:w="0" w:type="dxa"/>
            <w:right w:w="0" w:type="dxa"/>
          </w:tblCellMar>
        </w:tblPrEx>
        <w:trPr>
          <w:trHeight w:val="300" w:hRule="atLeast"/>
        </w:trPr>
        <w:tc>
          <w:tcPr>
            <w:tcW w:w="1227"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pStyle w:val="8"/>
              <w:spacing w:before="0" w:beforeAutospacing="0" w:after="0" w:afterAutospacing="0"/>
              <w:rPr>
                <w:rFonts w:ascii="Times New Roman" w:hAnsi="Times New Roman" w:cs="Times New Roman"/>
              </w:rPr>
            </w:pPr>
            <w:r>
              <w:rPr>
                <w:rFonts w:ascii="Times New Roman" w:hAnsi="Times New Roman" w:cs="Times New Roman"/>
                <w:sz w:val="18"/>
                <w:szCs w:val="18"/>
              </w:rPr>
              <w:t>组合1：应收合并范围内关联方款项组合</w:t>
            </w:r>
          </w:p>
        </w:tc>
        <w:tc>
          <w:tcPr>
            <w:tcW w:w="3773" w:type="pct"/>
            <w:tcBorders>
              <w:top w:val="nil"/>
              <w:left w:val="nil"/>
              <w:bottom w:val="single" w:color="auto" w:sz="8" w:space="0"/>
              <w:right w:val="single" w:color="auto" w:sz="8" w:space="0"/>
            </w:tcBorders>
            <w:noWrap/>
            <w:tcMar>
              <w:top w:w="0" w:type="dxa"/>
              <w:left w:w="108" w:type="dxa"/>
              <w:bottom w:w="0" w:type="dxa"/>
              <w:right w:w="108" w:type="dxa"/>
            </w:tcMar>
            <w:vAlign w:val="center"/>
          </w:tcPr>
          <w:p>
            <w:pPr>
              <w:pStyle w:val="8"/>
              <w:spacing w:before="0" w:beforeAutospacing="0" w:after="0" w:afterAutospacing="0"/>
              <w:rPr>
                <w:rFonts w:ascii="Times New Roman" w:hAnsi="Times New Roman" w:cs="Times New Roman"/>
              </w:rPr>
            </w:pPr>
            <w:r>
              <w:rPr>
                <w:rFonts w:ascii="Times New Roman" w:hAnsi="Times New Roman" w:cs="Times New Roman"/>
                <w:sz w:val="18"/>
                <w:szCs w:val="18"/>
              </w:rPr>
              <w:t>合并范围内各家单位之间的往来款项</w:t>
            </w:r>
          </w:p>
        </w:tc>
      </w:tr>
      <w:tr>
        <w:tblPrEx>
          <w:tblCellMar>
            <w:top w:w="0" w:type="dxa"/>
            <w:left w:w="0" w:type="dxa"/>
            <w:bottom w:w="0" w:type="dxa"/>
            <w:right w:w="0" w:type="dxa"/>
          </w:tblCellMar>
        </w:tblPrEx>
        <w:trPr>
          <w:trHeight w:val="300" w:hRule="atLeast"/>
        </w:trPr>
        <w:tc>
          <w:tcPr>
            <w:tcW w:w="1227"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pStyle w:val="8"/>
              <w:spacing w:before="0" w:beforeAutospacing="0" w:after="0" w:afterAutospacing="0"/>
              <w:rPr>
                <w:rFonts w:ascii="Times New Roman" w:hAnsi="Times New Roman" w:cs="Times New Roman"/>
              </w:rPr>
            </w:pPr>
            <w:r>
              <w:rPr>
                <w:rFonts w:ascii="Times New Roman" w:hAnsi="Times New Roman" w:cs="Times New Roman"/>
                <w:sz w:val="18"/>
                <w:szCs w:val="18"/>
              </w:rPr>
              <w:t>组合2：账龄组合</w:t>
            </w:r>
          </w:p>
        </w:tc>
        <w:tc>
          <w:tcPr>
            <w:tcW w:w="3773" w:type="pct"/>
            <w:tcBorders>
              <w:top w:val="nil"/>
              <w:left w:val="nil"/>
              <w:bottom w:val="single" w:color="auto" w:sz="8" w:space="0"/>
              <w:right w:val="single" w:color="auto" w:sz="8" w:space="0"/>
            </w:tcBorders>
            <w:noWrap/>
            <w:tcMar>
              <w:top w:w="0" w:type="dxa"/>
              <w:left w:w="108" w:type="dxa"/>
              <w:bottom w:w="0" w:type="dxa"/>
              <w:right w:w="108" w:type="dxa"/>
            </w:tcMar>
            <w:vAlign w:val="center"/>
          </w:tcPr>
          <w:p>
            <w:pPr>
              <w:pStyle w:val="8"/>
              <w:spacing w:before="0" w:beforeAutospacing="0" w:after="0" w:afterAutospacing="0"/>
              <w:rPr>
                <w:rFonts w:ascii="Times New Roman" w:hAnsi="Times New Roman" w:cs="Times New Roman"/>
              </w:rPr>
            </w:pPr>
            <w:r>
              <w:rPr>
                <w:rFonts w:ascii="Times New Roman" w:hAnsi="Times New Roman" w:cs="Times New Roman"/>
                <w:sz w:val="18"/>
                <w:szCs w:val="18"/>
              </w:rPr>
              <w:t>除上述组合外的其他组合，本组合以其他应收款的账龄作为信用风险特征。公司根据账龄段划分的具有类似信用风险特征的其他应收款组合的预期损失率为基础，结合现时情况分析法确定坏账准备计提的比例</w:t>
            </w:r>
          </w:p>
        </w:tc>
      </w:tr>
    </w:tbl>
    <w:p>
      <w:pPr>
        <w:pStyle w:val="8"/>
        <w:spacing w:before="0" w:beforeAutospacing="0" w:after="0" w:afterAutospacing="0"/>
        <w:rPr>
          <w:rFonts w:ascii="Times New Roman" w:hAnsi="Times New Roman" w:eastAsia="等线" w:cs="Times New Roman"/>
          <w:sz w:val="21"/>
          <w:szCs w:val="21"/>
        </w:rPr>
      </w:pPr>
      <w:r>
        <w:rPr>
          <w:rFonts w:ascii="Times New Roman" w:hAnsi="Times New Roman" w:eastAsia="等线" w:cs="Times New Roman"/>
          <w:sz w:val="21"/>
          <w:szCs w:val="21"/>
        </w:rPr>
        <w:t> </w:t>
      </w:r>
    </w:p>
    <w:p>
      <w:pPr>
        <w:pStyle w:val="3"/>
        <w:spacing w:line="280" w:lineRule="exact"/>
        <w:jc w:val="left"/>
        <w:rPr>
          <w:rFonts w:ascii="Times New Roman" w:hAnsi="Times New Roman" w:cs="Times New Roman"/>
          <w:b/>
          <w:bCs/>
        </w:rPr>
      </w:pPr>
      <w:bookmarkStart w:id="133" w:name="_Toc989022"/>
      <w:r>
        <w:rPr>
          <w:rFonts w:ascii="Times New Roman" w:hAnsi="Times New Roman" w:cs="Times New Roman"/>
          <w:b/>
          <w:bCs/>
        </w:rPr>
        <w:t>15、存货</w:t>
      </w:r>
      <w:bookmarkEnd w:id="133"/>
    </w:p>
    <w:p>
      <w:pPr>
        <w:pStyle w:val="8"/>
        <w:spacing w:before="0" w:beforeAutospacing="0" w:after="0" w:afterAutospacing="0" w:line="276" w:lineRule="auto"/>
        <w:ind w:firstLine="360"/>
        <w:rPr>
          <w:rFonts w:ascii="Times New Roman" w:hAnsi="Times New Roman" w:eastAsia="等线" w:cs="Times New Roman"/>
          <w:sz w:val="21"/>
          <w:szCs w:val="21"/>
        </w:rPr>
      </w:pPr>
      <w:r>
        <w:rPr>
          <w:rFonts w:ascii="Times New Roman" w:hAnsi="Times New Roman" w:cs="Times New Roman"/>
          <w:sz w:val="18"/>
          <w:szCs w:val="18"/>
        </w:rPr>
        <w:t>（</w:t>
      </w:r>
      <w:r>
        <w:rPr>
          <w:rFonts w:ascii="Times New Roman" w:hAnsi="Times New Roman" w:eastAsia="等线" w:cs="Times New Roman"/>
          <w:sz w:val="18"/>
          <w:szCs w:val="18"/>
        </w:rPr>
        <w:t>1</w:t>
      </w:r>
      <w:r>
        <w:rPr>
          <w:rFonts w:ascii="Times New Roman" w:hAnsi="Times New Roman" w:cs="Times New Roman"/>
          <w:sz w:val="18"/>
          <w:szCs w:val="18"/>
        </w:rPr>
        <w:t>）存货的分类</w:t>
      </w:r>
    </w:p>
    <w:p>
      <w:pPr>
        <w:pStyle w:val="8"/>
        <w:spacing w:before="0" w:beforeAutospacing="0" w:after="0" w:afterAutospacing="0" w:line="276" w:lineRule="auto"/>
        <w:ind w:firstLine="360"/>
        <w:rPr>
          <w:rFonts w:ascii="Times New Roman" w:hAnsi="Times New Roman" w:eastAsia="等线" w:cs="Times New Roman"/>
          <w:sz w:val="21"/>
          <w:szCs w:val="21"/>
        </w:rPr>
      </w:pPr>
      <w:r>
        <w:rPr>
          <w:rFonts w:ascii="Times New Roman" w:hAnsi="Times New Roman" w:cs="Times New Roman"/>
          <w:sz w:val="18"/>
          <w:szCs w:val="18"/>
        </w:rPr>
        <w:t>存货主要包括原材料、库存商品、在产品、消耗性生物资产、低值易耗品和包装物等，摊销期限不超过一年或一个营业周期的合同履约成本也列报为存货。</w:t>
      </w:r>
    </w:p>
    <w:p>
      <w:pPr>
        <w:pStyle w:val="8"/>
        <w:spacing w:before="0" w:beforeAutospacing="0" w:after="0" w:afterAutospacing="0" w:line="276" w:lineRule="auto"/>
        <w:ind w:firstLine="360"/>
        <w:rPr>
          <w:rFonts w:ascii="Times New Roman" w:hAnsi="Times New Roman" w:eastAsia="等线" w:cs="Times New Roman"/>
          <w:sz w:val="21"/>
          <w:szCs w:val="21"/>
        </w:rPr>
      </w:pPr>
      <w:r>
        <w:rPr>
          <w:rFonts w:ascii="Times New Roman" w:hAnsi="Times New Roman" w:cs="Times New Roman"/>
          <w:sz w:val="18"/>
          <w:szCs w:val="18"/>
        </w:rPr>
        <w:t>（</w:t>
      </w:r>
      <w:r>
        <w:rPr>
          <w:rFonts w:ascii="Times New Roman" w:hAnsi="Times New Roman" w:eastAsia="等线" w:cs="Times New Roman"/>
          <w:sz w:val="18"/>
          <w:szCs w:val="18"/>
        </w:rPr>
        <w:t>2</w:t>
      </w:r>
      <w:r>
        <w:rPr>
          <w:rFonts w:ascii="Times New Roman" w:hAnsi="Times New Roman" w:cs="Times New Roman"/>
          <w:sz w:val="18"/>
          <w:szCs w:val="18"/>
        </w:rPr>
        <w:t>）存货取得和发出的计价方法</w:t>
      </w:r>
    </w:p>
    <w:p>
      <w:pPr>
        <w:pStyle w:val="8"/>
        <w:spacing w:before="0" w:beforeAutospacing="0" w:after="0" w:afterAutospacing="0" w:line="276" w:lineRule="auto"/>
        <w:ind w:firstLine="360"/>
        <w:rPr>
          <w:rFonts w:ascii="Times New Roman" w:hAnsi="Times New Roman" w:eastAsia="等线" w:cs="Times New Roman"/>
          <w:sz w:val="21"/>
          <w:szCs w:val="21"/>
        </w:rPr>
      </w:pPr>
      <w:r>
        <w:rPr>
          <w:rFonts w:ascii="Times New Roman" w:hAnsi="Times New Roman" w:cs="Times New Roman"/>
          <w:sz w:val="18"/>
          <w:szCs w:val="18"/>
        </w:rPr>
        <w:t>存货在取得时按实际成本计价，存货成本包括采购成本、加工成本和其他成本。领用和发出时按加权平均法计价。</w:t>
      </w:r>
    </w:p>
    <w:p>
      <w:pPr>
        <w:pStyle w:val="8"/>
        <w:spacing w:before="0" w:beforeAutospacing="0" w:after="0" w:afterAutospacing="0" w:line="276" w:lineRule="auto"/>
        <w:ind w:firstLine="360"/>
        <w:rPr>
          <w:rFonts w:ascii="Times New Roman" w:hAnsi="Times New Roman" w:eastAsia="等线" w:cs="Times New Roman"/>
          <w:sz w:val="21"/>
          <w:szCs w:val="21"/>
        </w:rPr>
      </w:pPr>
      <w:r>
        <w:rPr>
          <w:rFonts w:ascii="Times New Roman" w:hAnsi="Times New Roman" w:cs="Times New Roman"/>
          <w:sz w:val="18"/>
          <w:szCs w:val="18"/>
        </w:rPr>
        <w:t>存货可变现净值的确认和跌价准备的计提方法</w:t>
      </w:r>
    </w:p>
    <w:p>
      <w:pPr>
        <w:pStyle w:val="8"/>
        <w:spacing w:before="0" w:beforeAutospacing="0" w:after="0" w:afterAutospacing="0" w:line="276" w:lineRule="auto"/>
        <w:ind w:firstLine="360"/>
        <w:rPr>
          <w:rFonts w:ascii="Times New Roman" w:hAnsi="Times New Roman" w:eastAsia="等线" w:cs="Times New Roman"/>
          <w:sz w:val="21"/>
          <w:szCs w:val="21"/>
        </w:rPr>
      </w:pPr>
      <w:r>
        <w:rPr>
          <w:rFonts w:ascii="Times New Roman" w:hAnsi="Times New Roman" w:cs="Times New Roman"/>
          <w:sz w:val="18"/>
          <w:szCs w:val="18"/>
        </w:rPr>
        <w:t>可变现净值是指在日常活动中，存货的估计售价减去至完工时估计将要发生的成本、估计的销售费用以及相关税费后的金额。在确定存货的可变现净值时，以取得的确凿证据为基础，同时考虑持有存货的目的以及资产负债表日后事项的影响。</w:t>
      </w:r>
    </w:p>
    <w:p>
      <w:pPr>
        <w:pStyle w:val="8"/>
        <w:spacing w:before="0" w:beforeAutospacing="0" w:after="0" w:afterAutospacing="0" w:line="276" w:lineRule="auto"/>
        <w:ind w:firstLine="360"/>
        <w:rPr>
          <w:rFonts w:ascii="Times New Roman" w:hAnsi="Times New Roman" w:eastAsia="等线" w:cs="Times New Roman"/>
          <w:sz w:val="21"/>
          <w:szCs w:val="21"/>
        </w:rPr>
      </w:pPr>
      <w:r>
        <w:rPr>
          <w:rFonts w:ascii="Times New Roman" w:hAnsi="Times New Roman" w:cs="Times New Roman"/>
          <w:sz w:val="18"/>
          <w:szCs w:val="18"/>
        </w:rPr>
        <w:t>在资产负债表日，存货按照成本与可变现净值孰低计量。当其可变现净值低于成本时，提取存货跌价准备。存货跌价准备通常按单个存货项目的成本高于其可变现净值的差额提取。对于数量繁多、单价较低的存货，按存货类别计提存货跌价准备；对在同一地区生产和销售的产品系列相关、具有相同或类似最终用途或目的，且难以与其他项目分开计量的存货，可合并计提存货跌价准备。</w:t>
      </w:r>
    </w:p>
    <w:p>
      <w:pPr>
        <w:pStyle w:val="8"/>
        <w:spacing w:before="0" w:beforeAutospacing="0" w:after="0" w:afterAutospacing="0" w:line="276" w:lineRule="auto"/>
        <w:ind w:firstLine="360"/>
        <w:rPr>
          <w:rFonts w:ascii="Times New Roman" w:hAnsi="Times New Roman" w:eastAsia="等线" w:cs="Times New Roman"/>
          <w:sz w:val="21"/>
          <w:szCs w:val="21"/>
        </w:rPr>
      </w:pPr>
      <w:r>
        <w:rPr>
          <w:rFonts w:ascii="Times New Roman" w:hAnsi="Times New Roman" w:cs="Times New Roman"/>
          <w:sz w:val="18"/>
          <w:szCs w:val="18"/>
        </w:rPr>
        <w:t>计提存货跌价准备后，如果以前减记存货价值的影响因素已经消失，导致存货的可变现净值高于其账面价值的，在原已计提的存货跌价准备金额内予以转回，转回的金额计入当期损益。</w:t>
      </w:r>
    </w:p>
    <w:p>
      <w:pPr>
        <w:pStyle w:val="8"/>
        <w:spacing w:before="0" w:beforeAutospacing="0" w:after="0" w:afterAutospacing="0" w:line="276" w:lineRule="auto"/>
        <w:ind w:firstLine="360"/>
        <w:rPr>
          <w:rFonts w:ascii="Times New Roman" w:hAnsi="Times New Roman" w:eastAsia="等线" w:cs="Times New Roman"/>
          <w:sz w:val="21"/>
          <w:szCs w:val="21"/>
        </w:rPr>
      </w:pPr>
      <w:r>
        <w:rPr>
          <w:rFonts w:ascii="Times New Roman" w:hAnsi="Times New Roman" w:cs="Times New Roman"/>
          <w:sz w:val="18"/>
          <w:szCs w:val="18"/>
        </w:rPr>
        <w:t>存货的盘存制度为永续盘存制。</w:t>
      </w:r>
    </w:p>
    <w:p>
      <w:pPr>
        <w:pStyle w:val="8"/>
        <w:spacing w:before="0" w:beforeAutospacing="0" w:after="0" w:afterAutospacing="0" w:line="276" w:lineRule="auto"/>
        <w:ind w:firstLine="360"/>
        <w:rPr>
          <w:rFonts w:ascii="Times New Roman" w:hAnsi="Times New Roman" w:eastAsia="等线" w:cs="Times New Roman"/>
          <w:sz w:val="21"/>
          <w:szCs w:val="21"/>
        </w:rPr>
      </w:pPr>
      <w:r>
        <w:rPr>
          <w:rFonts w:ascii="Times New Roman" w:hAnsi="Times New Roman" w:cs="Times New Roman"/>
          <w:sz w:val="18"/>
          <w:szCs w:val="18"/>
        </w:rPr>
        <w:t>（</w:t>
      </w:r>
      <w:r>
        <w:rPr>
          <w:rFonts w:ascii="Times New Roman" w:hAnsi="Times New Roman" w:eastAsia="等线" w:cs="Times New Roman"/>
          <w:sz w:val="18"/>
          <w:szCs w:val="18"/>
        </w:rPr>
        <w:t>3</w:t>
      </w:r>
      <w:r>
        <w:rPr>
          <w:rFonts w:ascii="Times New Roman" w:hAnsi="Times New Roman" w:cs="Times New Roman"/>
          <w:sz w:val="18"/>
          <w:szCs w:val="18"/>
        </w:rPr>
        <w:t>）低值易耗品和包装物的摊销方法</w:t>
      </w:r>
    </w:p>
    <w:p>
      <w:pPr>
        <w:pStyle w:val="8"/>
        <w:spacing w:before="0" w:beforeAutospacing="0" w:after="0" w:afterAutospacing="0" w:line="276" w:lineRule="auto"/>
        <w:ind w:firstLine="360"/>
        <w:rPr>
          <w:rFonts w:ascii="Times New Roman" w:hAnsi="Times New Roman" w:eastAsia="等线" w:cs="Times New Roman"/>
          <w:sz w:val="21"/>
          <w:szCs w:val="21"/>
        </w:rPr>
      </w:pPr>
      <w:r>
        <w:rPr>
          <w:rFonts w:ascii="Times New Roman" w:hAnsi="Times New Roman" w:cs="Times New Roman"/>
          <w:sz w:val="18"/>
          <w:szCs w:val="18"/>
        </w:rPr>
        <w:t>低值易耗品于领用时按一次摊销法摊销；包装物于领用时按一次摊销法摊销。</w:t>
      </w:r>
    </w:p>
    <w:p>
      <w:pPr>
        <w:pStyle w:val="3"/>
        <w:spacing w:line="280" w:lineRule="exact"/>
        <w:jc w:val="left"/>
        <w:rPr>
          <w:rFonts w:ascii="Times New Roman" w:hAnsi="Times New Roman" w:cs="Times New Roman"/>
          <w:b/>
          <w:bCs/>
        </w:rPr>
      </w:pPr>
      <w:bookmarkStart w:id="134" w:name="_Toc989023"/>
      <w:r>
        <w:rPr>
          <w:rFonts w:ascii="Times New Roman" w:hAnsi="Times New Roman" w:cs="Times New Roman"/>
          <w:b/>
          <w:bCs/>
        </w:rPr>
        <w:t>16、合同资产</w:t>
      </w:r>
      <w:bookmarkEnd w:id="134"/>
    </w:p>
    <w:p>
      <w:pPr>
        <w:pStyle w:val="8"/>
        <w:spacing w:before="0" w:beforeAutospacing="0" w:after="0" w:afterAutospacing="0" w:line="276" w:lineRule="auto"/>
        <w:ind w:firstLine="420"/>
        <w:rPr>
          <w:rFonts w:ascii="Times New Roman" w:hAnsi="Times New Roman" w:cs="Times New Roman"/>
        </w:rPr>
      </w:pPr>
      <w:r>
        <w:rPr>
          <w:rFonts w:ascii="Times New Roman" w:hAnsi="Times New Roman" w:cs="Times New Roman"/>
          <w:sz w:val="18"/>
          <w:szCs w:val="18"/>
        </w:rPr>
        <w:t>本集团将客户尚未支付合同对价，但本集团已经依据合同履行了履约义务，且不属于无条件（即仅取决于时间流逝）向客户收款的权利，在资产负债表中列示为合同资产。同一合同下的合同资产和合同负债以净额列示，不同合同下的合同资产和合同负债不予抵销。</w:t>
      </w:r>
    </w:p>
    <w:p>
      <w:pPr>
        <w:pStyle w:val="8"/>
        <w:spacing w:before="0" w:beforeAutospacing="0" w:after="0" w:afterAutospacing="0" w:line="276" w:lineRule="auto"/>
        <w:ind w:firstLine="420"/>
        <w:jc w:val="both"/>
        <w:rPr>
          <w:rFonts w:ascii="Times New Roman" w:hAnsi="Times New Roman" w:cs="Times New Roman"/>
        </w:rPr>
      </w:pPr>
      <w:r>
        <w:rPr>
          <w:rFonts w:ascii="Times New Roman" w:hAnsi="Times New Roman" w:cs="Times New Roman"/>
        </w:rPr>
        <w:t> </w:t>
      </w:r>
    </w:p>
    <w:p>
      <w:pPr>
        <w:pStyle w:val="8"/>
        <w:rPr>
          <w:rFonts w:ascii="Times New Roman" w:hAnsi="Times New Roman" w:cs="Times New Roman"/>
          <w:sz w:val="18"/>
          <w:szCs w:val="18"/>
        </w:rPr>
      </w:pPr>
      <w:r>
        <w:rPr>
          <w:rFonts w:ascii="Times New Roman" w:hAnsi="Times New Roman" w:cs="Times New Roman"/>
          <w:sz w:val="18"/>
          <w:szCs w:val="18"/>
        </w:rPr>
        <w:t>合同资产预期信用损失的确定方法和会计处理方法参见附注五、10、金融工具。</w:t>
      </w:r>
    </w:p>
    <w:p>
      <w:pPr>
        <w:pStyle w:val="3"/>
        <w:spacing w:line="280" w:lineRule="exact"/>
        <w:jc w:val="left"/>
        <w:rPr>
          <w:rFonts w:ascii="Times New Roman" w:hAnsi="Times New Roman" w:cs="Times New Roman"/>
          <w:b/>
          <w:bCs/>
        </w:rPr>
      </w:pPr>
      <w:bookmarkStart w:id="135" w:name="_Toc989024"/>
      <w:r>
        <w:rPr>
          <w:rFonts w:ascii="Times New Roman" w:hAnsi="Times New Roman" w:cs="Times New Roman"/>
          <w:b/>
          <w:bCs/>
        </w:rPr>
        <w:t>17、合同成本</w:t>
      </w:r>
      <w:bookmarkEnd w:id="135"/>
    </w:p>
    <w:p>
      <w:pPr>
        <w:pStyle w:val="8"/>
        <w:spacing w:before="0" w:beforeAutospacing="0" w:after="0" w:afterAutospacing="0" w:line="276" w:lineRule="auto"/>
        <w:ind w:firstLine="420"/>
        <w:rPr>
          <w:rFonts w:ascii="Times New Roman" w:hAnsi="Times New Roman" w:cs="Times New Roman"/>
        </w:rPr>
      </w:pPr>
      <w:r>
        <w:rPr>
          <w:rFonts w:ascii="Times New Roman" w:hAnsi="Times New Roman" w:cs="Times New Roman"/>
          <w:sz w:val="18"/>
          <w:szCs w:val="18"/>
        </w:rPr>
        <w:t>本集团为取得合同发生的增量成本预期能够收回的，作为合同取得成本确认为一项资产。但是，如果该资产的摊销期限不超过一年，则在发生时计入当期损益。</w:t>
      </w:r>
    </w:p>
    <w:p>
      <w:pPr>
        <w:pStyle w:val="8"/>
        <w:spacing w:before="0" w:beforeAutospacing="0" w:after="0" w:afterAutospacing="0" w:line="276" w:lineRule="auto"/>
        <w:ind w:firstLine="420"/>
        <w:rPr>
          <w:rFonts w:ascii="Times New Roman" w:hAnsi="Times New Roman" w:cs="Times New Roman"/>
        </w:rPr>
      </w:pPr>
      <w:r>
        <w:rPr>
          <w:rFonts w:ascii="Times New Roman" w:hAnsi="Times New Roman" w:cs="Times New Roman"/>
          <w:sz w:val="18"/>
          <w:szCs w:val="18"/>
        </w:rPr>
        <w:t>为履行合同发生的成本不属于《企业会计准则第14号——收入（2017年修订）》之外的其他企业会计准则规范范围且同时满足下列条件的，作为合同履约成本确认为一项资产：</w:t>
      </w:r>
      <w:r>
        <w:rPr>
          <w:rFonts w:hint="eastAsia"/>
          <w:sz w:val="18"/>
          <w:szCs w:val="18"/>
        </w:rPr>
        <w:t>①</w:t>
      </w:r>
      <w:r>
        <w:rPr>
          <w:rFonts w:ascii="Times New Roman" w:hAnsi="Times New Roman" w:cs="Times New Roman"/>
          <w:sz w:val="18"/>
          <w:szCs w:val="18"/>
        </w:rPr>
        <w:t>该成本与一份当前或预期取得的合同直接相关，包括直接人工、直接材料、制造费用（或类似费用）、明确由客户承担的成本以及仅因该合同而发生的其他成本；</w:t>
      </w:r>
      <w:r>
        <w:rPr>
          <w:rFonts w:hint="eastAsia"/>
          <w:sz w:val="18"/>
          <w:szCs w:val="18"/>
        </w:rPr>
        <w:t>②</w:t>
      </w:r>
      <w:r>
        <w:rPr>
          <w:rFonts w:ascii="Times New Roman" w:hAnsi="Times New Roman" w:cs="Times New Roman"/>
          <w:sz w:val="18"/>
          <w:szCs w:val="18"/>
        </w:rPr>
        <w:t>该成本增加了本集团未来用于履行履约义务的资源；</w:t>
      </w:r>
      <w:r>
        <w:rPr>
          <w:rFonts w:hint="eastAsia"/>
          <w:sz w:val="18"/>
          <w:szCs w:val="18"/>
        </w:rPr>
        <w:t>③</w:t>
      </w:r>
      <w:r>
        <w:rPr>
          <w:rFonts w:ascii="Times New Roman" w:hAnsi="Times New Roman" w:cs="Times New Roman"/>
          <w:sz w:val="18"/>
          <w:szCs w:val="18"/>
        </w:rPr>
        <w:t>该成本预期能够收回。</w:t>
      </w:r>
    </w:p>
    <w:p>
      <w:pPr>
        <w:pStyle w:val="8"/>
        <w:rPr>
          <w:rFonts w:ascii="Times New Roman" w:hAnsi="Times New Roman" w:cs="Times New Roman"/>
          <w:sz w:val="18"/>
          <w:szCs w:val="18"/>
        </w:rPr>
      </w:pPr>
      <w:r>
        <w:rPr>
          <w:rFonts w:ascii="Times New Roman" w:hAnsi="Times New Roman" w:cs="Times New Roman"/>
          <w:sz w:val="18"/>
          <w:szCs w:val="18"/>
        </w:rPr>
        <w:t>与合同成本有关的资产采用与该资产相关的商品收入确认相同的基础进行摊销，计入当期损益。</w:t>
      </w:r>
    </w:p>
    <w:p>
      <w:pPr>
        <w:pStyle w:val="3"/>
        <w:spacing w:line="280" w:lineRule="exact"/>
        <w:jc w:val="left"/>
        <w:rPr>
          <w:rFonts w:ascii="Times New Roman" w:hAnsi="Times New Roman" w:cs="Times New Roman"/>
          <w:b/>
          <w:bCs/>
        </w:rPr>
      </w:pPr>
      <w:bookmarkStart w:id="136" w:name="_Toc989025"/>
      <w:r>
        <w:rPr>
          <w:rFonts w:ascii="Times New Roman" w:hAnsi="Times New Roman" w:cs="Times New Roman"/>
          <w:b/>
          <w:bCs/>
        </w:rPr>
        <w:t>18、持有待售资产</w:t>
      </w:r>
      <w:bookmarkEnd w:id="136"/>
    </w:p>
    <w:p>
      <w:pPr>
        <w:pStyle w:val="8"/>
        <w:spacing w:before="0" w:beforeAutospacing="0" w:after="0" w:afterAutospacing="0" w:line="276" w:lineRule="auto"/>
        <w:ind w:left="50" w:firstLine="420"/>
        <w:rPr>
          <w:rFonts w:ascii="Times New Roman" w:hAnsi="Times New Roman" w:cs="Times New Roman"/>
        </w:rPr>
      </w:pPr>
      <w:r>
        <w:rPr>
          <w:rFonts w:ascii="Times New Roman" w:hAnsi="Times New Roman" w:cs="Times New Roman"/>
          <w:sz w:val="18"/>
          <w:szCs w:val="18"/>
        </w:rPr>
        <w:t>本集团若主要通过出售（包括具有商业实质的非货币性资产交换，下同）而非持续使用一项非流动资产或处置组收回其账面价值的，则将其划分为持有待售类别。具体标准为同时满足以下条件：某项非流动资产或处置组根据类似交易中出售此类资产或处置组的惯例，在当前状况下即可立即出售；本集团已经就出售计划作出决议且获得确定的购买承诺；预计出售将在一年内完成。其中，处置组是指在一项交易中作为整体通过出售或其他方式一并处置的一组资产，以及在该交易中转让的与这些资产直接相关的负债。处置组所属的资产组或资产组组合按照《企业会计准则第8号——资产减值》分摊了企业合并中取得的商誉的，该处置组应当包含分摊至处置组的商誉。</w:t>
      </w:r>
    </w:p>
    <w:p>
      <w:pPr>
        <w:pStyle w:val="8"/>
        <w:spacing w:before="0" w:beforeAutospacing="0" w:after="0" w:afterAutospacing="0" w:line="276" w:lineRule="auto"/>
        <w:ind w:firstLine="420"/>
        <w:rPr>
          <w:rFonts w:ascii="Times New Roman" w:hAnsi="Times New Roman" w:cs="Times New Roman"/>
        </w:rPr>
      </w:pPr>
      <w:r>
        <w:rPr>
          <w:rFonts w:ascii="Times New Roman" w:hAnsi="Times New Roman" w:cs="Times New Roman"/>
          <w:sz w:val="18"/>
          <w:szCs w:val="18"/>
        </w:rPr>
        <w:t>本集团初始计量或在资产负债表日重新计量划分为持有待售的非流动资产和处置组时，其账面价值高于公允价值减去出售费用后的净额的，将账面价值减记至公允价值减去出售费用后的净额，减记的金额确认为资产减值损失，计入当期损益，同时计提持有待售资产减值准备。对于处置组，所确认的资产减值损失先抵减处置组中商誉的账面价值，再按比例抵减该处置组内适用《企业会计准则第42号——持有待售的非流动资产、处置组和终止经营》（以下简称“持有待售准则”）的计量规定的各项非流动资产的账面价值。后续资产负债表日持有待售的处置组公允价值减去出售费用后的净额增加的，以前减记的金额应当予以恢复，并在划分为持有待售类别后适用持有待售准则计量规定的非流动资产确认的资产减值损失金额内转回，转回金额计入当期损益，并根据处置组中除商誉外适用持有待售准则计量规定的各项非流动资产账面价值所占比重按比例增加其账面价值；已抵减的商誉账面价值，以及适用持有待售准则计量规定的非流动资产在划分为持有待售类别前确认的资产减值损失不得转回。</w:t>
      </w:r>
    </w:p>
    <w:p>
      <w:pPr>
        <w:pStyle w:val="8"/>
        <w:spacing w:before="0" w:beforeAutospacing="0" w:after="0" w:afterAutospacing="0" w:line="276" w:lineRule="auto"/>
        <w:ind w:firstLine="420"/>
        <w:rPr>
          <w:rFonts w:ascii="Times New Roman" w:hAnsi="Times New Roman" w:cs="Times New Roman"/>
        </w:rPr>
      </w:pPr>
      <w:r>
        <w:rPr>
          <w:rFonts w:ascii="Times New Roman" w:hAnsi="Times New Roman" w:cs="Times New Roman"/>
          <w:sz w:val="18"/>
          <w:szCs w:val="18"/>
        </w:rPr>
        <w:t>持有待售的非流动资产或处置组中的非流动资产不计提折旧或摊销，持有待售的处置组中负债的利息和其他费用继续予以确认。</w:t>
      </w:r>
    </w:p>
    <w:p>
      <w:pPr>
        <w:pStyle w:val="8"/>
        <w:spacing w:before="0" w:beforeAutospacing="0" w:after="0" w:afterAutospacing="0" w:line="276" w:lineRule="auto"/>
        <w:jc w:val="both"/>
        <w:rPr>
          <w:rFonts w:ascii="Times New Roman" w:hAnsi="Times New Roman" w:cs="Times New Roman"/>
        </w:rPr>
      </w:pPr>
      <w:r>
        <w:rPr>
          <w:rFonts w:ascii="Times New Roman" w:hAnsi="Times New Roman" w:cs="Times New Roman"/>
          <w:sz w:val="18"/>
          <w:szCs w:val="18"/>
        </w:rPr>
        <w:t>非流动资产或处置组不再满足持有待售类别的划分条件时，本集团不再将其继续划分为持有待售类别或将非流动资产从持有待售的处置组中移除，并按照以下两者孰低计量：（1）划分为持有待售类别前的账面价值，按照假定不划分为持有待售类别情况下本应确认的折旧、摊销或减值等进行调整后的金额；（2）可收回金额。</w:t>
      </w:r>
    </w:p>
    <w:p>
      <w:pPr>
        <w:pStyle w:val="3"/>
        <w:spacing w:line="280" w:lineRule="exact"/>
        <w:jc w:val="left"/>
        <w:rPr>
          <w:rFonts w:ascii="Times New Roman" w:hAnsi="Times New Roman" w:cs="Times New Roman"/>
          <w:b/>
          <w:bCs/>
        </w:rPr>
      </w:pPr>
      <w:bookmarkStart w:id="137" w:name="_Toc989026"/>
      <w:r>
        <w:rPr>
          <w:rFonts w:ascii="Times New Roman" w:hAnsi="Times New Roman" w:cs="Times New Roman"/>
          <w:b/>
          <w:bCs/>
        </w:rPr>
        <w:t>19、债权投资</w:t>
      </w:r>
      <w:bookmarkEnd w:id="137"/>
    </w:p>
    <w:p>
      <w:pPr>
        <w:pStyle w:val="8"/>
        <w:rPr>
          <w:rFonts w:ascii="Times New Roman" w:hAnsi="Times New Roman" w:cs="Times New Roman"/>
          <w:sz w:val="18"/>
          <w:szCs w:val="18"/>
        </w:rPr>
      </w:pPr>
      <w:r>
        <w:rPr>
          <w:rFonts w:ascii="Times New Roman" w:hAnsi="Times New Roman" w:cs="Times New Roman"/>
          <w:sz w:val="18"/>
          <w:szCs w:val="18"/>
        </w:rPr>
        <w:t>无</w:t>
      </w:r>
    </w:p>
    <w:p>
      <w:pPr>
        <w:pStyle w:val="3"/>
        <w:spacing w:line="280" w:lineRule="exact"/>
        <w:jc w:val="left"/>
        <w:rPr>
          <w:rFonts w:ascii="Times New Roman" w:hAnsi="Times New Roman" w:cs="Times New Roman"/>
          <w:b/>
          <w:bCs/>
        </w:rPr>
      </w:pPr>
      <w:bookmarkStart w:id="138" w:name="_Toc989027"/>
      <w:r>
        <w:rPr>
          <w:rFonts w:ascii="Times New Roman" w:hAnsi="Times New Roman" w:cs="Times New Roman"/>
          <w:b/>
          <w:bCs/>
        </w:rPr>
        <w:t>20、其他债权投资</w:t>
      </w:r>
      <w:bookmarkEnd w:id="138"/>
    </w:p>
    <w:p>
      <w:pPr>
        <w:pStyle w:val="8"/>
        <w:rPr>
          <w:rFonts w:ascii="Times New Roman" w:hAnsi="Times New Roman" w:cs="Times New Roman"/>
          <w:sz w:val="18"/>
          <w:szCs w:val="18"/>
        </w:rPr>
      </w:pPr>
      <w:r>
        <w:rPr>
          <w:rFonts w:ascii="Times New Roman" w:hAnsi="Times New Roman" w:cs="Times New Roman"/>
          <w:sz w:val="18"/>
          <w:szCs w:val="18"/>
        </w:rPr>
        <w:t>无</w:t>
      </w:r>
    </w:p>
    <w:p>
      <w:pPr>
        <w:pStyle w:val="3"/>
        <w:spacing w:line="280" w:lineRule="exact"/>
        <w:jc w:val="left"/>
        <w:rPr>
          <w:rFonts w:ascii="Times New Roman" w:hAnsi="Times New Roman" w:cs="Times New Roman"/>
          <w:b/>
          <w:bCs/>
        </w:rPr>
      </w:pPr>
      <w:bookmarkStart w:id="139" w:name="_Toc989028"/>
      <w:r>
        <w:rPr>
          <w:rFonts w:ascii="Times New Roman" w:hAnsi="Times New Roman" w:cs="Times New Roman"/>
          <w:b/>
          <w:bCs/>
        </w:rPr>
        <w:t>21、长期应收款</w:t>
      </w:r>
      <w:bookmarkEnd w:id="139"/>
    </w:p>
    <w:p>
      <w:pPr>
        <w:pStyle w:val="8"/>
        <w:rPr>
          <w:rFonts w:ascii="Times New Roman" w:hAnsi="Times New Roman" w:cs="Times New Roman"/>
          <w:sz w:val="18"/>
          <w:szCs w:val="18"/>
        </w:rPr>
      </w:pPr>
      <w:r>
        <w:rPr>
          <w:rFonts w:ascii="Times New Roman" w:hAnsi="Times New Roman" w:cs="Times New Roman"/>
          <w:sz w:val="18"/>
          <w:szCs w:val="18"/>
        </w:rPr>
        <w:t>无</w:t>
      </w:r>
    </w:p>
    <w:p>
      <w:pPr>
        <w:pStyle w:val="3"/>
        <w:spacing w:line="280" w:lineRule="exact"/>
        <w:jc w:val="left"/>
        <w:rPr>
          <w:rFonts w:ascii="Times New Roman" w:hAnsi="Times New Roman" w:cs="Times New Roman"/>
          <w:b/>
          <w:bCs/>
        </w:rPr>
      </w:pPr>
      <w:bookmarkStart w:id="140" w:name="_Toc989029"/>
      <w:r>
        <w:rPr>
          <w:rFonts w:ascii="Times New Roman" w:hAnsi="Times New Roman" w:cs="Times New Roman"/>
          <w:b/>
          <w:bCs/>
        </w:rPr>
        <w:t>22、长期股权投资</w:t>
      </w:r>
      <w:bookmarkEnd w:id="140"/>
    </w:p>
    <w:p>
      <w:pPr>
        <w:pStyle w:val="8"/>
        <w:spacing w:before="0" w:beforeAutospacing="0" w:after="0" w:afterAutospacing="0" w:line="276" w:lineRule="auto"/>
        <w:ind w:firstLine="420"/>
        <w:rPr>
          <w:rFonts w:ascii="Times New Roman" w:hAnsi="Times New Roman" w:cs="Times New Roman"/>
        </w:rPr>
      </w:pPr>
      <w:r>
        <w:rPr>
          <w:rFonts w:ascii="Times New Roman" w:hAnsi="Times New Roman" w:cs="Times New Roman"/>
          <w:sz w:val="18"/>
          <w:szCs w:val="18"/>
        </w:rPr>
        <w:t>本部分所指的长期股权投资是指本集团对被投资单位具有控制、共同控制或重大影响的长期股权投资。本集团对被投资单位不具有控制、共同控制或重大影响的长期股权投资，作为以公允价值计量且其变动计入当期损益的金融资产核算，其中如果属于非交易性的，本集团在初始确认时可选择将其指定为以公允价值计量且其变动计入其他综合收益的金融资产核算，其会计政策详见附注五、10“金融工具”。</w:t>
      </w:r>
    </w:p>
    <w:p>
      <w:pPr>
        <w:pStyle w:val="8"/>
        <w:spacing w:before="0" w:beforeAutospacing="0" w:after="0" w:afterAutospacing="0" w:line="276" w:lineRule="auto"/>
        <w:ind w:firstLine="420"/>
        <w:rPr>
          <w:rFonts w:ascii="Times New Roman" w:hAnsi="Times New Roman" w:cs="Times New Roman"/>
        </w:rPr>
      </w:pPr>
      <w:r>
        <w:rPr>
          <w:rFonts w:ascii="Times New Roman" w:hAnsi="Times New Roman" w:cs="Times New Roman"/>
          <w:sz w:val="18"/>
          <w:szCs w:val="18"/>
        </w:rPr>
        <w:t>共同控制，是指本集团按照相关约定对某项安排所共有的控制，并且该安排的相关活动必须经过分享控制权的参与方一致同意后才能决策。重大影响，是指本集团对被投资单位的财务和经营政策有参与决策的权力，但并不能够控制或者与其他方一起共同控制这些政策的制定。</w:t>
      </w:r>
    </w:p>
    <w:p>
      <w:pPr>
        <w:pStyle w:val="8"/>
        <w:spacing w:before="0" w:beforeAutospacing="0" w:after="0" w:afterAutospacing="0" w:line="276" w:lineRule="auto"/>
        <w:ind w:firstLine="420"/>
        <w:rPr>
          <w:rFonts w:ascii="Times New Roman" w:hAnsi="Times New Roman" w:cs="Times New Roman"/>
        </w:rPr>
      </w:pPr>
      <w:r>
        <w:rPr>
          <w:rFonts w:ascii="Times New Roman" w:hAnsi="Times New Roman" w:cs="Times New Roman"/>
          <w:sz w:val="18"/>
          <w:szCs w:val="18"/>
        </w:rPr>
        <w:t>（1）投资成本的确定</w:t>
      </w:r>
    </w:p>
    <w:p>
      <w:pPr>
        <w:pStyle w:val="8"/>
        <w:spacing w:before="0" w:beforeAutospacing="0" w:after="0" w:afterAutospacing="0" w:line="276" w:lineRule="auto"/>
        <w:ind w:firstLine="420"/>
        <w:rPr>
          <w:rFonts w:ascii="Times New Roman" w:hAnsi="Times New Roman" w:cs="Times New Roman"/>
        </w:rPr>
      </w:pPr>
      <w:r>
        <w:rPr>
          <w:rFonts w:ascii="Times New Roman" w:hAnsi="Times New Roman" w:cs="Times New Roman"/>
          <w:sz w:val="18"/>
          <w:szCs w:val="18"/>
        </w:rPr>
        <w:t>对于同一控制下的企业合并取得的长期股权投资，在合并日按照被合并方股东权益/所有者权益在最终控制方合并财务报表中的账面价值的份额作为长期股权投资的初始投资成本。长期股权投资初始投资成本与支付的现金、转让的非现金资产以及所承担债务账面价值之间的差额，调整资本公积；资本公积不足冲减的，调整留存收益。以发行权益性证券作为合并对价的，在合并日按照被合并方股东权益/所有者权益在最终控制方合并财务报表中的账面价值的份额作为长期股权投资的初始投资成本，按照发行股份的面值总额作为股本，长期股权投资初始投资成本与所发行股份面值总额之间的差额，调整资本公积；资本公积不足冲减的，调整留存收益。通过多次交易分步取得同一控制下被合并方的股权，最终形成同一控制下企业合并的，应分别是否属于“一揽子交易”进行处理：属于“一揽子交易”的，将各项交易作为一项取得控制权的交易进行会计处理。不属于“一揽子交易”的，在合并日按照应享有被合并方股东权益/所有者权益在最终控制方合并财务报表中的账面价值的份额作为长期股权投资的初始投资成本，长期股权投资初始投资成本与达到合并前的长期股权投资账面价值加上合并日进一步取得股份新支付对价的账面价值之和的差额，调整资本公积；资本公积不足冲减的，调整留存收益。合并日之前持有的股权投资因采用权益法核算或作为以公允价值计量且其变动计入其他综合收益的金融资产而确认的其他综合收益，暂不进行会计处理。</w:t>
      </w:r>
    </w:p>
    <w:p>
      <w:pPr>
        <w:pStyle w:val="8"/>
        <w:spacing w:before="0" w:beforeAutospacing="0" w:after="0" w:afterAutospacing="0" w:line="276" w:lineRule="auto"/>
        <w:ind w:firstLine="420"/>
        <w:rPr>
          <w:rFonts w:ascii="Times New Roman" w:hAnsi="Times New Roman" w:cs="Times New Roman"/>
        </w:rPr>
      </w:pPr>
      <w:r>
        <w:rPr>
          <w:rFonts w:ascii="Times New Roman" w:hAnsi="Times New Roman" w:cs="Times New Roman"/>
          <w:sz w:val="18"/>
          <w:szCs w:val="18"/>
        </w:rPr>
        <w:t>对于非同一控制下的企业合并取得的长期股权投资，在购买日按照合并成本作为长期股权投资的初始投资成本，合并成本包括购买方付出的资产、发生或承担的负债、发行的权益性证券的公允价值之和。通过多次交易分步取得被购买方的股权，最终形成非同一控制下的企业合并的，应分别是否属于“一揽子交易”进行处理：属于“一揽子交易”的，将各项交易作为一项取得控制权的交易进行会计处理。不属于“一揽子交易”的，按照原持有被购买方的股权投资账面价值加上新增投资成本之和，作为改按成本法核算的长期股权投资的初始投资成本。原持有的股权采用权益法核算的，相关其他综合收益暂不进行会计处理。</w:t>
      </w:r>
    </w:p>
    <w:p>
      <w:pPr>
        <w:pStyle w:val="8"/>
        <w:spacing w:before="0" w:beforeAutospacing="0" w:after="0" w:afterAutospacing="0" w:line="276" w:lineRule="auto"/>
        <w:ind w:firstLine="420"/>
        <w:rPr>
          <w:rFonts w:ascii="Times New Roman" w:hAnsi="Times New Roman" w:cs="Times New Roman"/>
        </w:rPr>
      </w:pPr>
      <w:r>
        <w:rPr>
          <w:rFonts w:ascii="Times New Roman" w:hAnsi="Times New Roman" w:cs="Times New Roman"/>
          <w:sz w:val="18"/>
          <w:szCs w:val="18"/>
        </w:rPr>
        <w:t>合并方或购买方为企业合并发生的审计、法律服务、评估咨询等中介费用以及其他相关管理费用，于发生时计入当期损益。</w:t>
      </w:r>
    </w:p>
    <w:p>
      <w:pPr>
        <w:pStyle w:val="8"/>
        <w:spacing w:before="0" w:beforeAutospacing="0" w:after="0" w:afterAutospacing="0" w:line="276" w:lineRule="auto"/>
        <w:ind w:firstLine="420"/>
        <w:jc w:val="both"/>
        <w:rPr>
          <w:rFonts w:ascii="Times New Roman" w:hAnsi="Times New Roman" w:cs="Times New Roman"/>
        </w:rPr>
      </w:pPr>
      <w:r>
        <w:rPr>
          <w:rFonts w:ascii="Times New Roman" w:hAnsi="Times New Roman" w:cs="Times New Roman"/>
          <w:sz w:val="18"/>
          <w:szCs w:val="18"/>
        </w:rPr>
        <w:t>除企业合并形成的长期股权投资外的其他股权投资，按成本进行初始计量，该成本视长期股权投资取得方式的不同，分别按照本集团实际支付的现金购买价款、本集团发行的权益性证券的公允价值、投资合同或协议约定的价值、非货币性资产交换交易中换出资产的公允价值或原账面价值、该项长期股权投资自身的公允价值等方式确定。与取得长期股权投资直接相关的费用、税金及其他必要支出也计入投资成本。对于因追加投资能够对被投资单位实施重大影响或实施共同控制但不构成控制的，长期股权投资成本为按照《企业会计准则第22号——金融工具确认和计量》确定的原持有股权投资的公允价值加上新增投资成本之和。</w:t>
      </w:r>
    </w:p>
    <w:p>
      <w:pPr>
        <w:pStyle w:val="8"/>
        <w:spacing w:before="0" w:beforeAutospacing="0" w:after="0" w:afterAutospacing="0" w:line="276" w:lineRule="auto"/>
        <w:ind w:firstLine="420"/>
        <w:jc w:val="both"/>
        <w:rPr>
          <w:rFonts w:ascii="Times New Roman" w:hAnsi="Times New Roman" w:cs="Times New Roman"/>
        </w:rPr>
      </w:pPr>
      <w:r>
        <w:rPr>
          <w:rFonts w:ascii="Times New Roman" w:hAnsi="Times New Roman" w:cs="Times New Roman"/>
          <w:sz w:val="18"/>
          <w:szCs w:val="18"/>
        </w:rPr>
        <w:t>（2）后续计量及损益确认方法</w:t>
      </w:r>
    </w:p>
    <w:p>
      <w:pPr>
        <w:pStyle w:val="8"/>
        <w:spacing w:before="0" w:beforeAutospacing="0" w:after="0" w:afterAutospacing="0" w:line="276" w:lineRule="auto"/>
        <w:ind w:firstLine="420"/>
        <w:rPr>
          <w:rFonts w:ascii="Times New Roman" w:hAnsi="Times New Roman" w:cs="Times New Roman"/>
        </w:rPr>
      </w:pPr>
      <w:r>
        <w:rPr>
          <w:rFonts w:ascii="Times New Roman" w:hAnsi="Times New Roman" w:cs="Times New Roman"/>
          <w:sz w:val="18"/>
          <w:szCs w:val="18"/>
        </w:rPr>
        <w:t>对被投资单位具有共同控制（构成共同经营者除外）或重大影响的长期股权投资，采用权益法核算。此外，公司财务报表采用成本法核算能够对被投资单位实施控制的长期股权投资。</w:t>
      </w:r>
    </w:p>
    <w:p>
      <w:pPr>
        <w:pStyle w:val="8"/>
        <w:spacing w:before="0" w:beforeAutospacing="0" w:after="0" w:afterAutospacing="0" w:line="276" w:lineRule="auto"/>
        <w:ind w:firstLine="420"/>
        <w:rPr>
          <w:rFonts w:ascii="Times New Roman" w:hAnsi="Times New Roman" w:cs="Times New Roman"/>
        </w:rPr>
      </w:pPr>
      <w:r>
        <w:rPr>
          <w:rFonts w:hint="eastAsia"/>
          <w:sz w:val="18"/>
          <w:szCs w:val="18"/>
        </w:rPr>
        <w:t>①</w:t>
      </w:r>
      <w:r>
        <w:rPr>
          <w:rFonts w:ascii="Times New Roman" w:hAnsi="Times New Roman" w:cs="Times New Roman"/>
          <w:sz w:val="18"/>
          <w:szCs w:val="18"/>
        </w:rPr>
        <w:t>成本法核算的长期股权投资</w:t>
      </w:r>
    </w:p>
    <w:p>
      <w:pPr>
        <w:pStyle w:val="8"/>
        <w:spacing w:before="0" w:beforeAutospacing="0" w:after="0" w:afterAutospacing="0" w:line="276" w:lineRule="auto"/>
        <w:ind w:firstLine="420"/>
        <w:rPr>
          <w:rFonts w:ascii="Times New Roman" w:hAnsi="Times New Roman" w:cs="Times New Roman"/>
        </w:rPr>
      </w:pPr>
      <w:r>
        <w:rPr>
          <w:rFonts w:ascii="Times New Roman" w:hAnsi="Times New Roman" w:cs="Times New Roman"/>
          <w:sz w:val="18"/>
          <w:szCs w:val="18"/>
        </w:rPr>
        <w:t>采用成本法核算时，长期股权投资按初始投资成本计价，追加或收回投资调整长期股权投资的成本。除取得投资时实际支付的价款或者对价中包含的已宣告但尚未发放的现金股利或者利润外，当期投资收益按照享有被投资单位宣告发放的现金股利或利润确认。</w:t>
      </w:r>
    </w:p>
    <w:p>
      <w:pPr>
        <w:pStyle w:val="8"/>
        <w:spacing w:before="0" w:beforeAutospacing="0" w:after="0" w:afterAutospacing="0" w:line="276" w:lineRule="auto"/>
        <w:ind w:firstLine="420"/>
        <w:rPr>
          <w:rFonts w:ascii="Times New Roman" w:hAnsi="Times New Roman" w:cs="Times New Roman"/>
        </w:rPr>
      </w:pPr>
      <w:r>
        <w:rPr>
          <w:rFonts w:hint="eastAsia"/>
          <w:sz w:val="18"/>
          <w:szCs w:val="18"/>
        </w:rPr>
        <w:t>②</w:t>
      </w:r>
      <w:r>
        <w:rPr>
          <w:rFonts w:ascii="Times New Roman" w:hAnsi="Times New Roman" w:cs="Times New Roman"/>
          <w:sz w:val="18"/>
          <w:szCs w:val="18"/>
        </w:rPr>
        <w:t>权益法核算的长期股权投资</w:t>
      </w:r>
    </w:p>
    <w:p>
      <w:pPr>
        <w:pStyle w:val="8"/>
        <w:spacing w:before="0" w:beforeAutospacing="0" w:after="0" w:afterAutospacing="0" w:line="276" w:lineRule="auto"/>
        <w:ind w:firstLine="420"/>
        <w:rPr>
          <w:rFonts w:ascii="Times New Roman" w:hAnsi="Times New Roman" w:cs="Times New Roman"/>
        </w:rPr>
      </w:pPr>
      <w:r>
        <w:rPr>
          <w:rFonts w:ascii="Times New Roman" w:hAnsi="Times New Roman" w:cs="Times New Roman"/>
          <w:sz w:val="18"/>
          <w:szCs w:val="18"/>
        </w:rPr>
        <w:t>采用权益法核算时，长期股权投资的初始投资成本大于投资时应享有被投资单位可辨认净资产公允价值份额的，不调整长期股权投资的初始投资成本；初始投资成本小于投资时应享有被投资单位可辨认净资产公允价值份额的，其差额计入当期损益，同时调整长期股权投资的成本。</w:t>
      </w:r>
    </w:p>
    <w:p>
      <w:pPr>
        <w:pStyle w:val="8"/>
        <w:spacing w:before="0" w:beforeAutospacing="0" w:after="0" w:afterAutospacing="0" w:line="276" w:lineRule="auto"/>
        <w:ind w:firstLine="420"/>
        <w:rPr>
          <w:rFonts w:ascii="Times New Roman" w:hAnsi="Times New Roman" w:cs="Times New Roman"/>
        </w:rPr>
      </w:pPr>
      <w:r>
        <w:rPr>
          <w:rFonts w:ascii="Times New Roman" w:hAnsi="Times New Roman" w:cs="Times New Roman"/>
          <w:sz w:val="18"/>
          <w:szCs w:val="18"/>
        </w:rPr>
        <w:t>采用权益法核算时，按照应享有或应分担的被投资单位实现的净损益和其他综合收益的份额，分别确认投资收益和其他综合收益，同时调整长期股权投资的账面价值；按照被投资单位宣告分派的利润或现金股利计算应享有的部分，相应减少长期股权投资的账面价值；对于被投资单位除净损益、其他综合收益和利润分配以外所有者权益的其他变动，调整长期股权投资的账面价值并计入资本公积。在确认应享有被投资单位净损益的份额时，以取得投资时被投资单位各项可辨认资产等的公允价值为基础，对被投资单位的净利润进行调整后确认。被投资单位采用的会计政策及会计期间与本集团不一致的，按照本集团的会计政策及会计期间对被投资单位的财务报表进行调整，并据以确认投资收益和其他综合收益。对于本集团与联营企业及合营企业之间发生的交易，投出或出售的资产不构成业务的，未实现内部交易损益按照享有的比例计算归属于本集团的部分予以抵销，在此基础上确认投资损益。但本集团与被投资单位发生的未实现内部交易损失，属于所转让资产减值损失的，不予以抵销。本集团向合营企业或联营企业投出的资产构成业务的，投资方因此取得长期股权投资但未取得控制权的，以投出业务的公允价值作为新增长期股权投资的初始投资成本，初始投资成本与投出业务的账面价值之差，全额计入当期损益。本集团向合营企业或联营企业出售的资产构成业务的，取得的对价与业务的账面价值之差，全额计入当期损益。本集团自联营企业及合营企业购入的资产构成业务的，按《企业会计准则第20号——企业合并》的规定进行会计处理，全额确认与交易相关的利得或损失。</w:t>
      </w:r>
    </w:p>
    <w:p>
      <w:pPr>
        <w:pStyle w:val="8"/>
        <w:spacing w:before="0" w:beforeAutospacing="0" w:after="0" w:afterAutospacing="0" w:line="276" w:lineRule="auto"/>
        <w:ind w:firstLine="420"/>
        <w:rPr>
          <w:rFonts w:ascii="Times New Roman" w:hAnsi="Times New Roman" w:cs="Times New Roman"/>
        </w:rPr>
      </w:pPr>
      <w:r>
        <w:rPr>
          <w:rFonts w:ascii="Times New Roman" w:hAnsi="Times New Roman" w:cs="Times New Roman"/>
          <w:sz w:val="18"/>
          <w:szCs w:val="18"/>
        </w:rPr>
        <w:t>在确认应分担被投资单位发生的净亏损时，以长期股权投资的账面价值和其他实质上构成对被投资单位净投资的长期权益减记至零为限。此外，如本集团对被投资单位负有承担额外损失的义务，则按预计承担的义务确认预计负债，计入当期投资损失。被投资单位以后期间实现净利润的，本集团在收益分享额弥补未确认的亏损分担额后，恢复确认收益分享额。</w:t>
      </w:r>
    </w:p>
    <w:p>
      <w:pPr>
        <w:pStyle w:val="8"/>
        <w:spacing w:before="0" w:beforeAutospacing="0" w:after="0" w:afterAutospacing="0" w:line="276" w:lineRule="auto"/>
        <w:ind w:firstLine="420"/>
        <w:rPr>
          <w:rFonts w:ascii="Times New Roman" w:hAnsi="Times New Roman" w:cs="Times New Roman"/>
        </w:rPr>
      </w:pPr>
      <w:r>
        <w:rPr>
          <w:rFonts w:hint="eastAsia"/>
          <w:sz w:val="18"/>
          <w:szCs w:val="18"/>
        </w:rPr>
        <w:t>③</w:t>
      </w:r>
      <w:r>
        <w:rPr>
          <w:rFonts w:ascii="Times New Roman" w:hAnsi="Times New Roman" w:cs="Times New Roman"/>
          <w:sz w:val="18"/>
          <w:szCs w:val="18"/>
        </w:rPr>
        <w:t>收购少数股权</w:t>
      </w:r>
    </w:p>
    <w:p>
      <w:pPr>
        <w:pStyle w:val="8"/>
        <w:spacing w:before="0" w:beforeAutospacing="0" w:after="0" w:afterAutospacing="0" w:line="276" w:lineRule="auto"/>
        <w:ind w:firstLine="420"/>
        <w:rPr>
          <w:rFonts w:ascii="Times New Roman" w:hAnsi="Times New Roman" w:cs="Times New Roman"/>
        </w:rPr>
      </w:pPr>
      <w:r>
        <w:rPr>
          <w:rFonts w:ascii="Times New Roman" w:hAnsi="Times New Roman" w:cs="Times New Roman"/>
          <w:sz w:val="18"/>
          <w:szCs w:val="18"/>
        </w:rPr>
        <w:t>在编制合并财务报表时，因购买少数股权新增的长期股权投资与按照新增持股比例计算应享有子公司自购买日（或合并日）开始持续计算的净资产份额之间的差额，调整资本公积，资本公积不足冲减的，调整留存收益。</w:t>
      </w:r>
    </w:p>
    <w:p>
      <w:pPr>
        <w:pStyle w:val="8"/>
        <w:spacing w:before="0" w:beforeAutospacing="0" w:after="0" w:afterAutospacing="0" w:line="276" w:lineRule="auto"/>
        <w:ind w:firstLine="420"/>
        <w:rPr>
          <w:rFonts w:ascii="Times New Roman" w:hAnsi="Times New Roman" w:cs="Times New Roman"/>
        </w:rPr>
      </w:pPr>
      <w:r>
        <w:rPr>
          <w:rFonts w:hint="eastAsia"/>
          <w:sz w:val="18"/>
          <w:szCs w:val="18"/>
        </w:rPr>
        <w:t>④</w:t>
      </w:r>
      <w:r>
        <w:rPr>
          <w:rFonts w:ascii="Times New Roman" w:hAnsi="Times New Roman" w:cs="Times New Roman"/>
          <w:sz w:val="18"/>
          <w:szCs w:val="18"/>
        </w:rPr>
        <w:t>处置长期股权投资</w:t>
      </w:r>
    </w:p>
    <w:p>
      <w:pPr>
        <w:pStyle w:val="8"/>
        <w:spacing w:before="0" w:beforeAutospacing="0" w:after="0" w:afterAutospacing="0" w:line="276" w:lineRule="auto"/>
        <w:ind w:firstLine="420"/>
        <w:rPr>
          <w:rFonts w:ascii="Times New Roman" w:hAnsi="Times New Roman" w:cs="Times New Roman"/>
        </w:rPr>
      </w:pPr>
      <w:r>
        <w:rPr>
          <w:rFonts w:ascii="Times New Roman" w:hAnsi="Times New Roman" w:cs="Times New Roman"/>
          <w:sz w:val="18"/>
          <w:szCs w:val="18"/>
        </w:rPr>
        <w:t>在合并财务报表中，母公司在不丧失控制权的情况下部分处置对子公司的长期股权投资，处置价款与处置长期股权投资相对应享有子公司净资产的差额计入股东权益；母公司部分处置对子公司的长期股权投资导致丧失对子公司控制权的，按本附注五、6、“合并财务报表编制的方法”（2）中所述的相关会计政策处理。</w:t>
      </w:r>
    </w:p>
    <w:p>
      <w:pPr>
        <w:pStyle w:val="8"/>
        <w:spacing w:before="0" w:beforeAutospacing="0" w:after="0" w:afterAutospacing="0" w:line="276" w:lineRule="auto"/>
        <w:ind w:firstLine="420"/>
        <w:rPr>
          <w:rFonts w:ascii="Times New Roman" w:hAnsi="Times New Roman" w:cs="Times New Roman"/>
        </w:rPr>
      </w:pPr>
      <w:r>
        <w:rPr>
          <w:rFonts w:ascii="Times New Roman" w:hAnsi="Times New Roman" w:cs="Times New Roman"/>
          <w:sz w:val="18"/>
          <w:szCs w:val="18"/>
        </w:rPr>
        <w:t>其他情形下的长期股权投资处置，对于处置的股权，其账面价值与实际取得价款的差额，计入当期损益。</w:t>
      </w:r>
    </w:p>
    <w:p>
      <w:pPr>
        <w:pStyle w:val="8"/>
        <w:spacing w:before="0" w:beforeAutospacing="0" w:after="0" w:afterAutospacing="0" w:line="276" w:lineRule="auto"/>
        <w:ind w:firstLine="420"/>
        <w:rPr>
          <w:rFonts w:ascii="Times New Roman" w:hAnsi="Times New Roman" w:cs="Times New Roman"/>
        </w:rPr>
      </w:pPr>
      <w:r>
        <w:rPr>
          <w:rFonts w:ascii="Times New Roman" w:hAnsi="Times New Roman" w:cs="Times New Roman"/>
          <w:sz w:val="18"/>
          <w:szCs w:val="18"/>
        </w:rPr>
        <w:t>采用权益法核算的长期股权投资，处置后的剩余股权仍采用权益法核算的，在处置时将原计入股东权益的其他综合收益部分按相应的比例采用与被投资单位直接处置相关资产或负债相同的基础进行会计处理。因被投资方除净损益、其他综合收益和利润分配以外的其他所有者权益变动而确认的所有者权益，按比例结转入当期损益。</w:t>
      </w:r>
    </w:p>
    <w:p>
      <w:pPr>
        <w:pStyle w:val="8"/>
        <w:spacing w:before="0" w:beforeAutospacing="0" w:after="0" w:afterAutospacing="0" w:line="276" w:lineRule="auto"/>
        <w:ind w:firstLine="420"/>
        <w:rPr>
          <w:rFonts w:ascii="Times New Roman" w:hAnsi="Times New Roman" w:cs="Times New Roman"/>
        </w:rPr>
      </w:pPr>
      <w:r>
        <w:rPr>
          <w:rFonts w:ascii="Times New Roman" w:hAnsi="Times New Roman" w:cs="Times New Roman"/>
          <w:sz w:val="18"/>
          <w:szCs w:val="18"/>
        </w:rPr>
        <w:t>采用成本法核算的长期股权投资，处置后剩余股权仍采用成本法核算的，其在取得对被投资单位的控制之前因采用权益法核算或金融工具确认和计量准则核算而确认的其他综合收益，采用与被投资单位直接处置相关资产或负债相同的基础进行会计处理，并按比例结转当期损益；因采用权益法核算而确认的被投资单位净资产中除净损益、其他综合收益和利润分配以外的其他所有者权益变动按比例结转当期损益。</w:t>
      </w:r>
    </w:p>
    <w:p>
      <w:pPr>
        <w:pStyle w:val="8"/>
        <w:spacing w:before="0" w:beforeAutospacing="0" w:after="0" w:afterAutospacing="0" w:line="276" w:lineRule="auto"/>
        <w:ind w:firstLine="420"/>
        <w:rPr>
          <w:rFonts w:ascii="Times New Roman" w:hAnsi="Times New Roman" w:cs="Times New Roman"/>
        </w:rPr>
      </w:pPr>
      <w:r>
        <w:rPr>
          <w:rFonts w:ascii="Times New Roman" w:hAnsi="Times New Roman" w:cs="Times New Roman"/>
          <w:sz w:val="18"/>
          <w:szCs w:val="18"/>
        </w:rPr>
        <w:t>本集团因处置部分股权投资丧失了对被投资单位的控制的，在编制个别财务报表时，处置后的剩余股权能够对被投资单位实施共同控制或施加重大影响的，改按权益法核算，并对该剩余股权视同自取得时即采用权益法核算进行调整；处置后的剩余股权不能对被投资单位实施共同控制或施加重大影响的，改按金融工具确认和计量准则的有关规定进行会计处理，其在丧失控制之日的公允价值与账面价值之间的差额计入当期损益。对于本集团取得对被投资单位的控制之前，因采用权益法核算或金融工具确认和计量准则核算而确认的其他综合收益，在丧失对被投资单位控制时采用与被投资单位直接处置相关资产或负债相同的基础进行会计处理，因采用权益法核算而确认的被投资单位净资产中除净损益、其他综合收益和利润分配以外的其他所有者权益变动在丧失对被投资单位控制时结转入当期损益。其中，处置后的剩余股权采用权益法核算的，其他综合收益和其他所有者权益按比例结转；处置后的剩余股权改按金融工具确认和计量准则进行会计处理的，其他综合收益和其他所有者权益全部结转。</w:t>
      </w:r>
    </w:p>
    <w:p>
      <w:pPr>
        <w:pStyle w:val="8"/>
        <w:spacing w:before="0" w:beforeAutospacing="0" w:after="0" w:afterAutospacing="0" w:line="276" w:lineRule="auto"/>
        <w:ind w:firstLine="420"/>
        <w:rPr>
          <w:rFonts w:ascii="Times New Roman" w:hAnsi="Times New Roman" w:cs="Times New Roman"/>
        </w:rPr>
      </w:pPr>
      <w:r>
        <w:rPr>
          <w:rFonts w:ascii="Times New Roman" w:hAnsi="Times New Roman" w:cs="Times New Roman"/>
          <w:sz w:val="18"/>
          <w:szCs w:val="18"/>
        </w:rPr>
        <w:t>本集团因处置部分股权投资丧失了对被投资单位的共同控制或重大影响的，处置后的剩余股权改按金融工具确认和计量准则核算，其在丧失共同控制或重大影响之日的公允价值与账面价值之间的差额计入当期损益。原股权投资因采用权益法核算而确认的其他综合收益，在终止采用权益法核算时采用与被投资单位直接处置相关资产或负债相同的基础进行会计处理，因被投资方除净损益、其他综合收益和利润分配以外的其他所有者权益变动而确认的所有者权益，在终止采用权益法时全部转入当期投资收益。</w:t>
      </w:r>
    </w:p>
    <w:p>
      <w:pPr>
        <w:pStyle w:val="8"/>
        <w:ind w:firstLine="360" w:firstLineChars="200"/>
        <w:rPr>
          <w:rFonts w:ascii="Times New Roman" w:hAnsi="Times New Roman" w:cs="Times New Roman"/>
          <w:sz w:val="18"/>
          <w:szCs w:val="18"/>
        </w:rPr>
      </w:pPr>
      <w:r>
        <w:rPr>
          <w:rFonts w:ascii="Times New Roman" w:hAnsi="Times New Roman" w:cs="Times New Roman"/>
          <w:sz w:val="18"/>
          <w:szCs w:val="18"/>
        </w:rPr>
        <w:t>本集团通过多次交易分步处置对子公司股权投资直至丧失控制权，如果上述交易属于一揽子交易的，将各项交易作为一项处置子公司股权投资并丧失控制权的交易进行会计处理，在丧失控制权之前每一次处置价款与所处置的股权对应的长期股权投资账面价值之间的差额，先确认为其他综合收益，到丧失控制权时再一并转入丧失控制权的当期损益。</w:t>
      </w:r>
    </w:p>
    <w:p>
      <w:pPr>
        <w:pStyle w:val="3"/>
        <w:spacing w:line="280" w:lineRule="exact"/>
        <w:jc w:val="left"/>
        <w:rPr>
          <w:rFonts w:ascii="Times New Roman" w:hAnsi="Times New Roman" w:cs="Times New Roman"/>
          <w:b/>
          <w:bCs/>
        </w:rPr>
      </w:pPr>
      <w:bookmarkStart w:id="141" w:name="_Toc989030"/>
      <w:r>
        <w:rPr>
          <w:rFonts w:ascii="Times New Roman" w:hAnsi="Times New Roman" w:cs="Times New Roman"/>
          <w:b/>
          <w:bCs/>
        </w:rPr>
        <w:t>23、投资性房地产</w:t>
      </w:r>
      <w:bookmarkEnd w:id="141"/>
    </w:p>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投资性房地产计量模式</w:t>
      </w:r>
    </w:p>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不适用</w:t>
      </w:r>
    </w:p>
    <w:p>
      <w:pPr>
        <w:pStyle w:val="3"/>
        <w:spacing w:line="280" w:lineRule="exact"/>
        <w:jc w:val="left"/>
        <w:rPr>
          <w:rFonts w:ascii="Times New Roman" w:hAnsi="Times New Roman" w:cs="Times New Roman"/>
          <w:b/>
          <w:bCs/>
        </w:rPr>
      </w:pPr>
      <w:bookmarkStart w:id="142" w:name="_Toc989031"/>
      <w:r>
        <w:rPr>
          <w:rFonts w:ascii="Times New Roman" w:hAnsi="Times New Roman" w:cs="Times New Roman"/>
          <w:b/>
          <w:bCs/>
        </w:rPr>
        <w:t>24、固定资产</w:t>
      </w:r>
      <w:bookmarkEnd w:id="142"/>
    </w:p>
    <w:p>
      <w:pPr>
        <w:keepNext/>
        <w:keepLines/>
        <w:spacing w:before="300" w:after="300" w:line="280" w:lineRule="exact"/>
        <w:outlineLvl w:val="3"/>
        <w:rPr>
          <w:rFonts w:ascii="Times New Roman" w:hAnsi="Times New Roman" w:eastAsia="宋体" w:cs="Times New Roman"/>
          <w:b/>
          <w:bCs/>
          <w:szCs w:val="21"/>
        </w:rPr>
      </w:pPr>
      <w:bookmarkStart w:id="143" w:name="_Toc989032"/>
      <w:r>
        <w:rPr>
          <w:rFonts w:ascii="Times New Roman" w:hAnsi="Times New Roman" w:eastAsia="宋体" w:cs="Times New Roman"/>
          <w:b/>
          <w:bCs/>
          <w:szCs w:val="21"/>
        </w:rPr>
        <w:t>（1） 确认条件</w:t>
      </w:r>
      <w:bookmarkEnd w:id="143"/>
    </w:p>
    <w:p>
      <w:pPr>
        <w:pStyle w:val="8"/>
        <w:spacing w:line="240" w:lineRule="atLeast"/>
        <w:rPr>
          <w:rFonts w:ascii="Times New Roman" w:hAnsi="Times New Roman" w:cs="Times New Roman"/>
          <w:sz w:val="18"/>
          <w:szCs w:val="18"/>
        </w:rPr>
      </w:pPr>
      <w:r>
        <w:rPr>
          <w:rFonts w:ascii="Times New Roman" w:hAnsi="Times New Roman" w:cs="Times New Roman"/>
          <w:sz w:val="18"/>
          <w:szCs w:val="18"/>
        </w:rPr>
        <w:t>固定资产是指为生产商品、提供劳务、出租或经营管理而持有的，使用寿命超过一个会计年度的有形资产。固定资产仅在与其有关的经济利益很可能流入本集团，且其成本能够可靠地计量时才予以确认。固定资产按成本并考虑预计弃置费用因素的影响进行初始计量。</w:t>
      </w:r>
    </w:p>
    <w:p>
      <w:pPr>
        <w:keepNext/>
        <w:keepLines/>
        <w:spacing w:before="300" w:after="300" w:line="280" w:lineRule="exact"/>
        <w:outlineLvl w:val="3"/>
        <w:rPr>
          <w:rFonts w:ascii="Times New Roman" w:hAnsi="Times New Roman" w:eastAsia="宋体" w:cs="Times New Roman"/>
          <w:b/>
          <w:bCs/>
          <w:szCs w:val="21"/>
        </w:rPr>
      </w:pPr>
      <w:bookmarkStart w:id="144" w:name="_Toc989033"/>
      <w:r>
        <w:rPr>
          <w:rFonts w:ascii="Times New Roman" w:hAnsi="Times New Roman" w:eastAsia="宋体" w:cs="Times New Roman"/>
          <w:b/>
          <w:bCs/>
          <w:szCs w:val="21"/>
        </w:rPr>
        <w:t>（2） 折旧方法</w:t>
      </w:r>
      <w:bookmarkEnd w:id="144"/>
    </w:p>
    <w:p>
      <w:pPr>
        <w:spacing w:line="0" w:lineRule="atLeast"/>
        <w:rPr>
          <w:rFonts w:ascii="Times New Roman" w:hAnsi="Times New Roman" w:cs="Times New Roman"/>
        </w:rPr>
      </w:pP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7"/>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类别</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折旧方法</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折旧年限</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残值率</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年折旧率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房屋及建筑物</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年限平均法</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20-40</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5%</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2.38%-4.75%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机器设备</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年限平均法</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8-14</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0-5%</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6.79%-12.50%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运输工具</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年限平均法</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4-5</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0-5%</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19.00%-25.00%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电子设备</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年限平均法</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3-5</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0-5%</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19.00%-33.33%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其他</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年限平均法</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4-8</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0-5%</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11.88%-25.00%</w:t>
            </w:r>
          </w:p>
        </w:tc>
      </w:tr>
    </w:tbl>
    <w:p>
      <w:pPr>
        <w:pStyle w:val="8"/>
        <w:spacing w:before="0" w:beforeAutospacing="0" w:after="0" w:afterAutospacing="0"/>
        <w:ind w:firstLine="360"/>
        <w:rPr>
          <w:rFonts w:ascii="Times New Roman" w:hAnsi="Times New Roman" w:eastAsia="等线" w:cs="Times New Roman"/>
          <w:sz w:val="21"/>
          <w:szCs w:val="21"/>
        </w:rPr>
      </w:pPr>
      <w:r>
        <w:rPr>
          <w:rFonts w:ascii="Times New Roman" w:hAnsi="Times New Roman" w:cs="Times New Roman"/>
          <w:sz w:val="18"/>
          <w:szCs w:val="18"/>
        </w:rPr>
        <w:t>固定资产从达到预定可使用状态的次月起，采用年限平均法在使用寿命内计提折旧。</w:t>
      </w:r>
    </w:p>
    <w:p>
      <w:pPr>
        <w:pStyle w:val="8"/>
        <w:spacing w:before="0" w:beforeAutospacing="0" w:after="0" w:afterAutospacing="0"/>
        <w:ind w:firstLine="360"/>
        <w:rPr>
          <w:rFonts w:ascii="Times New Roman" w:hAnsi="Times New Roman" w:eastAsia="等线" w:cs="Times New Roman"/>
          <w:sz w:val="21"/>
          <w:szCs w:val="21"/>
        </w:rPr>
      </w:pPr>
      <w:r>
        <w:rPr>
          <w:rFonts w:ascii="Times New Roman" w:hAnsi="Times New Roman" w:cs="Times New Roman"/>
          <w:sz w:val="18"/>
          <w:szCs w:val="18"/>
        </w:rPr>
        <w:t>预计净残值是指假定固定资产预计使用寿命已满并处于使用寿命终了时的预期状态，本集团目前从该项资产处置中获得的扣除预计处置费用后的金额。</w:t>
      </w:r>
    </w:p>
    <w:p>
      <w:pPr>
        <w:pStyle w:val="8"/>
        <w:spacing w:before="0" w:beforeAutospacing="0" w:after="0" w:afterAutospacing="0"/>
        <w:ind w:firstLine="360"/>
        <w:rPr>
          <w:rFonts w:ascii="Times New Roman" w:hAnsi="Times New Roman" w:eastAsia="等线" w:cs="Times New Roman"/>
          <w:sz w:val="21"/>
          <w:szCs w:val="21"/>
        </w:rPr>
      </w:pPr>
      <w:r>
        <w:rPr>
          <w:rFonts w:ascii="Times New Roman" w:hAnsi="Times New Roman" w:cs="Times New Roman"/>
          <w:sz w:val="18"/>
          <w:szCs w:val="18"/>
        </w:rPr>
        <w:t>固定资产的减值测试方法和减值准备计提方法详见附注五、</w:t>
      </w:r>
      <w:r>
        <w:rPr>
          <w:rFonts w:ascii="Times New Roman" w:hAnsi="Times New Roman" w:eastAsia="等线" w:cs="Times New Roman"/>
          <w:sz w:val="18"/>
          <w:szCs w:val="18"/>
        </w:rPr>
        <w:t>31“</w:t>
      </w:r>
      <w:r>
        <w:rPr>
          <w:rFonts w:ascii="Times New Roman" w:hAnsi="Times New Roman" w:cs="Times New Roman"/>
          <w:sz w:val="18"/>
          <w:szCs w:val="18"/>
        </w:rPr>
        <w:t>长期资产减值</w:t>
      </w:r>
      <w:r>
        <w:rPr>
          <w:rFonts w:ascii="Times New Roman" w:hAnsi="Times New Roman" w:eastAsia="等线" w:cs="Times New Roman"/>
          <w:sz w:val="18"/>
          <w:szCs w:val="18"/>
        </w:rPr>
        <w:t>”</w:t>
      </w:r>
      <w:r>
        <w:rPr>
          <w:rFonts w:ascii="Times New Roman" w:hAnsi="Times New Roman" w:cs="Times New Roman"/>
          <w:sz w:val="18"/>
          <w:szCs w:val="18"/>
        </w:rPr>
        <w:t>。</w:t>
      </w:r>
    </w:p>
    <w:p>
      <w:pPr>
        <w:pStyle w:val="8"/>
        <w:spacing w:before="0" w:beforeAutospacing="0" w:after="0" w:afterAutospacing="0"/>
        <w:ind w:firstLine="360"/>
        <w:rPr>
          <w:rFonts w:ascii="Times New Roman" w:hAnsi="Times New Roman" w:eastAsia="等线" w:cs="Times New Roman"/>
          <w:sz w:val="21"/>
          <w:szCs w:val="21"/>
        </w:rPr>
      </w:pPr>
      <w:r>
        <w:rPr>
          <w:rFonts w:ascii="Times New Roman" w:hAnsi="Times New Roman" w:cs="Times New Roman"/>
          <w:sz w:val="18"/>
          <w:szCs w:val="18"/>
        </w:rPr>
        <w:t>与固定资产有关的后续支出，如果与该固定资产有关的经济利益很可能流入且其成本能可靠地计量，则计入固定资产成本，并终止确认被替换部分的账面价值。除此以外的其他后续支出，在发生时计入当期损益。</w:t>
      </w:r>
    </w:p>
    <w:p>
      <w:pPr>
        <w:pStyle w:val="8"/>
        <w:spacing w:before="0" w:beforeAutospacing="0" w:after="0" w:afterAutospacing="0"/>
        <w:ind w:firstLine="360"/>
        <w:rPr>
          <w:rFonts w:ascii="Times New Roman" w:hAnsi="Times New Roman" w:eastAsia="等线" w:cs="Times New Roman"/>
          <w:sz w:val="21"/>
          <w:szCs w:val="21"/>
        </w:rPr>
      </w:pPr>
      <w:r>
        <w:rPr>
          <w:rFonts w:ascii="Times New Roman" w:hAnsi="Times New Roman" w:cs="Times New Roman"/>
          <w:sz w:val="18"/>
          <w:szCs w:val="18"/>
        </w:rPr>
        <w:t>当固定资产处于处置状态或预期通过使用或处置不能产生经济利益时，终止确认该固定资产。固定资产出售、转让、报废或毁损的处置收入扣除其账面价值和相关税费后的差额计入当期损益。</w:t>
      </w:r>
    </w:p>
    <w:p>
      <w:pPr>
        <w:pStyle w:val="8"/>
        <w:spacing w:before="0" w:beforeAutospacing="0" w:after="0" w:afterAutospacing="0"/>
        <w:ind w:firstLine="360"/>
        <w:rPr>
          <w:rFonts w:ascii="Times New Roman" w:hAnsi="Times New Roman" w:eastAsia="等线" w:cs="Times New Roman"/>
          <w:sz w:val="21"/>
          <w:szCs w:val="21"/>
        </w:rPr>
      </w:pPr>
      <w:r>
        <w:rPr>
          <w:rFonts w:ascii="Times New Roman" w:hAnsi="Times New Roman" w:cs="Times New Roman"/>
          <w:sz w:val="18"/>
          <w:szCs w:val="18"/>
        </w:rPr>
        <w:t>本集团至少于年度终了对固定资产的使用寿命、预计净残值和折旧方法进行复核，如发生改变则作为会计估计变更处理。</w:t>
      </w:r>
    </w:p>
    <w:p>
      <w:pPr>
        <w:keepNext/>
        <w:keepLines/>
        <w:spacing w:before="300" w:after="300" w:line="280" w:lineRule="exact"/>
        <w:outlineLvl w:val="3"/>
        <w:rPr>
          <w:rFonts w:ascii="Times New Roman" w:hAnsi="Times New Roman" w:eastAsia="宋体" w:cs="Times New Roman"/>
          <w:b/>
          <w:bCs/>
          <w:szCs w:val="21"/>
        </w:rPr>
      </w:pPr>
      <w:bookmarkStart w:id="145" w:name="_Toc989034"/>
      <w:r>
        <w:rPr>
          <w:rFonts w:ascii="Times New Roman" w:hAnsi="Times New Roman" w:eastAsia="宋体" w:cs="Times New Roman"/>
          <w:b/>
          <w:bCs/>
          <w:szCs w:val="21"/>
        </w:rPr>
        <w:t>（3） 融资租入固定资产的认定依据、计价和折旧方法</w:t>
      </w:r>
      <w:bookmarkEnd w:id="145"/>
    </w:p>
    <w:p>
      <w:pPr>
        <w:pStyle w:val="8"/>
        <w:spacing w:line="240" w:lineRule="atLeast"/>
        <w:rPr>
          <w:rFonts w:ascii="Times New Roman" w:hAnsi="Times New Roman" w:cs="Times New Roman"/>
          <w:sz w:val="18"/>
          <w:szCs w:val="18"/>
        </w:rPr>
      </w:pPr>
      <w:r>
        <w:rPr>
          <w:rFonts w:ascii="Times New Roman" w:hAnsi="Times New Roman" w:cs="Times New Roman"/>
          <w:sz w:val="18"/>
          <w:szCs w:val="18"/>
        </w:rPr>
        <w:t>融资租赁为实质上转移了与资产所有权有关的全部风险和报酬的租赁，其所有权最终可能转移，也可能不转移。以融资租赁方式租入的固定资产采用与自有固定资产一致的政策计提租赁资产折旧。能够合理确定租赁期届满时取得租赁资产所有权的，在租赁资产使用寿命内计提折旧；无法合理确定租赁期届满能够取得租赁资产所有权的，在租赁期与租赁资产使用寿命两者中较短的期间内计提折旧。</w:t>
      </w:r>
    </w:p>
    <w:p>
      <w:pPr>
        <w:pStyle w:val="3"/>
        <w:spacing w:line="280" w:lineRule="exact"/>
        <w:jc w:val="left"/>
        <w:rPr>
          <w:rFonts w:ascii="Times New Roman" w:hAnsi="Times New Roman" w:cs="Times New Roman"/>
          <w:b/>
          <w:bCs/>
        </w:rPr>
      </w:pPr>
      <w:bookmarkStart w:id="146" w:name="_Toc989035"/>
      <w:r>
        <w:rPr>
          <w:rFonts w:ascii="Times New Roman" w:hAnsi="Times New Roman" w:cs="Times New Roman"/>
          <w:b/>
          <w:bCs/>
        </w:rPr>
        <w:t>25、在建工程</w:t>
      </w:r>
      <w:bookmarkEnd w:id="146"/>
    </w:p>
    <w:p>
      <w:pPr>
        <w:pStyle w:val="8"/>
        <w:spacing w:before="0" w:beforeAutospacing="0" w:after="0" w:afterAutospacing="0" w:line="276" w:lineRule="auto"/>
        <w:ind w:firstLine="420"/>
        <w:rPr>
          <w:rFonts w:ascii="Times New Roman" w:hAnsi="Times New Roman" w:cs="Times New Roman"/>
        </w:rPr>
      </w:pPr>
      <w:r>
        <w:rPr>
          <w:rFonts w:ascii="Times New Roman" w:hAnsi="Times New Roman" w:cs="Times New Roman"/>
          <w:sz w:val="18"/>
          <w:szCs w:val="18"/>
        </w:rPr>
        <w:t>在建工程成本按实际工程支出确定，包括在建期间发生的各项工程支出、工程达到预定可使用状态前的资本化的借款费用以及其他相关费用等。在建工程在达到预定可使用状态后结转为固定资产。</w:t>
      </w:r>
    </w:p>
    <w:p>
      <w:pPr>
        <w:pStyle w:val="8"/>
        <w:spacing w:before="0" w:beforeAutospacing="0" w:after="0" w:afterAutospacing="0" w:line="276" w:lineRule="auto"/>
        <w:jc w:val="both"/>
        <w:rPr>
          <w:rFonts w:ascii="Times New Roman" w:hAnsi="Times New Roman" w:cs="Times New Roman"/>
        </w:rPr>
      </w:pPr>
      <w:r>
        <w:rPr>
          <w:rFonts w:ascii="Times New Roman" w:hAnsi="Times New Roman" w:cs="Times New Roman"/>
          <w:sz w:val="18"/>
          <w:szCs w:val="18"/>
        </w:rPr>
        <w:t>在建工程的减值测试方法和减值准备计提方法详见附注五、31“长期资产减值”。</w:t>
      </w:r>
    </w:p>
    <w:p>
      <w:pPr>
        <w:pStyle w:val="3"/>
        <w:spacing w:line="280" w:lineRule="exact"/>
        <w:jc w:val="left"/>
        <w:rPr>
          <w:rFonts w:ascii="Times New Roman" w:hAnsi="Times New Roman" w:cs="Times New Roman"/>
          <w:b/>
          <w:bCs/>
        </w:rPr>
      </w:pPr>
      <w:bookmarkStart w:id="147" w:name="_Toc989036"/>
      <w:r>
        <w:rPr>
          <w:rFonts w:ascii="Times New Roman" w:hAnsi="Times New Roman" w:cs="Times New Roman"/>
          <w:b/>
          <w:bCs/>
        </w:rPr>
        <w:t>26、借款费用</w:t>
      </w:r>
      <w:bookmarkEnd w:id="147"/>
    </w:p>
    <w:p>
      <w:pPr>
        <w:pStyle w:val="8"/>
        <w:spacing w:before="0" w:beforeAutospacing="0" w:after="0" w:afterAutospacing="0" w:line="276" w:lineRule="auto"/>
        <w:ind w:firstLine="420"/>
        <w:rPr>
          <w:rFonts w:ascii="Times New Roman" w:hAnsi="Times New Roman" w:cs="Times New Roman"/>
        </w:rPr>
      </w:pPr>
      <w:r>
        <w:rPr>
          <w:rFonts w:ascii="Times New Roman" w:hAnsi="Times New Roman" w:cs="Times New Roman"/>
          <w:sz w:val="18"/>
          <w:szCs w:val="18"/>
        </w:rPr>
        <w:t>借款费用包括借款利息、折价或溢价的摊销、辅助费用以及因外币借款而发生的汇兑差额等。可直接归属于符合资本化条件的资产的购建或者生产的借款费用，在资产支出已经发生、借款费用已经发生、为使资产达到预定可使用或可销售状态所必要的购建或生产活动已经开始时，开始资本化；购建或者生产的符合资本化条件的资产达到预定可使用状态或者可销售状态时，停止资本化。其余借款费用在发生当期确认为费用。</w:t>
      </w:r>
    </w:p>
    <w:p>
      <w:pPr>
        <w:pStyle w:val="8"/>
        <w:spacing w:before="0" w:beforeAutospacing="0" w:after="0" w:afterAutospacing="0" w:line="276" w:lineRule="auto"/>
        <w:ind w:firstLine="420"/>
        <w:rPr>
          <w:rFonts w:ascii="Times New Roman" w:hAnsi="Times New Roman" w:cs="Times New Roman"/>
        </w:rPr>
      </w:pPr>
      <w:r>
        <w:rPr>
          <w:rFonts w:ascii="Times New Roman" w:hAnsi="Times New Roman" w:cs="Times New Roman"/>
          <w:sz w:val="18"/>
          <w:szCs w:val="18"/>
        </w:rPr>
        <w:t>专门借款当期实际发生的利息费用，减去尚未动用的借款资金存入银行取得的利息收入或进行暂时性投资取得的投资收益后的金额予以资本化；一般借款根据累计资产支出超过专门借款部分的资产支出加权平均数乘以所占用一般借款的资本化率，确定资本化金额。资本化率根据一般借款的加权平均利率计算确定。</w:t>
      </w:r>
    </w:p>
    <w:p>
      <w:pPr>
        <w:pStyle w:val="8"/>
        <w:spacing w:before="0" w:beforeAutospacing="0" w:after="0" w:afterAutospacing="0" w:line="276" w:lineRule="auto"/>
        <w:ind w:firstLine="420"/>
        <w:rPr>
          <w:rFonts w:ascii="Times New Roman" w:hAnsi="Times New Roman" w:cs="Times New Roman"/>
        </w:rPr>
      </w:pPr>
      <w:r>
        <w:rPr>
          <w:rFonts w:ascii="Times New Roman" w:hAnsi="Times New Roman" w:cs="Times New Roman"/>
          <w:sz w:val="18"/>
          <w:szCs w:val="18"/>
        </w:rPr>
        <w:t>资本化期间内，外币专门借款的汇兑差额全部予以资本化；外币一般借款的汇兑差额计入当期损益。</w:t>
      </w:r>
    </w:p>
    <w:p>
      <w:pPr>
        <w:pStyle w:val="8"/>
        <w:spacing w:before="0" w:beforeAutospacing="0" w:after="0" w:afterAutospacing="0" w:line="276" w:lineRule="auto"/>
        <w:ind w:firstLine="420"/>
        <w:rPr>
          <w:rFonts w:ascii="Times New Roman" w:hAnsi="Times New Roman" w:cs="Times New Roman"/>
        </w:rPr>
      </w:pPr>
      <w:r>
        <w:rPr>
          <w:rFonts w:ascii="Times New Roman" w:hAnsi="Times New Roman" w:cs="Times New Roman"/>
          <w:sz w:val="18"/>
          <w:szCs w:val="18"/>
        </w:rPr>
        <w:t>符合资本化条件的资产指需要经过相当长时间的购建或者生产活动才能达到预定可使用或可销售状态的固定资产、投资性房地产和存货等资产。</w:t>
      </w:r>
    </w:p>
    <w:p>
      <w:pPr>
        <w:pStyle w:val="8"/>
        <w:ind w:firstLine="360" w:firstLineChars="200"/>
        <w:rPr>
          <w:rFonts w:ascii="Times New Roman" w:hAnsi="Times New Roman" w:cs="Times New Roman"/>
          <w:sz w:val="18"/>
          <w:szCs w:val="18"/>
        </w:rPr>
      </w:pPr>
      <w:r>
        <w:rPr>
          <w:rFonts w:ascii="Times New Roman" w:hAnsi="Times New Roman" w:cs="Times New Roman"/>
          <w:sz w:val="18"/>
          <w:szCs w:val="18"/>
        </w:rPr>
        <w:t>如果符合资本化条件的资产在购建或生产过程中发生非正常中断、并且中断时间连续超过3个月的，暂停借款费用的资本化，直至资产的购建或生产活动重新开始。</w:t>
      </w:r>
    </w:p>
    <w:p>
      <w:pPr>
        <w:pStyle w:val="3"/>
        <w:spacing w:line="280" w:lineRule="exact"/>
        <w:jc w:val="left"/>
        <w:rPr>
          <w:rFonts w:ascii="Times New Roman" w:hAnsi="Times New Roman" w:cs="Times New Roman"/>
          <w:b/>
          <w:bCs/>
        </w:rPr>
      </w:pPr>
      <w:bookmarkStart w:id="148" w:name="_Toc989037"/>
      <w:r>
        <w:rPr>
          <w:rFonts w:ascii="Times New Roman" w:hAnsi="Times New Roman" w:cs="Times New Roman"/>
          <w:b/>
          <w:bCs/>
        </w:rPr>
        <w:t>27、生物资产</w:t>
      </w:r>
      <w:bookmarkEnd w:id="148"/>
    </w:p>
    <w:p>
      <w:pPr>
        <w:pStyle w:val="8"/>
        <w:spacing w:before="0" w:beforeAutospacing="0" w:after="0" w:afterAutospacing="0" w:line="276" w:lineRule="auto"/>
        <w:ind w:firstLine="420"/>
        <w:jc w:val="both"/>
        <w:rPr>
          <w:rFonts w:ascii="Times New Roman" w:hAnsi="Times New Roman" w:cs="Times New Roman"/>
        </w:rPr>
      </w:pPr>
      <w:r>
        <w:rPr>
          <w:rFonts w:ascii="Times New Roman" w:hAnsi="Times New Roman" w:cs="Times New Roman"/>
          <w:sz w:val="18"/>
          <w:szCs w:val="18"/>
        </w:rPr>
        <w:t>（1）消耗性生物资产</w:t>
      </w:r>
    </w:p>
    <w:p>
      <w:pPr>
        <w:pStyle w:val="8"/>
        <w:spacing w:before="0" w:beforeAutospacing="0" w:after="0" w:afterAutospacing="0" w:line="276" w:lineRule="auto"/>
        <w:ind w:firstLine="420"/>
        <w:jc w:val="both"/>
        <w:rPr>
          <w:rFonts w:ascii="Times New Roman" w:hAnsi="Times New Roman" w:cs="Times New Roman"/>
        </w:rPr>
      </w:pPr>
      <w:r>
        <w:rPr>
          <w:rFonts w:ascii="Times New Roman" w:hAnsi="Times New Roman" w:cs="Times New Roman"/>
          <w:sz w:val="18"/>
          <w:szCs w:val="18"/>
        </w:rPr>
        <w:t>消耗性生物资产是指为出售而持有的、或在将来收获为农产品的生物资产，包括生长中的大田作物、蔬菜、用材林以及存栏待售的牲畜等。消耗性生物资产按照成本进行初始计量。自行栽培、营造、繁殖或养殖的消耗性生物资产的成本，为该资产在出售或入库前发生的可直接归属于该资产的必要支出，包括符合资本化条件的借款费用。消耗性生物资产在入库后发生的管护、饲养费用等后续支出，计入当期损益。</w:t>
      </w:r>
    </w:p>
    <w:p>
      <w:pPr>
        <w:pStyle w:val="8"/>
        <w:spacing w:before="0" w:beforeAutospacing="0" w:after="0" w:afterAutospacing="0" w:line="276" w:lineRule="auto"/>
        <w:ind w:firstLine="420"/>
        <w:jc w:val="both"/>
        <w:rPr>
          <w:rFonts w:ascii="Times New Roman" w:hAnsi="Times New Roman" w:cs="Times New Roman"/>
        </w:rPr>
      </w:pPr>
      <w:r>
        <w:rPr>
          <w:rFonts w:ascii="Times New Roman" w:hAnsi="Times New Roman" w:cs="Times New Roman"/>
          <w:sz w:val="18"/>
          <w:szCs w:val="18"/>
        </w:rPr>
        <w:t>消耗性生物资产在收获或出售时，采用加权平均法按账面价值结转成本。</w:t>
      </w:r>
    </w:p>
    <w:p>
      <w:pPr>
        <w:pStyle w:val="8"/>
        <w:spacing w:before="0" w:beforeAutospacing="0" w:after="0" w:afterAutospacing="0" w:line="276" w:lineRule="auto"/>
        <w:ind w:firstLine="420"/>
        <w:jc w:val="both"/>
        <w:rPr>
          <w:rFonts w:ascii="Times New Roman" w:hAnsi="Times New Roman" w:cs="Times New Roman"/>
        </w:rPr>
      </w:pPr>
      <w:r>
        <w:rPr>
          <w:rFonts w:ascii="Times New Roman" w:hAnsi="Times New Roman" w:cs="Times New Roman"/>
          <w:sz w:val="18"/>
          <w:szCs w:val="18"/>
        </w:rPr>
        <w:t>资产负债表日，消耗性生物资产按照成本与可变现净值孰低计量，并采用与确认存货跌价准备一致的方法计算确认消耗性生物资产的跌价准备。如果减值的影响因素已经消失的，减记的金额应当予以恢复，并在原已计提的跌价准备金额内转回，转回金额计入当期损益。</w:t>
      </w:r>
    </w:p>
    <w:p>
      <w:pPr>
        <w:pStyle w:val="8"/>
        <w:spacing w:before="0" w:beforeAutospacing="0" w:after="0" w:afterAutospacing="0" w:line="276" w:lineRule="auto"/>
        <w:ind w:firstLine="420"/>
        <w:jc w:val="both"/>
        <w:rPr>
          <w:rFonts w:ascii="Times New Roman" w:hAnsi="Times New Roman" w:cs="Times New Roman"/>
        </w:rPr>
      </w:pPr>
      <w:r>
        <w:rPr>
          <w:rFonts w:ascii="Times New Roman" w:hAnsi="Times New Roman" w:cs="Times New Roman"/>
          <w:sz w:val="18"/>
          <w:szCs w:val="18"/>
        </w:rPr>
        <w:t>如果消耗性生物资产改变用途，作为生产性生物资产，改变用途后的成本按改变用途时的账面价值确定。如果消耗性生物资产改变用途，作为公益性生物资产，则按照《企业会计准则第8号——资产减值》规定考虑是否发生减值，发生减值时先计提减值准备，再按计提减值准备后的账面价值确定。</w:t>
      </w:r>
    </w:p>
    <w:p>
      <w:pPr>
        <w:pStyle w:val="8"/>
        <w:spacing w:before="0" w:beforeAutospacing="0" w:after="0" w:afterAutospacing="0" w:line="276" w:lineRule="auto"/>
        <w:ind w:firstLine="420"/>
        <w:jc w:val="both"/>
        <w:rPr>
          <w:rFonts w:ascii="Times New Roman" w:hAnsi="Times New Roman" w:cs="Times New Roman"/>
        </w:rPr>
      </w:pPr>
      <w:r>
        <w:rPr>
          <w:rFonts w:ascii="Times New Roman" w:hAnsi="Times New Roman" w:cs="Times New Roman"/>
          <w:sz w:val="18"/>
          <w:szCs w:val="18"/>
        </w:rPr>
        <w:t>（2）生产性生物资产</w:t>
      </w:r>
    </w:p>
    <w:p>
      <w:pPr>
        <w:pStyle w:val="8"/>
        <w:spacing w:before="0" w:beforeAutospacing="0" w:after="0" w:afterAutospacing="0" w:line="276" w:lineRule="auto"/>
        <w:ind w:firstLine="420"/>
        <w:jc w:val="both"/>
        <w:rPr>
          <w:rFonts w:ascii="Times New Roman" w:hAnsi="Times New Roman" w:cs="Times New Roman"/>
        </w:rPr>
      </w:pPr>
      <w:r>
        <w:rPr>
          <w:rFonts w:ascii="Times New Roman" w:hAnsi="Times New Roman" w:cs="Times New Roman"/>
          <w:sz w:val="18"/>
          <w:szCs w:val="18"/>
        </w:rPr>
        <w:t>生产性生物资产是指为产出农产品、提供劳务或出租等目的而持有的生物资产，包括经济林、薪炭林、产畜和役畜等。生产性生物资产按照成本进行初始计量。自行营造或繁殖的生产性生物资产的成本，为该资产在达到预定生产经营目的前发生的可直接归属于该资产的必要支出，包括符合资本化条件的借款费用。</w:t>
      </w:r>
    </w:p>
    <w:p>
      <w:pPr>
        <w:pStyle w:val="8"/>
        <w:spacing w:before="0" w:beforeAutospacing="0" w:after="0" w:afterAutospacing="0" w:line="276" w:lineRule="auto"/>
        <w:ind w:firstLine="420"/>
        <w:jc w:val="both"/>
        <w:rPr>
          <w:rFonts w:ascii="Times New Roman" w:hAnsi="Times New Roman" w:cs="Times New Roman"/>
        </w:rPr>
      </w:pPr>
      <w:r>
        <w:rPr>
          <w:rFonts w:ascii="Times New Roman" w:hAnsi="Times New Roman" w:cs="Times New Roman"/>
          <w:sz w:val="18"/>
          <w:szCs w:val="18"/>
        </w:rPr>
        <w:t>生产性生物资产在达到预定生产经营目的后采用年限平均法在使用寿命内计提折旧。各类生产性生物资产的使用寿命、预计净残值率和年折旧率列示如下：</w:t>
      </w:r>
    </w:p>
    <w:tbl>
      <w:tblPr>
        <w:tblStyle w:val="9"/>
        <w:tblW w:w="5000" w:type="pct"/>
        <w:tblInd w:w="0" w:type="dxa"/>
        <w:tblLayout w:type="autofit"/>
        <w:tblCellMar>
          <w:top w:w="0" w:type="dxa"/>
          <w:left w:w="0" w:type="dxa"/>
          <w:bottom w:w="0" w:type="dxa"/>
          <w:right w:w="0" w:type="dxa"/>
        </w:tblCellMar>
      </w:tblPr>
      <w:tblGrid>
        <w:gridCol w:w="3078"/>
        <w:gridCol w:w="2260"/>
        <w:gridCol w:w="2258"/>
        <w:gridCol w:w="2257"/>
      </w:tblGrid>
      <w:tr>
        <w:tblPrEx>
          <w:tblCellMar>
            <w:top w:w="0" w:type="dxa"/>
            <w:left w:w="0" w:type="dxa"/>
            <w:bottom w:w="0" w:type="dxa"/>
            <w:right w:w="0" w:type="dxa"/>
          </w:tblCellMar>
        </w:tblPrEx>
        <w:trPr>
          <w:trHeight w:val="340" w:hRule="atLeast"/>
        </w:trPr>
        <w:tc>
          <w:tcPr>
            <w:tcW w:w="1562"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8"/>
              <w:spacing w:before="0" w:beforeAutospacing="0" w:after="0" w:afterAutospacing="0" w:line="276" w:lineRule="auto"/>
              <w:jc w:val="center"/>
              <w:rPr>
                <w:rFonts w:ascii="Times New Roman" w:hAnsi="Times New Roman" w:cs="Times New Roman"/>
              </w:rPr>
            </w:pPr>
            <w:r>
              <w:rPr>
                <w:rFonts w:ascii="Times New Roman" w:hAnsi="Times New Roman" w:cs="Times New Roman"/>
                <w:sz w:val="18"/>
                <w:szCs w:val="18"/>
              </w:rPr>
              <w:t>类别</w:t>
            </w:r>
          </w:p>
        </w:tc>
        <w:tc>
          <w:tcPr>
            <w:tcW w:w="1147" w:type="pc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pStyle w:val="8"/>
              <w:spacing w:before="0" w:beforeAutospacing="0" w:after="0" w:afterAutospacing="0" w:line="276" w:lineRule="auto"/>
              <w:jc w:val="center"/>
              <w:rPr>
                <w:rFonts w:ascii="Times New Roman" w:hAnsi="Times New Roman" w:cs="Times New Roman"/>
              </w:rPr>
            </w:pPr>
            <w:r>
              <w:rPr>
                <w:rFonts w:ascii="Times New Roman" w:hAnsi="Times New Roman" w:cs="Times New Roman"/>
                <w:sz w:val="18"/>
                <w:szCs w:val="18"/>
              </w:rPr>
              <w:t>使用年限（年）</w:t>
            </w:r>
          </w:p>
        </w:tc>
        <w:tc>
          <w:tcPr>
            <w:tcW w:w="1146" w:type="pc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pStyle w:val="8"/>
              <w:spacing w:before="0" w:beforeAutospacing="0" w:after="0" w:afterAutospacing="0" w:line="276" w:lineRule="auto"/>
              <w:jc w:val="center"/>
              <w:rPr>
                <w:rFonts w:ascii="Times New Roman" w:hAnsi="Times New Roman" w:cs="Times New Roman"/>
              </w:rPr>
            </w:pPr>
            <w:r>
              <w:rPr>
                <w:rFonts w:ascii="Times New Roman" w:hAnsi="Times New Roman" w:cs="Times New Roman"/>
                <w:sz w:val="18"/>
                <w:szCs w:val="18"/>
              </w:rPr>
              <w:t>残值率（%）</w:t>
            </w:r>
          </w:p>
        </w:tc>
        <w:tc>
          <w:tcPr>
            <w:tcW w:w="1145" w:type="pc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pStyle w:val="8"/>
              <w:spacing w:before="0" w:beforeAutospacing="0" w:after="0" w:afterAutospacing="0" w:line="276" w:lineRule="auto"/>
              <w:jc w:val="center"/>
              <w:rPr>
                <w:rFonts w:ascii="Times New Roman" w:hAnsi="Times New Roman" w:cs="Times New Roman"/>
              </w:rPr>
            </w:pPr>
            <w:r>
              <w:rPr>
                <w:rFonts w:ascii="Times New Roman" w:hAnsi="Times New Roman" w:cs="Times New Roman"/>
                <w:sz w:val="18"/>
                <w:szCs w:val="18"/>
              </w:rPr>
              <w:t>年折旧率（%）</w:t>
            </w:r>
          </w:p>
        </w:tc>
      </w:tr>
      <w:tr>
        <w:tblPrEx>
          <w:tblCellMar>
            <w:top w:w="0" w:type="dxa"/>
            <w:left w:w="0" w:type="dxa"/>
            <w:bottom w:w="0" w:type="dxa"/>
            <w:right w:w="0" w:type="dxa"/>
          </w:tblCellMar>
        </w:tblPrEx>
        <w:trPr>
          <w:trHeight w:val="340" w:hRule="atLeast"/>
        </w:trPr>
        <w:tc>
          <w:tcPr>
            <w:tcW w:w="1562"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8"/>
              <w:spacing w:before="0" w:beforeAutospacing="0" w:after="0" w:afterAutospacing="0" w:line="276" w:lineRule="auto"/>
              <w:jc w:val="center"/>
              <w:rPr>
                <w:rFonts w:ascii="Times New Roman" w:hAnsi="Times New Roman" w:cs="Times New Roman"/>
              </w:rPr>
            </w:pPr>
            <w:r>
              <w:rPr>
                <w:rFonts w:ascii="Times New Roman" w:hAnsi="Times New Roman" w:cs="Times New Roman"/>
                <w:sz w:val="18"/>
                <w:szCs w:val="18"/>
              </w:rPr>
              <w:t>种猪</w:t>
            </w:r>
          </w:p>
        </w:tc>
        <w:tc>
          <w:tcPr>
            <w:tcW w:w="1147" w:type="pct"/>
            <w:tcBorders>
              <w:top w:val="nil"/>
              <w:left w:val="nil"/>
              <w:bottom w:val="single" w:color="auto" w:sz="8" w:space="0"/>
              <w:right w:val="single" w:color="auto" w:sz="8" w:space="0"/>
            </w:tcBorders>
            <w:tcMar>
              <w:top w:w="0" w:type="dxa"/>
              <w:left w:w="108" w:type="dxa"/>
              <w:bottom w:w="0" w:type="dxa"/>
              <w:right w:w="108" w:type="dxa"/>
            </w:tcMar>
            <w:vAlign w:val="center"/>
          </w:tcPr>
          <w:p>
            <w:pPr>
              <w:pStyle w:val="8"/>
              <w:spacing w:before="0" w:beforeAutospacing="0" w:after="0" w:afterAutospacing="0" w:line="276" w:lineRule="auto"/>
              <w:jc w:val="center"/>
              <w:rPr>
                <w:rFonts w:ascii="Times New Roman" w:hAnsi="Times New Roman" w:cs="Times New Roman"/>
              </w:rPr>
            </w:pPr>
            <w:r>
              <w:rPr>
                <w:rFonts w:ascii="Times New Roman" w:hAnsi="Times New Roman" w:cs="Times New Roman"/>
                <w:sz w:val="18"/>
                <w:szCs w:val="18"/>
              </w:rPr>
              <w:t>3</w:t>
            </w:r>
          </w:p>
        </w:tc>
        <w:tc>
          <w:tcPr>
            <w:tcW w:w="1146" w:type="pct"/>
            <w:tcBorders>
              <w:top w:val="nil"/>
              <w:left w:val="nil"/>
              <w:bottom w:val="single" w:color="auto" w:sz="8" w:space="0"/>
              <w:right w:val="single" w:color="auto" w:sz="8" w:space="0"/>
            </w:tcBorders>
            <w:tcMar>
              <w:top w:w="0" w:type="dxa"/>
              <w:left w:w="108" w:type="dxa"/>
              <w:bottom w:w="0" w:type="dxa"/>
              <w:right w:w="108" w:type="dxa"/>
            </w:tcMar>
            <w:vAlign w:val="center"/>
          </w:tcPr>
          <w:p>
            <w:pPr>
              <w:pStyle w:val="8"/>
              <w:spacing w:before="0" w:beforeAutospacing="0" w:after="0" w:afterAutospacing="0" w:line="276" w:lineRule="auto"/>
              <w:jc w:val="center"/>
              <w:rPr>
                <w:rFonts w:ascii="Times New Roman" w:hAnsi="Times New Roman" w:cs="Times New Roman"/>
              </w:rPr>
            </w:pPr>
            <w:r>
              <w:rPr>
                <w:rFonts w:ascii="Times New Roman" w:hAnsi="Times New Roman" w:cs="Times New Roman"/>
                <w:sz w:val="18"/>
                <w:szCs w:val="18"/>
              </w:rPr>
              <w:t>0</w:t>
            </w:r>
          </w:p>
        </w:tc>
        <w:tc>
          <w:tcPr>
            <w:tcW w:w="1145" w:type="pct"/>
            <w:tcBorders>
              <w:top w:val="nil"/>
              <w:left w:val="nil"/>
              <w:bottom w:val="single" w:color="auto" w:sz="8" w:space="0"/>
              <w:right w:val="single" w:color="auto" w:sz="8" w:space="0"/>
            </w:tcBorders>
            <w:tcMar>
              <w:top w:w="0" w:type="dxa"/>
              <w:left w:w="108" w:type="dxa"/>
              <w:bottom w:w="0" w:type="dxa"/>
              <w:right w:w="108" w:type="dxa"/>
            </w:tcMar>
            <w:vAlign w:val="center"/>
          </w:tcPr>
          <w:p>
            <w:pPr>
              <w:pStyle w:val="8"/>
              <w:spacing w:before="0" w:beforeAutospacing="0" w:after="0" w:afterAutospacing="0" w:line="276" w:lineRule="auto"/>
              <w:jc w:val="center"/>
              <w:rPr>
                <w:rFonts w:ascii="Times New Roman" w:hAnsi="Times New Roman" w:cs="Times New Roman"/>
              </w:rPr>
            </w:pPr>
            <w:r>
              <w:rPr>
                <w:rFonts w:ascii="Times New Roman" w:hAnsi="Times New Roman" w:cs="Times New Roman"/>
                <w:sz w:val="18"/>
                <w:szCs w:val="18"/>
              </w:rPr>
              <w:t>33.33</w:t>
            </w:r>
          </w:p>
        </w:tc>
      </w:tr>
    </w:tbl>
    <w:p>
      <w:pPr>
        <w:pStyle w:val="8"/>
        <w:spacing w:before="0" w:beforeAutospacing="0" w:after="0" w:afterAutospacing="0" w:line="276" w:lineRule="auto"/>
        <w:ind w:firstLine="420"/>
        <w:jc w:val="both"/>
        <w:rPr>
          <w:rFonts w:ascii="Times New Roman" w:hAnsi="Times New Roman" w:cs="Times New Roman"/>
        </w:rPr>
      </w:pPr>
      <w:r>
        <w:rPr>
          <w:rFonts w:ascii="Times New Roman" w:hAnsi="Times New Roman" w:cs="Times New Roman"/>
          <w:sz w:val="18"/>
          <w:szCs w:val="18"/>
        </w:rPr>
        <w:t>本集团至少于年度终了对生产性生物资产的使用寿命、预计净残值和折旧方法进行复核，如发生改变则作为会计估计变更处理。</w:t>
      </w:r>
    </w:p>
    <w:p>
      <w:pPr>
        <w:pStyle w:val="8"/>
        <w:spacing w:before="0" w:beforeAutospacing="0" w:after="0" w:afterAutospacing="0" w:line="276" w:lineRule="auto"/>
        <w:ind w:firstLine="420"/>
        <w:jc w:val="both"/>
        <w:rPr>
          <w:rFonts w:ascii="Times New Roman" w:hAnsi="Times New Roman" w:cs="Times New Roman"/>
        </w:rPr>
      </w:pPr>
      <w:r>
        <w:rPr>
          <w:rFonts w:ascii="Times New Roman" w:hAnsi="Times New Roman" w:cs="Times New Roman"/>
          <w:sz w:val="18"/>
          <w:szCs w:val="18"/>
        </w:rPr>
        <w:t>生产性生物资产出售、盘亏、死亡或毁损的处置收入扣除其账面价值和相关税费后的差额计入当期损益。</w:t>
      </w:r>
    </w:p>
    <w:p>
      <w:pPr>
        <w:pStyle w:val="8"/>
        <w:spacing w:before="0" w:beforeAutospacing="0" w:after="0" w:afterAutospacing="0" w:line="276" w:lineRule="auto"/>
        <w:ind w:firstLine="420"/>
        <w:jc w:val="both"/>
        <w:rPr>
          <w:rFonts w:ascii="Times New Roman" w:hAnsi="Times New Roman" w:cs="Times New Roman"/>
        </w:rPr>
      </w:pPr>
      <w:r>
        <w:rPr>
          <w:rFonts w:ascii="Times New Roman" w:hAnsi="Times New Roman" w:cs="Times New Roman"/>
          <w:sz w:val="18"/>
          <w:szCs w:val="18"/>
        </w:rPr>
        <w:t>本集团在每一个资产负债表日检查生产性生物资产是否存在可能发生减值的迹象。如果该资产存在减值迹象，则估计其可收回金额。估计资产的可收回金额以单项资产为基础，如果难以对单项资产的可收回金额进行估计的，则以该资产所属的资产组为基础确定资产组的可收回金额。如果资产的可收回金额低于其账面价值，按其差额计提资产减值准备，并计入当期损益。</w:t>
      </w:r>
    </w:p>
    <w:p>
      <w:pPr>
        <w:pStyle w:val="8"/>
        <w:spacing w:before="0" w:beforeAutospacing="0" w:after="0" w:afterAutospacing="0" w:line="276" w:lineRule="auto"/>
        <w:ind w:firstLine="420"/>
        <w:jc w:val="both"/>
        <w:rPr>
          <w:rFonts w:ascii="Times New Roman" w:hAnsi="Times New Roman" w:cs="Times New Roman"/>
        </w:rPr>
      </w:pPr>
      <w:r>
        <w:rPr>
          <w:rFonts w:ascii="Times New Roman" w:hAnsi="Times New Roman" w:cs="Times New Roman"/>
          <w:sz w:val="18"/>
          <w:szCs w:val="18"/>
        </w:rPr>
        <w:t>上述资产减值损失一经确认，在以后会计期间不予转回。</w:t>
      </w:r>
    </w:p>
    <w:p>
      <w:pPr>
        <w:pStyle w:val="8"/>
        <w:spacing w:before="0" w:beforeAutospacing="0" w:after="0" w:afterAutospacing="0" w:line="276" w:lineRule="auto"/>
        <w:ind w:firstLine="420"/>
        <w:jc w:val="both"/>
        <w:rPr>
          <w:rFonts w:ascii="Times New Roman" w:hAnsi="Times New Roman" w:cs="Times New Roman"/>
        </w:rPr>
      </w:pPr>
      <w:r>
        <w:rPr>
          <w:rFonts w:ascii="Times New Roman" w:hAnsi="Times New Roman" w:cs="Times New Roman"/>
          <w:sz w:val="18"/>
          <w:szCs w:val="18"/>
        </w:rPr>
        <w:t>如果生产性生物资产改变用途，作为消耗性生物资产，其改变用途后的成本按改变用途时的账面价值确定；若生产性生物资产改变用途作为公益性生物资产，则按照《企业会计准则第8号――资产减值》规定考虑是否发生减值，发生减值时先计提减值准备，再按计提减值准备后的账面价值确定。</w:t>
      </w:r>
    </w:p>
    <w:p>
      <w:pPr>
        <w:pStyle w:val="3"/>
        <w:spacing w:line="280" w:lineRule="exact"/>
        <w:jc w:val="left"/>
        <w:rPr>
          <w:rFonts w:ascii="Times New Roman" w:hAnsi="Times New Roman" w:cs="Times New Roman"/>
          <w:b/>
          <w:bCs/>
        </w:rPr>
      </w:pPr>
      <w:bookmarkStart w:id="149" w:name="_Toc989038"/>
      <w:r>
        <w:rPr>
          <w:rFonts w:ascii="Times New Roman" w:hAnsi="Times New Roman" w:cs="Times New Roman"/>
          <w:b/>
          <w:bCs/>
        </w:rPr>
        <w:t>28、油气资产</w:t>
      </w:r>
      <w:bookmarkEnd w:id="149"/>
    </w:p>
    <w:p>
      <w:pPr>
        <w:pStyle w:val="8"/>
        <w:rPr>
          <w:rFonts w:ascii="Times New Roman" w:hAnsi="Times New Roman" w:cs="Times New Roman"/>
          <w:sz w:val="18"/>
          <w:szCs w:val="18"/>
        </w:rPr>
      </w:pPr>
      <w:r>
        <w:rPr>
          <w:rFonts w:ascii="Times New Roman" w:hAnsi="Times New Roman" w:cs="Times New Roman"/>
          <w:sz w:val="18"/>
          <w:szCs w:val="18"/>
        </w:rPr>
        <w:t>无</w:t>
      </w:r>
    </w:p>
    <w:p>
      <w:pPr>
        <w:pStyle w:val="3"/>
        <w:spacing w:line="280" w:lineRule="exact"/>
        <w:jc w:val="left"/>
        <w:rPr>
          <w:rFonts w:ascii="Times New Roman" w:hAnsi="Times New Roman" w:cs="Times New Roman"/>
          <w:b/>
          <w:bCs/>
        </w:rPr>
      </w:pPr>
      <w:bookmarkStart w:id="150" w:name="_Toc989039"/>
      <w:r>
        <w:rPr>
          <w:rFonts w:ascii="Times New Roman" w:hAnsi="Times New Roman" w:cs="Times New Roman"/>
          <w:b/>
          <w:bCs/>
        </w:rPr>
        <w:t>29、使用权资产</w:t>
      </w:r>
      <w:bookmarkEnd w:id="150"/>
    </w:p>
    <w:p>
      <w:pPr>
        <w:pStyle w:val="8"/>
        <w:spacing w:before="0" w:beforeAutospacing="0" w:after="0" w:afterAutospacing="0" w:line="360" w:lineRule="auto"/>
        <w:ind w:firstLine="420"/>
        <w:jc w:val="both"/>
        <w:rPr>
          <w:rFonts w:ascii="Times New Roman" w:hAnsi="Times New Roman" w:cs="Times New Roman"/>
        </w:rPr>
      </w:pPr>
      <w:r>
        <w:rPr>
          <w:rFonts w:ascii="Times New Roman" w:hAnsi="Times New Roman" w:cs="Times New Roman"/>
          <w:sz w:val="18"/>
          <w:szCs w:val="18"/>
        </w:rPr>
        <w:t>使用权资产的确定方法及会计处理方法，参见本附注五、42“租赁”。</w:t>
      </w:r>
    </w:p>
    <w:p>
      <w:pPr>
        <w:pStyle w:val="3"/>
        <w:spacing w:line="280" w:lineRule="exact"/>
        <w:jc w:val="left"/>
        <w:rPr>
          <w:rFonts w:ascii="Times New Roman" w:hAnsi="Times New Roman" w:cs="Times New Roman"/>
          <w:b/>
          <w:bCs/>
        </w:rPr>
      </w:pPr>
      <w:bookmarkStart w:id="151" w:name="_Toc989040"/>
      <w:r>
        <w:rPr>
          <w:rFonts w:ascii="Times New Roman" w:hAnsi="Times New Roman" w:cs="Times New Roman"/>
          <w:b/>
          <w:bCs/>
        </w:rPr>
        <w:t>30、无形资产</w:t>
      </w:r>
      <w:bookmarkEnd w:id="151"/>
    </w:p>
    <w:p>
      <w:pPr>
        <w:keepNext/>
        <w:keepLines/>
        <w:spacing w:before="300" w:after="300" w:line="280" w:lineRule="exact"/>
        <w:outlineLvl w:val="3"/>
        <w:rPr>
          <w:rFonts w:ascii="Times New Roman" w:hAnsi="Times New Roman" w:eastAsia="宋体" w:cs="Times New Roman"/>
          <w:b/>
          <w:bCs/>
          <w:szCs w:val="21"/>
        </w:rPr>
      </w:pPr>
      <w:bookmarkStart w:id="152" w:name="_Toc989041"/>
      <w:r>
        <w:rPr>
          <w:rFonts w:ascii="Times New Roman" w:hAnsi="Times New Roman" w:eastAsia="宋体" w:cs="Times New Roman"/>
          <w:b/>
          <w:bCs/>
          <w:szCs w:val="21"/>
        </w:rPr>
        <w:t>（1） 计价方法、使用寿命、减值测试</w:t>
      </w:r>
      <w:bookmarkEnd w:id="152"/>
    </w:p>
    <w:p>
      <w:pPr>
        <w:pStyle w:val="8"/>
        <w:spacing w:before="0" w:beforeAutospacing="0" w:after="0" w:afterAutospacing="0" w:line="276" w:lineRule="auto"/>
        <w:ind w:firstLine="420"/>
        <w:rPr>
          <w:rFonts w:ascii="Times New Roman" w:hAnsi="Times New Roman" w:cs="Times New Roman"/>
        </w:rPr>
      </w:pPr>
      <w:r>
        <w:rPr>
          <w:rFonts w:ascii="Times New Roman" w:hAnsi="Times New Roman" w:cs="Times New Roman"/>
          <w:sz w:val="18"/>
          <w:szCs w:val="18"/>
        </w:rPr>
        <w:t>无形资产是指本集团拥有或者控制的没有实物形态的可辨认非货币性资产。</w:t>
      </w:r>
    </w:p>
    <w:p>
      <w:pPr>
        <w:pStyle w:val="8"/>
        <w:spacing w:before="0" w:beforeAutospacing="0" w:after="0" w:afterAutospacing="0" w:line="276" w:lineRule="auto"/>
        <w:ind w:firstLine="420"/>
        <w:rPr>
          <w:rFonts w:ascii="Times New Roman" w:hAnsi="Times New Roman" w:cs="Times New Roman"/>
        </w:rPr>
      </w:pPr>
      <w:r>
        <w:rPr>
          <w:rFonts w:ascii="Times New Roman" w:hAnsi="Times New Roman" w:cs="Times New Roman"/>
          <w:sz w:val="18"/>
          <w:szCs w:val="18"/>
        </w:rPr>
        <w:t>无形资产按成本进行初始计量。与无形资产有关的支出，如果相关的经济利益很可能流入本集团且其成本能可靠地计量，则计入无形资产成本。除此以外的其他项目的支出，在发生时计入当期损益。</w:t>
      </w:r>
    </w:p>
    <w:p>
      <w:pPr>
        <w:pStyle w:val="8"/>
        <w:spacing w:before="0" w:beforeAutospacing="0" w:after="0" w:afterAutospacing="0" w:line="276" w:lineRule="auto"/>
        <w:ind w:firstLine="420"/>
        <w:rPr>
          <w:rFonts w:ascii="Times New Roman" w:hAnsi="Times New Roman" w:cs="Times New Roman"/>
        </w:rPr>
      </w:pPr>
      <w:r>
        <w:rPr>
          <w:rFonts w:ascii="Times New Roman" w:hAnsi="Times New Roman" w:cs="Times New Roman"/>
          <w:sz w:val="18"/>
          <w:szCs w:val="18"/>
        </w:rPr>
        <w:t>取得的土地使用权通常作为无形资产核算。自行开发建造厂房等建筑物，相关的土地使用权支出和建筑物建造成本则分别作为无形资产和固定资产核算。如为外购的房屋及建筑物，则将有关价款在土地使用权和建筑物之间进行分配，难以合理分配的，全部作为固定资产处理。</w:t>
      </w:r>
    </w:p>
    <w:p>
      <w:pPr>
        <w:pStyle w:val="8"/>
        <w:spacing w:before="0" w:beforeAutospacing="0" w:after="0" w:afterAutospacing="0" w:line="276" w:lineRule="auto"/>
        <w:ind w:firstLine="420"/>
        <w:rPr>
          <w:rFonts w:ascii="Times New Roman" w:hAnsi="Times New Roman" w:cs="Times New Roman"/>
        </w:rPr>
      </w:pPr>
      <w:r>
        <w:rPr>
          <w:rFonts w:ascii="Times New Roman" w:hAnsi="Times New Roman" w:cs="Times New Roman"/>
          <w:sz w:val="18"/>
          <w:szCs w:val="18"/>
        </w:rPr>
        <w:t>使用寿命有限的无形资产自可供使用时起，对其原值减去预计净残值和已计提的减值准备累计金额在其预计使用寿命内采用直线法分期平均摊销。使用寿命不确定的无形资产不予摊销。</w:t>
      </w:r>
    </w:p>
    <w:p>
      <w:pPr>
        <w:pStyle w:val="8"/>
        <w:spacing w:before="0" w:beforeAutospacing="0" w:after="0" w:afterAutospacing="0" w:line="276" w:lineRule="auto"/>
        <w:ind w:firstLine="420"/>
        <w:jc w:val="both"/>
        <w:rPr>
          <w:rFonts w:ascii="Times New Roman" w:hAnsi="Times New Roman" w:cs="Times New Roman"/>
        </w:rPr>
      </w:pPr>
      <w:r>
        <w:rPr>
          <w:rFonts w:ascii="Times New Roman" w:hAnsi="Times New Roman" w:cs="Times New Roman"/>
          <w:sz w:val="18"/>
          <w:szCs w:val="18"/>
        </w:rPr>
        <w:t>其中，知识产权类无形资产项目的使用寿命及摊销方法如下：</w:t>
      </w:r>
    </w:p>
    <w:tbl>
      <w:tblPr>
        <w:tblStyle w:val="9"/>
        <w:tblW w:w="5000" w:type="pct"/>
        <w:jc w:val="center"/>
        <w:tblLayout w:type="autofit"/>
        <w:tblCellMar>
          <w:top w:w="0" w:type="dxa"/>
          <w:left w:w="0" w:type="dxa"/>
          <w:bottom w:w="0" w:type="dxa"/>
          <w:right w:w="0" w:type="dxa"/>
        </w:tblCellMar>
      </w:tblPr>
      <w:tblGrid>
        <w:gridCol w:w="3992"/>
        <w:gridCol w:w="2930"/>
        <w:gridCol w:w="2931"/>
      </w:tblGrid>
      <w:tr>
        <w:tblPrEx>
          <w:tblCellMar>
            <w:top w:w="0" w:type="dxa"/>
            <w:left w:w="0" w:type="dxa"/>
            <w:bottom w:w="0" w:type="dxa"/>
            <w:right w:w="0" w:type="dxa"/>
          </w:tblCellMar>
        </w:tblPrEx>
        <w:trPr>
          <w:trHeight w:val="340" w:hRule="atLeast"/>
          <w:jc w:val="center"/>
        </w:trPr>
        <w:tc>
          <w:tcPr>
            <w:tcW w:w="2026"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8"/>
              <w:spacing w:before="0" w:beforeAutospacing="0" w:after="0" w:afterAutospacing="0" w:line="276" w:lineRule="auto"/>
              <w:jc w:val="center"/>
              <w:rPr>
                <w:rFonts w:ascii="Times New Roman" w:hAnsi="Times New Roman" w:cs="Times New Roman"/>
              </w:rPr>
            </w:pPr>
            <w:r>
              <w:rPr>
                <w:rFonts w:ascii="Times New Roman" w:hAnsi="Times New Roman" w:cs="Times New Roman"/>
                <w:sz w:val="18"/>
                <w:szCs w:val="18"/>
              </w:rPr>
              <w:t>项目</w:t>
            </w:r>
          </w:p>
        </w:tc>
        <w:tc>
          <w:tcPr>
            <w:tcW w:w="1487" w:type="pc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pStyle w:val="8"/>
              <w:spacing w:before="0" w:beforeAutospacing="0" w:after="0" w:afterAutospacing="0" w:line="276" w:lineRule="auto"/>
              <w:jc w:val="center"/>
              <w:rPr>
                <w:rFonts w:ascii="Times New Roman" w:hAnsi="Times New Roman" w:cs="Times New Roman"/>
              </w:rPr>
            </w:pPr>
            <w:r>
              <w:rPr>
                <w:rFonts w:ascii="Times New Roman" w:hAnsi="Times New Roman" w:cs="Times New Roman"/>
                <w:sz w:val="18"/>
                <w:szCs w:val="18"/>
              </w:rPr>
              <w:t>使用寿命（年）</w:t>
            </w:r>
          </w:p>
        </w:tc>
        <w:tc>
          <w:tcPr>
            <w:tcW w:w="1487" w:type="pc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pStyle w:val="8"/>
              <w:spacing w:before="0" w:beforeAutospacing="0" w:after="0" w:afterAutospacing="0" w:line="276" w:lineRule="auto"/>
              <w:jc w:val="center"/>
              <w:rPr>
                <w:rFonts w:ascii="Times New Roman" w:hAnsi="Times New Roman" w:cs="Times New Roman"/>
              </w:rPr>
            </w:pPr>
            <w:r>
              <w:rPr>
                <w:rFonts w:ascii="Times New Roman" w:hAnsi="Times New Roman" w:cs="Times New Roman"/>
                <w:sz w:val="18"/>
                <w:szCs w:val="18"/>
              </w:rPr>
              <w:t>摊销方法</w:t>
            </w:r>
          </w:p>
        </w:tc>
      </w:tr>
      <w:tr>
        <w:tblPrEx>
          <w:tblCellMar>
            <w:top w:w="0" w:type="dxa"/>
            <w:left w:w="0" w:type="dxa"/>
            <w:bottom w:w="0" w:type="dxa"/>
            <w:right w:w="0" w:type="dxa"/>
          </w:tblCellMar>
        </w:tblPrEx>
        <w:trPr>
          <w:trHeight w:val="340" w:hRule="atLeast"/>
          <w:jc w:val="center"/>
        </w:trPr>
        <w:tc>
          <w:tcPr>
            <w:tcW w:w="2026"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8"/>
              <w:spacing w:before="0" w:beforeAutospacing="0" w:after="0" w:afterAutospacing="0" w:line="276" w:lineRule="auto"/>
              <w:jc w:val="both"/>
              <w:rPr>
                <w:rFonts w:ascii="Times New Roman" w:hAnsi="Times New Roman" w:cs="Times New Roman"/>
              </w:rPr>
            </w:pPr>
            <w:r>
              <w:rPr>
                <w:rFonts w:ascii="Times New Roman" w:hAnsi="Times New Roman" w:cs="Times New Roman"/>
                <w:sz w:val="18"/>
                <w:szCs w:val="18"/>
              </w:rPr>
              <w:t>软件使用权</w:t>
            </w:r>
          </w:p>
        </w:tc>
        <w:tc>
          <w:tcPr>
            <w:tcW w:w="1487" w:type="pct"/>
            <w:tcBorders>
              <w:top w:val="nil"/>
              <w:left w:val="nil"/>
              <w:bottom w:val="single" w:color="auto" w:sz="8" w:space="0"/>
              <w:right w:val="single" w:color="auto" w:sz="8" w:space="0"/>
            </w:tcBorders>
            <w:tcMar>
              <w:top w:w="0" w:type="dxa"/>
              <w:left w:w="108" w:type="dxa"/>
              <w:bottom w:w="0" w:type="dxa"/>
              <w:right w:w="108" w:type="dxa"/>
            </w:tcMar>
            <w:vAlign w:val="center"/>
          </w:tcPr>
          <w:p>
            <w:pPr>
              <w:pStyle w:val="8"/>
              <w:spacing w:before="0" w:beforeAutospacing="0" w:after="0" w:afterAutospacing="0" w:line="276" w:lineRule="auto"/>
              <w:jc w:val="center"/>
              <w:rPr>
                <w:rFonts w:ascii="Times New Roman" w:hAnsi="Times New Roman" w:cs="Times New Roman"/>
              </w:rPr>
            </w:pPr>
            <w:r>
              <w:rPr>
                <w:rFonts w:ascii="Times New Roman" w:hAnsi="Times New Roman" w:cs="Times New Roman"/>
                <w:sz w:val="18"/>
                <w:szCs w:val="18"/>
              </w:rPr>
              <w:t>2-10</w:t>
            </w:r>
          </w:p>
        </w:tc>
        <w:tc>
          <w:tcPr>
            <w:tcW w:w="1487" w:type="pct"/>
            <w:tcBorders>
              <w:top w:val="nil"/>
              <w:left w:val="nil"/>
              <w:bottom w:val="single" w:color="auto" w:sz="8" w:space="0"/>
              <w:right w:val="single" w:color="auto" w:sz="8" w:space="0"/>
            </w:tcBorders>
            <w:tcMar>
              <w:top w:w="0" w:type="dxa"/>
              <w:left w:w="108" w:type="dxa"/>
              <w:bottom w:w="0" w:type="dxa"/>
              <w:right w:w="108" w:type="dxa"/>
            </w:tcMar>
            <w:vAlign w:val="center"/>
          </w:tcPr>
          <w:p>
            <w:pPr>
              <w:pStyle w:val="8"/>
              <w:spacing w:before="0" w:beforeAutospacing="0" w:after="0" w:afterAutospacing="0" w:line="276" w:lineRule="auto"/>
              <w:jc w:val="center"/>
              <w:rPr>
                <w:rFonts w:ascii="Times New Roman" w:hAnsi="Times New Roman" w:cs="Times New Roman"/>
              </w:rPr>
            </w:pPr>
            <w:r>
              <w:rPr>
                <w:rFonts w:ascii="Times New Roman" w:hAnsi="Times New Roman" w:cs="Times New Roman"/>
                <w:sz w:val="18"/>
                <w:szCs w:val="18"/>
              </w:rPr>
              <w:t>直线法分期平均摊销</w:t>
            </w:r>
          </w:p>
        </w:tc>
      </w:tr>
      <w:tr>
        <w:tblPrEx>
          <w:tblCellMar>
            <w:top w:w="0" w:type="dxa"/>
            <w:left w:w="0" w:type="dxa"/>
            <w:bottom w:w="0" w:type="dxa"/>
            <w:right w:w="0" w:type="dxa"/>
          </w:tblCellMar>
        </w:tblPrEx>
        <w:trPr>
          <w:trHeight w:val="340" w:hRule="atLeast"/>
          <w:jc w:val="center"/>
        </w:trPr>
        <w:tc>
          <w:tcPr>
            <w:tcW w:w="2026"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8"/>
              <w:spacing w:before="0" w:beforeAutospacing="0" w:after="0" w:afterAutospacing="0" w:line="276" w:lineRule="auto"/>
              <w:jc w:val="both"/>
              <w:rPr>
                <w:rFonts w:ascii="Times New Roman" w:hAnsi="Times New Roman" w:cs="Times New Roman"/>
              </w:rPr>
            </w:pPr>
            <w:r>
              <w:rPr>
                <w:rFonts w:ascii="Times New Roman" w:hAnsi="Times New Roman" w:cs="Times New Roman"/>
                <w:sz w:val="18"/>
                <w:szCs w:val="18"/>
              </w:rPr>
              <w:t>商标使用权</w:t>
            </w:r>
          </w:p>
        </w:tc>
        <w:tc>
          <w:tcPr>
            <w:tcW w:w="1487" w:type="pct"/>
            <w:tcBorders>
              <w:top w:val="nil"/>
              <w:left w:val="nil"/>
              <w:bottom w:val="single" w:color="auto" w:sz="8" w:space="0"/>
              <w:right w:val="single" w:color="auto" w:sz="8" w:space="0"/>
            </w:tcBorders>
            <w:tcMar>
              <w:top w:w="0" w:type="dxa"/>
              <w:left w:w="108" w:type="dxa"/>
              <w:bottom w:w="0" w:type="dxa"/>
              <w:right w:w="108" w:type="dxa"/>
            </w:tcMar>
            <w:vAlign w:val="center"/>
          </w:tcPr>
          <w:p>
            <w:pPr>
              <w:pStyle w:val="8"/>
              <w:spacing w:before="0" w:beforeAutospacing="0" w:after="0" w:afterAutospacing="0" w:line="276" w:lineRule="auto"/>
              <w:jc w:val="center"/>
              <w:rPr>
                <w:rFonts w:ascii="Times New Roman" w:hAnsi="Times New Roman" w:cs="Times New Roman"/>
              </w:rPr>
            </w:pPr>
            <w:r>
              <w:rPr>
                <w:rFonts w:ascii="Times New Roman" w:hAnsi="Times New Roman" w:cs="Times New Roman"/>
                <w:sz w:val="18"/>
                <w:szCs w:val="18"/>
              </w:rPr>
              <w:t>10</w:t>
            </w:r>
          </w:p>
        </w:tc>
        <w:tc>
          <w:tcPr>
            <w:tcW w:w="1487" w:type="pct"/>
            <w:tcBorders>
              <w:top w:val="nil"/>
              <w:left w:val="nil"/>
              <w:bottom w:val="single" w:color="auto" w:sz="8" w:space="0"/>
              <w:right w:val="single" w:color="auto" w:sz="8" w:space="0"/>
            </w:tcBorders>
            <w:tcMar>
              <w:top w:w="0" w:type="dxa"/>
              <w:left w:w="108" w:type="dxa"/>
              <w:bottom w:w="0" w:type="dxa"/>
              <w:right w:w="108" w:type="dxa"/>
            </w:tcMar>
            <w:vAlign w:val="center"/>
          </w:tcPr>
          <w:p>
            <w:pPr>
              <w:pStyle w:val="8"/>
              <w:spacing w:before="0" w:beforeAutospacing="0" w:after="0" w:afterAutospacing="0" w:line="276" w:lineRule="auto"/>
              <w:jc w:val="center"/>
              <w:rPr>
                <w:rFonts w:ascii="Times New Roman" w:hAnsi="Times New Roman" w:cs="Times New Roman"/>
              </w:rPr>
            </w:pPr>
            <w:r>
              <w:rPr>
                <w:rFonts w:ascii="Times New Roman" w:hAnsi="Times New Roman" w:cs="Times New Roman"/>
                <w:sz w:val="18"/>
                <w:szCs w:val="18"/>
              </w:rPr>
              <w:t>直线法分期平均摊销</w:t>
            </w:r>
          </w:p>
        </w:tc>
      </w:tr>
    </w:tbl>
    <w:p>
      <w:pPr>
        <w:pStyle w:val="8"/>
        <w:spacing w:before="0" w:beforeAutospacing="0" w:after="0" w:afterAutospacing="0" w:line="276" w:lineRule="auto"/>
        <w:ind w:firstLine="420"/>
        <w:rPr>
          <w:rFonts w:ascii="Times New Roman" w:hAnsi="Times New Roman" w:cs="Times New Roman"/>
        </w:rPr>
      </w:pPr>
      <w:r>
        <w:rPr>
          <w:rFonts w:ascii="Times New Roman" w:hAnsi="Times New Roman" w:cs="Times New Roman"/>
          <w:sz w:val="18"/>
          <w:szCs w:val="18"/>
        </w:rPr>
        <w:t>期末，对使用寿命有限的无形资产的使用寿命和摊销方法进行复核，如发生变更则作为会计估计变更处理。此外，还对使用寿命不确定的无形资产的使用寿命进行复核，如果有证据表明该无形资产为企业带来经济利益的期限是可预见的，则估计其使用寿命并按照使用寿命有限的无形资产的摊销政策进行摊销。</w:t>
      </w:r>
    </w:p>
    <w:p>
      <w:pPr>
        <w:keepNext/>
        <w:keepLines/>
        <w:spacing w:before="300" w:after="300" w:line="280" w:lineRule="exact"/>
        <w:outlineLvl w:val="3"/>
        <w:rPr>
          <w:rFonts w:ascii="Times New Roman" w:hAnsi="Times New Roman" w:eastAsia="宋体" w:cs="Times New Roman"/>
          <w:b/>
          <w:bCs/>
          <w:szCs w:val="21"/>
        </w:rPr>
      </w:pPr>
      <w:bookmarkStart w:id="153" w:name="_Toc989042"/>
      <w:r>
        <w:rPr>
          <w:rFonts w:ascii="Times New Roman" w:hAnsi="Times New Roman" w:eastAsia="宋体" w:cs="Times New Roman"/>
          <w:b/>
          <w:bCs/>
          <w:szCs w:val="21"/>
        </w:rPr>
        <w:t>（2） 内部研究开发支出会计政策</w:t>
      </w:r>
      <w:bookmarkEnd w:id="153"/>
    </w:p>
    <w:p>
      <w:pPr>
        <w:pStyle w:val="8"/>
        <w:spacing w:before="0" w:beforeAutospacing="0" w:after="0" w:afterAutospacing="0" w:line="276" w:lineRule="auto"/>
        <w:ind w:firstLine="420"/>
        <w:rPr>
          <w:rFonts w:ascii="Times New Roman" w:hAnsi="Times New Roman" w:cs="Times New Roman"/>
        </w:rPr>
      </w:pPr>
      <w:r>
        <w:rPr>
          <w:rFonts w:ascii="Times New Roman" w:hAnsi="Times New Roman" w:cs="Times New Roman"/>
          <w:sz w:val="18"/>
          <w:szCs w:val="18"/>
        </w:rPr>
        <w:t>本集团内部研究开发项目的支出分为研究阶段支出与开发阶段支出。</w:t>
      </w:r>
    </w:p>
    <w:p>
      <w:pPr>
        <w:pStyle w:val="8"/>
        <w:spacing w:before="0" w:beforeAutospacing="0" w:after="0" w:afterAutospacing="0" w:line="276" w:lineRule="auto"/>
        <w:ind w:firstLine="420"/>
        <w:rPr>
          <w:rFonts w:ascii="Times New Roman" w:hAnsi="Times New Roman" w:cs="Times New Roman"/>
        </w:rPr>
      </w:pPr>
      <w:r>
        <w:rPr>
          <w:rFonts w:ascii="Times New Roman" w:hAnsi="Times New Roman" w:cs="Times New Roman"/>
          <w:sz w:val="18"/>
          <w:szCs w:val="18"/>
        </w:rPr>
        <w:t>研究阶段的支出，于发生时计入当期损益。</w:t>
      </w:r>
    </w:p>
    <w:p>
      <w:pPr>
        <w:pStyle w:val="8"/>
        <w:spacing w:before="0" w:beforeAutospacing="0" w:after="0" w:afterAutospacing="0" w:line="276" w:lineRule="auto"/>
        <w:ind w:firstLine="420"/>
        <w:rPr>
          <w:rFonts w:ascii="Times New Roman" w:hAnsi="Times New Roman" w:cs="Times New Roman"/>
        </w:rPr>
      </w:pPr>
      <w:r>
        <w:rPr>
          <w:rFonts w:ascii="Times New Roman" w:hAnsi="Times New Roman" w:cs="Times New Roman"/>
          <w:sz w:val="18"/>
          <w:szCs w:val="18"/>
        </w:rPr>
        <w:t>开发阶段的支出同时满足下列条件的，确认为无形资产，不能满足下述条件的开发阶段的支出计入当期损益：</w:t>
      </w:r>
    </w:p>
    <w:p>
      <w:pPr>
        <w:pStyle w:val="8"/>
        <w:spacing w:before="0" w:beforeAutospacing="0" w:after="0" w:afterAutospacing="0" w:line="276" w:lineRule="auto"/>
        <w:ind w:firstLine="420"/>
        <w:rPr>
          <w:rFonts w:ascii="Times New Roman" w:hAnsi="Times New Roman" w:cs="Times New Roman"/>
        </w:rPr>
      </w:pPr>
      <w:r>
        <w:rPr>
          <w:rFonts w:hint="eastAsia"/>
          <w:sz w:val="18"/>
          <w:szCs w:val="18"/>
        </w:rPr>
        <w:t>①</w:t>
      </w:r>
      <w:r>
        <w:rPr>
          <w:rFonts w:ascii="Times New Roman" w:hAnsi="Times New Roman" w:cs="Times New Roman"/>
          <w:sz w:val="18"/>
          <w:szCs w:val="18"/>
        </w:rPr>
        <w:t>完成该无形资产以使其能够使用或出售在技术上具有可行性；</w:t>
      </w:r>
    </w:p>
    <w:p>
      <w:pPr>
        <w:pStyle w:val="8"/>
        <w:spacing w:before="0" w:beforeAutospacing="0" w:after="0" w:afterAutospacing="0" w:line="276" w:lineRule="auto"/>
        <w:ind w:firstLine="420"/>
        <w:rPr>
          <w:rFonts w:ascii="Times New Roman" w:hAnsi="Times New Roman" w:cs="Times New Roman"/>
        </w:rPr>
      </w:pPr>
      <w:r>
        <w:rPr>
          <w:rFonts w:hint="eastAsia"/>
          <w:sz w:val="18"/>
          <w:szCs w:val="18"/>
        </w:rPr>
        <w:t>②</w:t>
      </w:r>
      <w:r>
        <w:rPr>
          <w:rFonts w:ascii="Times New Roman" w:hAnsi="Times New Roman" w:cs="Times New Roman"/>
          <w:sz w:val="18"/>
          <w:szCs w:val="18"/>
        </w:rPr>
        <w:t>具有完成该无形资产并使用或出售的意图；</w:t>
      </w:r>
    </w:p>
    <w:p>
      <w:pPr>
        <w:pStyle w:val="8"/>
        <w:spacing w:before="0" w:beforeAutospacing="0" w:after="0" w:afterAutospacing="0" w:line="276" w:lineRule="auto"/>
        <w:ind w:firstLine="420"/>
        <w:rPr>
          <w:rFonts w:ascii="Times New Roman" w:hAnsi="Times New Roman" w:cs="Times New Roman"/>
        </w:rPr>
      </w:pPr>
      <w:r>
        <w:rPr>
          <w:rFonts w:hint="eastAsia"/>
          <w:sz w:val="18"/>
          <w:szCs w:val="18"/>
        </w:rPr>
        <w:t>③</w:t>
      </w:r>
      <w:r>
        <w:rPr>
          <w:rFonts w:ascii="Times New Roman" w:hAnsi="Times New Roman" w:cs="Times New Roman"/>
          <w:sz w:val="18"/>
          <w:szCs w:val="18"/>
        </w:rPr>
        <w:t>无形资产产生经济利益的方式，包括能够证明运用该无形资产生产的产品存在市场或无形资产自身存在市场，无形资产将在内部使用的，能够证明其有用性；</w:t>
      </w:r>
    </w:p>
    <w:p>
      <w:pPr>
        <w:pStyle w:val="8"/>
        <w:spacing w:before="0" w:beforeAutospacing="0" w:after="0" w:afterAutospacing="0" w:line="276" w:lineRule="auto"/>
        <w:ind w:firstLine="420"/>
        <w:rPr>
          <w:rFonts w:ascii="Times New Roman" w:hAnsi="Times New Roman" w:cs="Times New Roman"/>
        </w:rPr>
      </w:pPr>
      <w:r>
        <w:rPr>
          <w:rFonts w:hint="eastAsia"/>
          <w:sz w:val="18"/>
          <w:szCs w:val="18"/>
        </w:rPr>
        <w:t>④</w:t>
      </w:r>
      <w:r>
        <w:rPr>
          <w:rFonts w:ascii="Times New Roman" w:hAnsi="Times New Roman" w:cs="Times New Roman"/>
          <w:sz w:val="18"/>
          <w:szCs w:val="18"/>
        </w:rPr>
        <w:t>有足够的技术、财务资源和其他资源支持，以完成该无形资产的开发，并有能力使用或出售该无形资产；</w:t>
      </w:r>
    </w:p>
    <w:p>
      <w:pPr>
        <w:widowControl/>
        <w:numPr>
          <w:ilvl w:val="0"/>
          <w:numId w:val="1"/>
        </w:numPr>
        <w:spacing w:before="100" w:beforeAutospacing="1" w:after="100" w:afterAutospacing="1"/>
        <w:rPr>
          <w:rFonts w:ascii="Times New Roman" w:hAnsi="Times New Roman" w:eastAsia="宋体" w:cs="Times New Roman"/>
          <w:kern w:val="0"/>
          <w:sz w:val="18"/>
          <w:szCs w:val="18"/>
          <w14:ligatures w14:val="none"/>
        </w:rPr>
      </w:pPr>
      <w:r>
        <w:rPr>
          <w:rFonts w:ascii="Times New Roman" w:hAnsi="Times New Roman" w:eastAsia="宋体" w:cs="Times New Roman"/>
          <w:kern w:val="0"/>
          <w:sz w:val="18"/>
          <w:szCs w:val="18"/>
          <w14:ligatures w14:val="none"/>
        </w:rPr>
        <w:t>归属于该无形资产开发阶段的支出能够可靠地计量。</w:t>
      </w:r>
    </w:p>
    <w:p>
      <w:pPr>
        <w:pStyle w:val="8"/>
        <w:spacing w:before="0" w:beforeAutospacing="0" w:after="0" w:afterAutospacing="0" w:line="276" w:lineRule="auto"/>
        <w:ind w:firstLine="420"/>
        <w:rPr>
          <w:rFonts w:ascii="Times New Roman" w:hAnsi="Times New Roman" w:cs="Times New Roman"/>
        </w:rPr>
      </w:pPr>
      <w:r>
        <w:rPr>
          <w:rFonts w:ascii="Times New Roman" w:hAnsi="Times New Roman" w:cs="Times New Roman"/>
          <w:sz w:val="18"/>
          <w:szCs w:val="18"/>
        </w:rPr>
        <w:t>无法区分研究阶段支出和开发阶段支出的，将发生的研发支出全部计入当期损益。</w:t>
      </w:r>
    </w:p>
    <w:p>
      <w:pPr>
        <w:pStyle w:val="8"/>
        <w:spacing w:before="0" w:beforeAutospacing="0" w:after="0" w:afterAutospacing="0" w:line="276" w:lineRule="auto"/>
        <w:ind w:firstLine="420"/>
        <w:rPr>
          <w:rFonts w:ascii="Times New Roman" w:hAnsi="Times New Roman" w:cs="Times New Roman"/>
        </w:rPr>
      </w:pPr>
      <w:r>
        <w:rPr>
          <w:rFonts w:ascii="Times New Roman" w:hAnsi="Times New Roman" w:cs="Times New Roman"/>
          <w:sz w:val="18"/>
          <w:szCs w:val="18"/>
        </w:rPr>
        <w:t>无形资产的减值测试方法及减值准备计提方法</w:t>
      </w:r>
    </w:p>
    <w:p>
      <w:pPr>
        <w:pStyle w:val="8"/>
        <w:spacing w:before="0" w:beforeAutospacing="0" w:after="0" w:afterAutospacing="0" w:line="276" w:lineRule="auto"/>
        <w:ind w:firstLine="360"/>
        <w:jc w:val="both"/>
        <w:rPr>
          <w:rFonts w:ascii="Times New Roman" w:hAnsi="Times New Roman" w:cs="Times New Roman"/>
        </w:rPr>
      </w:pPr>
      <w:r>
        <w:rPr>
          <w:rFonts w:ascii="Times New Roman" w:hAnsi="Times New Roman" w:cs="Times New Roman"/>
          <w:sz w:val="18"/>
          <w:szCs w:val="18"/>
        </w:rPr>
        <w:t>无形资产的减值测试方法和减值准备计提方法详见附注五、31“长期资产减值”。</w:t>
      </w:r>
    </w:p>
    <w:p>
      <w:pPr>
        <w:pStyle w:val="3"/>
        <w:spacing w:line="280" w:lineRule="exact"/>
        <w:jc w:val="left"/>
        <w:rPr>
          <w:rFonts w:ascii="Times New Roman" w:hAnsi="Times New Roman" w:cs="Times New Roman"/>
          <w:b/>
          <w:bCs/>
        </w:rPr>
      </w:pPr>
      <w:bookmarkStart w:id="154" w:name="_Toc989043"/>
      <w:r>
        <w:rPr>
          <w:rFonts w:ascii="Times New Roman" w:hAnsi="Times New Roman" w:cs="Times New Roman"/>
          <w:b/>
          <w:bCs/>
        </w:rPr>
        <w:t>31、长期资产减值</w:t>
      </w:r>
      <w:bookmarkEnd w:id="154"/>
    </w:p>
    <w:p>
      <w:pPr>
        <w:pStyle w:val="8"/>
        <w:spacing w:before="0" w:beforeAutospacing="0" w:after="0" w:afterAutospacing="0" w:line="276" w:lineRule="auto"/>
        <w:ind w:firstLine="420"/>
        <w:jc w:val="both"/>
        <w:rPr>
          <w:rFonts w:ascii="Times New Roman" w:hAnsi="Times New Roman" w:cs="Times New Roman"/>
        </w:rPr>
      </w:pPr>
      <w:r>
        <w:rPr>
          <w:rFonts w:ascii="Times New Roman" w:hAnsi="Times New Roman" w:cs="Times New Roman"/>
          <w:sz w:val="18"/>
          <w:szCs w:val="18"/>
        </w:rPr>
        <w:t>对于固定资产、在建工程、使用权资产、使用寿命有限的无形资产、以成本模式计量的投资性房地产及对子公司、合营企业、联营企业的长期股权投资等非流动非金融资产，本集团于资产负债表日判断是否存在减值迹象。如存在减值迹象的，则估计其可收回金额，进行减值测试。商誉、使用寿命不确定的无形资产和尚未达到可使用状态的无形资产，无论是否存在减值迹象，每年均进行减值测试。</w:t>
      </w:r>
    </w:p>
    <w:p>
      <w:pPr>
        <w:pStyle w:val="8"/>
        <w:spacing w:before="0" w:beforeAutospacing="0" w:after="0" w:afterAutospacing="0" w:line="276" w:lineRule="auto"/>
        <w:ind w:firstLine="420"/>
        <w:jc w:val="both"/>
        <w:rPr>
          <w:rFonts w:ascii="Times New Roman" w:hAnsi="Times New Roman" w:cs="Times New Roman"/>
        </w:rPr>
      </w:pPr>
      <w:r>
        <w:rPr>
          <w:rFonts w:ascii="Times New Roman" w:hAnsi="Times New Roman" w:cs="Times New Roman"/>
          <w:sz w:val="18"/>
          <w:szCs w:val="18"/>
        </w:rPr>
        <w:t>减值测试结果表明资产的可收回金额低于其账面价值的，按其差额计提减值准备并计入减值损失。可收回金额为资产的公允价值减去处置费用后的净额与资产预计未来现金流量的现值两者之间的较高者。资产的公允价值根据公平交易中销售协议价格确定；不存在销售协议但存在资产活跃市场的，公允价值按照该资产的买方出价确定；不存在销售协议和资产活跃市场的，则以可获取的最佳信息为基础估计资产的公允价值。处置费用包括与资产处置有关的法律费用、相关税费、搬运费以及为使资产达到可销售状态所发生的直接费用。资产预计未来现金流量的现值，按照资产在持续使用过程中和最终处置时所产生的预计未来现金流量，选择恰当的折现率对其进行折现后的金额加以确定。资产减值准备按单项资产为基础计算并确认，如果难以对单项资产的可收回金额进行估计的，以该资产所属的资产组确定资产组的可收回金额。资产组是能够独立产生现金流入的最小资产组合。</w:t>
      </w:r>
    </w:p>
    <w:p>
      <w:pPr>
        <w:pStyle w:val="8"/>
        <w:spacing w:before="0" w:beforeAutospacing="0" w:after="0" w:afterAutospacing="0" w:line="276" w:lineRule="auto"/>
        <w:ind w:firstLine="420"/>
        <w:jc w:val="both"/>
        <w:rPr>
          <w:rFonts w:ascii="Times New Roman" w:hAnsi="Times New Roman" w:cs="Times New Roman"/>
        </w:rPr>
      </w:pPr>
      <w:r>
        <w:rPr>
          <w:rFonts w:ascii="Times New Roman" w:hAnsi="Times New Roman" w:cs="Times New Roman"/>
          <w:sz w:val="18"/>
          <w:szCs w:val="18"/>
        </w:rPr>
        <w:t>在财务报表中单独列示的商誉，在进行减值测试时，将商誉的账面价值分摊至预期从企业合并的协同效应中受益的资产组或资产组组合。测试结果表明包含分摊的商誉的资产组或资产组组合的可收回金额低于其账面价值的，确认相应的减值损失。减值损失金额先抵减分摊至该资产组或资产组组合的商誉的账面价值，再根据资产组或资产组组合中除商誉以外的其他各项资产的账面价值所占比重，按比例抵减其他各项资产的账面价值。</w:t>
      </w:r>
    </w:p>
    <w:p>
      <w:pPr>
        <w:pStyle w:val="8"/>
        <w:spacing w:before="0" w:beforeAutospacing="0" w:after="0" w:afterAutospacing="0" w:line="276" w:lineRule="auto"/>
        <w:jc w:val="both"/>
        <w:rPr>
          <w:rFonts w:ascii="Times New Roman" w:hAnsi="Times New Roman" w:cs="Times New Roman"/>
        </w:rPr>
      </w:pPr>
      <w:r>
        <w:rPr>
          <w:rFonts w:ascii="Times New Roman" w:hAnsi="Times New Roman" w:cs="Times New Roman"/>
          <w:sz w:val="18"/>
          <w:szCs w:val="18"/>
        </w:rPr>
        <w:t>上述资产减值损失一经确认，以后期间不予转回价值得以恢复的部分。</w:t>
      </w:r>
    </w:p>
    <w:p>
      <w:pPr>
        <w:pStyle w:val="3"/>
        <w:spacing w:line="280" w:lineRule="exact"/>
        <w:jc w:val="left"/>
        <w:rPr>
          <w:rFonts w:ascii="Times New Roman" w:hAnsi="Times New Roman" w:cs="Times New Roman"/>
          <w:b/>
          <w:bCs/>
        </w:rPr>
      </w:pPr>
      <w:bookmarkStart w:id="155" w:name="_Toc989044"/>
      <w:r>
        <w:rPr>
          <w:rFonts w:ascii="Times New Roman" w:hAnsi="Times New Roman" w:cs="Times New Roman"/>
          <w:b/>
          <w:bCs/>
        </w:rPr>
        <w:t>32、长期待摊费用</w:t>
      </w:r>
      <w:bookmarkEnd w:id="155"/>
    </w:p>
    <w:p>
      <w:pPr>
        <w:pStyle w:val="8"/>
        <w:spacing w:before="0" w:beforeAutospacing="0" w:after="0" w:afterAutospacing="0" w:line="276" w:lineRule="auto"/>
        <w:ind w:firstLine="420"/>
        <w:rPr>
          <w:rFonts w:ascii="Times New Roman" w:hAnsi="Times New Roman" w:cs="Times New Roman"/>
        </w:rPr>
      </w:pPr>
      <w:r>
        <w:rPr>
          <w:rFonts w:ascii="Times New Roman" w:hAnsi="Times New Roman" w:cs="Times New Roman"/>
          <w:sz w:val="18"/>
          <w:szCs w:val="18"/>
        </w:rPr>
        <w:t>长期待摊费用为已经发生但应由报告期和以后各期负担的分摊期限在一年以上的各项费用。本集团的长期待摊费用主要包括已经发生的但应由本期和以后各期负担的摊销期限在一年以上的经营租赁方式租入的固定资产改良支出等。长期待摊费用在预计受益期间按直线法摊销。</w:t>
      </w:r>
    </w:p>
    <w:p>
      <w:pPr>
        <w:pStyle w:val="3"/>
        <w:spacing w:line="280" w:lineRule="exact"/>
        <w:jc w:val="left"/>
        <w:rPr>
          <w:rFonts w:ascii="Times New Roman" w:hAnsi="Times New Roman" w:cs="Times New Roman"/>
          <w:b/>
          <w:bCs/>
        </w:rPr>
      </w:pPr>
      <w:bookmarkStart w:id="156" w:name="_Toc989045"/>
      <w:r>
        <w:rPr>
          <w:rFonts w:ascii="Times New Roman" w:hAnsi="Times New Roman" w:cs="Times New Roman"/>
          <w:b/>
          <w:bCs/>
        </w:rPr>
        <w:t>33、合同负债</w:t>
      </w:r>
      <w:bookmarkEnd w:id="156"/>
    </w:p>
    <w:p>
      <w:pPr>
        <w:pStyle w:val="8"/>
        <w:spacing w:before="0" w:beforeAutospacing="0" w:after="0" w:afterAutospacing="0" w:line="276" w:lineRule="auto"/>
        <w:ind w:firstLine="420"/>
        <w:jc w:val="both"/>
        <w:rPr>
          <w:rFonts w:ascii="Times New Roman" w:hAnsi="Times New Roman" w:cs="Times New Roman"/>
        </w:rPr>
      </w:pPr>
      <w:r>
        <w:rPr>
          <w:rFonts w:ascii="Times New Roman" w:hAnsi="Times New Roman" w:cs="Times New Roman"/>
          <w:sz w:val="18"/>
          <w:szCs w:val="18"/>
        </w:rPr>
        <w:t>合同负债，是指本集团已收或应收客户对价而应向客户转让商品的义务。如果在本集团向客户转让商品之前，客户已经支付了合同对价或本集团已经取得了无条件收款权，本集团在客户实际支付款项和到期应支付款项孰早时点，将该已收或应收款项列示为合同负债。同一合同下的合同资产和合同负债以净额列示，不同合同下的合同资产和合同负债不予抵销。</w:t>
      </w:r>
    </w:p>
    <w:p>
      <w:pPr>
        <w:pStyle w:val="3"/>
        <w:spacing w:line="280" w:lineRule="exact"/>
        <w:jc w:val="left"/>
        <w:rPr>
          <w:rFonts w:ascii="Times New Roman" w:hAnsi="Times New Roman" w:cs="Times New Roman"/>
          <w:b/>
          <w:bCs/>
        </w:rPr>
      </w:pPr>
      <w:bookmarkStart w:id="157" w:name="_Toc989046"/>
      <w:r>
        <w:rPr>
          <w:rFonts w:ascii="Times New Roman" w:hAnsi="Times New Roman" w:cs="Times New Roman"/>
          <w:b/>
          <w:bCs/>
        </w:rPr>
        <w:t>34、职工薪酬</w:t>
      </w:r>
      <w:bookmarkEnd w:id="157"/>
    </w:p>
    <w:p>
      <w:pPr>
        <w:keepNext/>
        <w:keepLines/>
        <w:spacing w:before="300" w:after="300" w:line="280" w:lineRule="exact"/>
        <w:outlineLvl w:val="3"/>
        <w:rPr>
          <w:rFonts w:ascii="Times New Roman" w:hAnsi="Times New Roman" w:eastAsia="宋体" w:cs="Times New Roman"/>
          <w:b/>
          <w:bCs/>
          <w:szCs w:val="21"/>
        </w:rPr>
      </w:pPr>
      <w:bookmarkStart w:id="158" w:name="_Toc989047"/>
      <w:r>
        <w:rPr>
          <w:rFonts w:ascii="Times New Roman" w:hAnsi="Times New Roman" w:eastAsia="宋体" w:cs="Times New Roman"/>
          <w:b/>
          <w:bCs/>
          <w:szCs w:val="21"/>
        </w:rPr>
        <w:t>（1） 短期薪酬的会计处理方法</w:t>
      </w:r>
      <w:bookmarkEnd w:id="158"/>
    </w:p>
    <w:p>
      <w:pPr>
        <w:pStyle w:val="8"/>
        <w:spacing w:before="0" w:beforeAutospacing="0" w:after="0" w:afterAutospacing="0" w:line="276" w:lineRule="auto"/>
        <w:ind w:firstLine="420"/>
        <w:jc w:val="both"/>
        <w:rPr>
          <w:rFonts w:ascii="Times New Roman" w:hAnsi="Times New Roman" w:cs="Times New Roman"/>
        </w:rPr>
      </w:pPr>
      <w:r>
        <w:rPr>
          <w:rFonts w:ascii="Times New Roman" w:hAnsi="Times New Roman" w:cs="Times New Roman"/>
          <w:sz w:val="18"/>
          <w:szCs w:val="18"/>
        </w:rPr>
        <w:t>短期薪酬主要包括工资、奖金、津贴和补贴、职工福利费、医疗保险费、生育保险费、工伤保险费、住房公积金、工会经费和职工教育经费、非货币性福利等。本集团在职工为本集团提供服务的会计期间将实际发生的短期职工薪酬确认为负债，并计入当期损益或相关资产成本。其中非货币性福利按公允价值计量。</w:t>
      </w:r>
    </w:p>
    <w:p>
      <w:pPr>
        <w:keepNext/>
        <w:keepLines/>
        <w:spacing w:before="300" w:after="300" w:line="280" w:lineRule="exact"/>
        <w:outlineLvl w:val="3"/>
        <w:rPr>
          <w:rFonts w:ascii="Times New Roman" w:hAnsi="Times New Roman" w:eastAsia="宋体" w:cs="Times New Roman"/>
          <w:b/>
          <w:bCs/>
          <w:szCs w:val="21"/>
        </w:rPr>
      </w:pPr>
      <w:bookmarkStart w:id="159" w:name="_Toc989048"/>
      <w:r>
        <w:rPr>
          <w:rFonts w:ascii="Times New Roman" w:hAnsi="Times New Roman" w:eastAsia="宋体" w:cs="Times New Roman"/>
          <w:b/>
          <w:bCs/>
          <w:szCs w:val="21"/>
        </w:rPr>
        <w:t>（2） 离职后福利的会计处理方法</w:t>
      </w:r>
      <w:bookmarkEnd w:id="159"/>
    </w:p>
    <w:p>
      <w:pPr>
        <w:pStyle w:val="8"/>
        <w:spacing w:before="0" w:beforeAutospacing="0" w:after="0" w:afterAutospacing="0" w:line="276" w:lineRule="auto"/>
        <w:ind w:firstLine="360"/>
        <w:jc w:val="both"/>
        <w:rPr>
          <w:rFonts w:ascii="Times New Roman" w:hAnsi="Times New Roman" w:cs="Times New Roman"/>
        </w:rPr>
      </w:pPr>
      <w:r>
        <w:rPr>
          <w:rFonts w:ascii="Times New Roman" w:hAnsi="Times New Roman" w:cs="Times New Roman"/>
          <w:sz w:val="18"/>
          <w:szCs w:val="18"/>
        </w:rPr>
        <w:t>离职后福利主要包括基本养老保险、失业保险等。离职后福利计划包括设定提存计划。采用设定提存计划的，相应的应缴存金额于发生时计入相关资产成本或当期损益。</w:t>
      </w:r>
    </w:p>
    <w:p>
      <w:pPr>
        <w:keepNext/>
        <w:keepLines/>
        <w:spacing w:before="300" w:after="300" w:line="280" w:lineRule="exact"/>
        <w:outlineLvl w:val="3"/>
        <w:rPr>
          <w:rFonts w:ascii="Times New Roman" w:hAnsi="Times New Roman" w:eastAsia="宋体" w:cs="Times New Roman"/>
          <w:b/>
          <w:bCs/>
          <w:szCs w:val="21"/>
        </w:rPr>
      </w:pPr>
      <w:bookmarkStart w:id="160" w:name="_Toc989049"/>
      <w:r>
        <w:rPr>
          <w:rFonts w:ascii="Times New Roman" w:hAnsi="Times New Roman" w:eastAsia="宋体" w:cs="Times New Roman"/>
          <w:b/>
          <w:bCs/>
          <w:szCs w:val="21"/>
        </w:rPr>
        <w:t>（3） 辞退福利的会计处理方法</w:t>
      </w:r>
      <w:bookmarkEnd w:id="160"/>
    </w:p>
    <w:p>
      <w:pPr>
        <w:pStyle w:val="8"/>
        <w:spacing w:before="0" w:beforeAutospacing="0" w:after="0" w:afterAutospacing="0" w:line="276" w:lineRule="auto"/>
        <w:ind w:firstLine="420"/>
        <w:jc w:val="both"/>
        <w:rPr>
          <w:rFonts w:ascii="Times New Roman" w:hAnsi="Times New Roman" w:cs="Times New Roman"/>
        </w:rPr>
      </w:pPr>
      <w:r>
        <w:rPr>
          <w:rFonts w:ascii="Times New Roman" w:hAnsi="Times New Roman" w:cs="Times New Roman"/>
          <w:sz w:val="18"/>
          <w:szCs w:val="18"/>
        </w:rPr>
        <w:t>在职工劳动合同到期之前解除与职工的劳动关系，或为鼓励职工自愿接受裁减而提出给予补偿的建议，在本集团不能单方面撤回因解除劳动关系计划或裁减建议所提供的辞退福利时，和本集团确认与涉及支付辞退福利的重组相关的成本两者孰早日，确认辞退福利产生的职工薪酬负债，并计入当期损益。但辞退福利预期在年度报告期结束后十二个月不能完全支付的，按照其他长期职工薪酬处理。</w:t>
      </w:r>
    </w:p>
    <w:p>
      <w:pPr>
        <w:pStyle w:val="8"/>
        <w:spacing w:before="0" w:beforeAutospacing="0" w:after="0" w:afterAutospacing="0" w:line="276" w:lineRule="auto"/>
        <w:ind w:firstLine="420"/>
        <w:jc w:val="both"/>
        <w:rPr>
          <w:rFonts w:ascii="Times New Roman" w:hAnsi="Times New Roman" w:cs="Times New Roman"/>
        </w:rPr>
      </w:pPr>
      <w:r>
        <w:rPr>
          <w:rFonts w:ascii="Times New Roman" w:hAnsi="Times New Roman" w:cs="Times New Roman"/>
          <w:sz w:val="18"/>
          <w:szCs w:val="18"/>
        </w:rPr>
        <w:t>职工内部退休计划采用与上述辞退福利相同的原则处理。本集团将自职工停止提供服务日至正常退休日的期间拟支付的内退人员工资和缴纳的社会保险费等，在符合预计负债确认条件时，计入当期损益（辞退福利）。</w:t>
      </w:r>
    </w:p>
    <w:p>
      <w:pPr>
        <w:keepNext/>
        <w:keepLines/>
        <w:spacing w:before="300" w:after="300" w:line="280" w:lineRule="exact"/>
        <w:outlineLvl w:val="3"/>
        <w:rPr>
          <w:rFonts w:ascii="Times New Roman" w:hAnsi="Times New Roman" w:eastAsia="宋体" w:cs="Times New Roman"/>
          <w:b/>
          <w:bCs/>
          <w:szCs w:val="21"/>
        </w:rPr>
      </w:pPr>
      <w:bookmarkStart w:id="161" w:name="_Toc989050"/>
      <w:r>
        <w:rPr>
          <w:rFonts w:ascii="Times New Roman" w:hAnsi="Times New Roman" w:eastAsia="宋体" w:cs="Times New Roman"/>
          <w:b/>
          <w:bCs/>
          <w:szCs w:val="21"/>
        </w:rPr>
        <w:t>（4） 其他长期职工福利的会计处理方法</w:t>
      </w:r>
      <w:bookmarkEnd w:id="161"/>
    </w:p>
    <w:p>
      <w:pPr>
        <w:pStyle w:val="8"/>
        <w:spacing w:before="0" w:beforeAutospacing="0" w:after="0" w:afterAutospacing="0" w:line="276" w:lineRule="auto"/>
        <w:ind w:firstLine="420"/>
        <w:jc w:val="both"/>
        <w:rPr>
          <w:rFonts w:ascii="Times New Roman" w:hAnsi="Times New Roman" w:cs="Times New Roman"/>
        </w:rPr>
      </w:pPr>
      <w:r>
        <w:rPr>
          <w:rFonts w:ascii="Times New Roman" w:hAnsi="Times New Roman" w:cs="Times New Roman"/>
          <w:sz w:val="18"/>
          <w:szCs w:val="18"/>
        </w:rPr>
        <w:t>本集团向职工提供的其他长期职工福利，符合设定提存计划的，按照设定提存计划进行会计处理，除此之外按照设定受益计划进行会计处理。</w:t>
      </w:r>
    </w:p>
    <w:p>
      <w:pPr>
        <w:pStyle w:val="3"/>
        <w:spacing w:line="280" w:lineRule="exact"/>
        <w:jc w:val="left"/>
        <w:rPr>
          <w:rFonts w:ascii="Times New Roman" w:hAnsi="Times New Roman" w:cs="Times New Roman"/>
          <w:b/>
          <w:bCs/>
        </w:rPr>
      </w:pPr>
      <w:bookmarkStart w:id="162" w:name="_Toc989051"/>
      <w:r>
        <w:rPr>
          <w:rFonts w:ascii="Times New Roman" w:hAnsi="Times New Roman" w:cs="Times New Roman"/>
          <w:b/>
          <w:bCs/>
        </w:rPr>
        <w:t>35、租赁负债</w:t>
      </w:r>
      <w:bookmarkEnd w:id="162"/>
    </w:p>
    <w:p>
      <w:pPr>
        <w:pStyle w:val="8"/>
        <w:rPr>
          <w:rFonts w:ascii="Times New Roman" w:hAnsi="Times New Roman" w:cs="Times New Roman"/>
          <w:sz w:val="18"/>
          <w:szCs w:val="18"/>
        </w:rPr>
      </w:pPr>
      <w:r>
        <w:rPr>
          <w:rFonts w:ascii="Times New Roman" w:hAnsi="Times New Roman" w:cs="Times New Roman"/>
          <w:sz w:val="18"/>
          <w:szCs w:val="18"/>
        </w:rPr>
        <w:t>租赁负债的确认方法及会计处理方法，参见本附注五、42“租赁”。</w:t>
      </w:r>
    </w:p>
    <w:p>
      <w:pPr>
        <w:pStyle w:val="3"/>
        <w:spacing w:line="280" w:lineRule="exact"/>
        <w:jc w:val="left"/>
        <w:rPr>
          <w:rFonts w:ascii="Times New Roman" w:hAnsi="Times New Roman" w:cs="Times New Roman"/>
          <w:b/>
          <w:bCs/>
        </w:rPr>
      </w:pPr>
      <w:bookmarkStart w:id="163" w:name="_Toc989052"/>
      <w:r>
        <w:rPr>
          <w:rFonts w:ascii="Times New Roman" w:hAnsi="Times New Roman" w:cs="Times New Roman"/>
          <w:b/>
          <w:bCs/>
        </w:rPr>
        <w:t>36、预计负债</w:t>
      </w:r>
      <w:bookmarkEnd w:id="163"/>
    </w:p>
    <w:p>
      <w:pPr>
        <w:pStyle w:val="8"/>
        <w:spacing w:before="0" w:beforeAutospacing="0" w:after="0" w:afterAutospacing="0" w:line="276" w:lineRule="auto"/>
        <w:ind w:firstLine="420"/>
        <w:rPr>
          <w:rFonts w:ascii="Times New Roman" w:hAnsi="Times New Roman" w:cs="Times New Roman"/>
        </w:rPr>
      </w:pPr>
      <w:r>
        <w:rPr>
          <w:rFonts w:ascii="Times New Roman" w:hAnsi="Times New Roman" w:cs="Times New Roman"/>
          <w:sz w:val="18"/>
          <w:szCs w:val="18"/>
        </w:rPr>
        <w:t>当与或有事项相关的义务同时符合以下条件，确认为预计负债：（1）该义务是本集团承担的现时义务；（2）履行该义务很可能导致经济利益流出；（3）该义务的金额能够可靠地计量。</w:t>
      </w:r>
    </w:p>
    <w:p>
      <w:pPr>
        <w:pStyle w:val="8"/>
        <w:spacing w:before="0" w:beforeAutospacing="0" w:after="0" w:afterAutospacing="0" w:line="276" w:lineRule="auto"/>
        <w:ind w:firstLine="420"/>
        <w:rPr>
          <w:rFonts w:ascii="Times New Roman" w:hAnsi="Times New Roman" w:cs="Times New Roman"/>
        </w:rPr>
      </w:pPr>
      <w:r>
        <w:rPr>
          <w:rFonts w:ascii="Times New Roman" w:hAnsi="Times New Roman" w:cs="Times New Roman"/>
          <w:sz w:val="18"/>
          <w:szCs w:val="18"/>
        </w:rPr>
        <w:t>在资产负债表日，考虑与或有事项有关的风险、不确定性和货币时间价值等因素，按照履行相关现时义务所需支出的最佳估计数对预计负债进行计量。</w:t>
      </w:r>
    </w:p>
    <w:p>
      <w:pPr>
        <w:pStyle w:val="8"/>
        <w:spacing w:before="0" w:beforeAutospacing="0" w:after="0" w:afterAutospacing="0" w:line="276" w:lineRule="auto"/>
        <w:jc w:val="both"/>
        <w:rPr>
          <w:rFonts w:ascii="Times New Roman" w:hAnsi="Times New Roman" w:cs="Times New Roman"/>
        </w:rPr>
      </w:pPr>
      <w:r>
        <w:rPr>
          <w:rFonts w:ascii="Times New Roman" w:hAnsi="Times New Roman" w:cs="Times New Roman"/>
          <w:sz w:val="18"/>
          <w:szCs w:val="18"/>
        </w:rPr>
        <w:t>如果清偿预计负债所需支出全部或部分预期由第三方补偿的，补偿金额在基本确定能够收到时，作为资产单独确认，且确认的补偿金额不超过预计负债的账面价值。</w:t>
      </w:r>
    </w:p>
    <w:p>
      <w:pPr>
        <w:pStyle w:val="3"/>
        <w:spacing w:line="280" w:lineRule="exact"/>
        <w:jc w:val="left"/>
        <w:rPr>
          <w:rFonts w:ascii="Times New Roman" w:hAnsi="Times New Roman" w:cs="Times New Roman"/>
          <w:b/>
          <w:bCs/>
        </w:rPr>
      </w:pPr>
      <w:bookmarkStart w:id="164" w:name="_Toc989053"/>
      <w:r>
        <w:rPr>
          <w:rFonts w:ascii="Times New Roman" w:hAnsi="Times New Roman" w:cs="Times New Roman"/>
          <w:b/>
          <w:bCs/>
        </w:rPr>
        <w:t>37、股份支付</w:t>
      </w:r>
      <w:bookmarkEnd w:id="164"/>
    </w:p>
    <w:p>
      <w:pPr>
        <w:pStyle w:val="8"/>
        <w:spacing w:before="0" w:beforeAutospacing="0" w:after="0" w:afterAutospacing="0" w:line="276" w:lineRule="auto"/>
        <w:ind w:firstLine="360"/>
        <w:rPr>
          <w:rFonts w:ascii="Times New Roman" w:hAnsi="Times New Roman" w:eastAsia="等线" w:cs="Times New Roman"/>
          <w:sz w:val="21"/>
          <w:szCs w:val="21"/>
        </w:rPr>
      </w:pPr>
      <w:r>
        <w:rPr>
          <w:rFonts w:ascii="Times New Roman" w:hAnsi="Times New Roman" w:cs="Times New Roman"/>
          <w:sz w:val="18"/>
          <w:szCs w:val="18"/>
        </w:rPr>
        <w:t>（</w:t>
      </w:r>
      <w:r>
        <w:rPr>
          <w:rFonts w:ascii="Times New Roman" w:hAnsi="Times New Roman" w:eastAsia="等线" w:cs="Times New Roman"/>
          <w:sz w:val="18"/>
          <w:szCs w:val="18"/>
        </w:rPr>
        <w:t>1</w:t>
      </w:r>
      <w:r>
        <w:rPr>
          <w:rFonts w:ascii="Times New Roman" w:hAnsi="Times New Roman" w:cs="Times New Roman"/>
          <w:sz w:val="18"/>
          <w:szCs w:val="18"/>
        </w:rPr>
        <w:t>）股份支付的会计处理方法</w:t>
      </w:r>
    </w:p>
    <w:p>
      <w:pPr>
        <w:pStyle w:val="8"/>
        <w:spacing w:before="0" w:beforeAutospacing="0" w:after="0" w:afterAutospacing="0" w:line="276" w:lineRule="auto"/>
        <w:ind w:firstLine="360"/>
        <w:rPr>
          <w:rFonts w:ascii="Times New Roman" w:hAnsi="Times New Roman" w:eastAsia="等线" w:cs="Times New Roman"/>
          <w:sz w:val="21"/>
          <w:szCs w:val="21"/>
        </w:rPr>
      </w:pPr>
      <w:r>
        <w:rPr>
          <w:rFonts w:ascii="Times New Roman" w:hAnsi="Times New Roman" w:cs="Times New Roman"/>
          <w:sz w:val="18"/>
          <w:szCs w:val="18"/>
        </w:rPr>
        <w:t>股份支付是为了获取职工或其他方提供服务而授予权益工具或者承担以权益工具为基础确定的负债的交易。股份支付分为以权益结算的股份支付和以现金结算的股份支付。</w:t>
      </w:r>
    </w:p>
    <w:p>
      <w:pPr>
        <w:pStyle w:val="8"/>
        <w:spacing w:before="0" w:beforeAutospacing="0" w:after="0" w:afterAutospacing="0" w:line="276" w:lineRule="auto"/>
        <w:ind w:firstLine="360"/>
        <w:rPr>
          <w:rFonts w:ascii="Times New Roman" w:hAnsi="Times New Roman" w:eastAsia="等线" w:cs="Times New Roman"/>
          <w:sz w:val="21"/>
          <w:szCs w:val="21"/>
        </w:rPr>
      </w:pPr>
      <w:r>
        <w:rPr>
          <w:rFonts w:hint="eastAsia"/>
          <w:sz w:val="18"/>
          <w:szCs w:val="18"/>
        </w:rPr>
        <w:t>①</w:t>
      </w:r>
      <w:r>
        <w:rPr>
          <w:rFonts w:ascii="Times New Roman" w:hAnsi="Times New Roman" w:cs="Times New Roman"/>
          <w:sz w:val="18"/>
          <w:szCs w:val="18"/>
        </w:rPr>
        <w:t>以权益结算的股份支付</w:t>
      </w:r>
    </w:p>
    <w:p>
      <w:pPr>
        <w:pStyle w:val="8"/>
        <w:spacing w:before="0" w:beforeAutospacing="0" w:after="0" w:afterAutospacing="0" w:line="276" w:lineRule="auto"/>
        <w:ind w:firstLine="360"/>
        <w:rPr>
          <w:rFonts w:ascii="Times New Roman" w:hAnsi="Times New Roman" w:eastAsia="等线" w:cs="Times New Roman"/>
          <w:sz w:val="21"/>
          <w:szCs w:val="21"/>
        </w:rPr>
      </w:pPr>
      <w:r>
        <w:rPr>
          <w:rFonts w:ascii="Times New Roman" w:hAnsi="Times New Roman" w:cs="Times New Roman"/>
          <w:sz w:val="18"/>
          <w:szCs w:val="18"/>
        </w:rPr>
        <w:t>用以换取职工提供的服务的权益结算的股份支付，以授予职工权益工具在授予日的公允价值计量。该公允价值的金额在完成等待期内的服务或达到规定业绩条件才可行权的情况下，在等待期内以对可行权权益工具数量的最佳估计为基础，按直线法计算计入相关成本或费用</w:t>
      </w:r>
      <w:r>
        <w:rPr>
          <w:rFonts w:ascii="Times New Roman" w:hAnsi="Times New Roman" w:eastAsia="等线" w:cs="Times New Roman"/>
          <w:sz w:val="18"/>
          <w:szCs w:val="18"/>
        </w:rPr>
        <w:t>/</w:t>
      </w:r>
      <w:r>
        <w:rPr>
          <w:rFonts w:ascii="Times New Roman" w:hAnsi="Times New Roman" w:cs="Times New Roman"/>
          <w:sz w:val="18"/>
          <w:szCs w:val="18"/>
        </w:rPr>
        <w:t>在授予后立即可行权时，在授予日计入相关成本或费用，相应增加资本公积。</w:t>
      </w:r>
    </w:p>
    <w:p>
      <w:pPr>
        <w:pStyle w:val="8"/>
        <w:spacing w:before="0" w:beforeAutospacing="0" w:after="0" w:afterAutospacing="0" w:line="276" w:lineRule="auto"/>
        <w:ind w:firstLine="360"/>
        <w:rPr>
          <w:rFonts w:ascii="Times New Roman" w:hAnsi="Times New Roman" w:eastAsia="等线" w:cs="Times New Roman"/>
          <w:sz w:val="21"/>
          <w:szCs w:val="21"/>
        </w:rPr>
      </w:pPr>
      <w:r>
        <w:rPr>
          <w:rFonts w:ascii="Times New Roman" w:hAnsi="Times New Roman" w:cs="Times New Roman"/>
          <w:sz w:val="18"/>
          <w:szCs w:val="18"/>
        </w:rPr>
        <w:t>在等待期内每个资产负债表日，本集团根据最新取得的可行权职工人数变动等后续信息做出最佳估计，修正预计可行权的权益工具数量。上述估计的影响计入当期相关成本或费用，并相应调整资本公积。</w:t>
      </w:r>
    </w:p>
    <w:p>
      <w:pPr>
        <w:pStyle w:val="8"/>
        <w:spacing w:before="0" w:beforeAutospacing="0" w:after="0" w:afterAutospacing="0" w:line="276" w:lineRule="auto"/>
        <w:ind w:firstLine="360"/>
        <w:rPr>
          <w:rFonts w:ascii="Times New Roman" w:hAnsi="Times New Roman" w:eastAsia="等线" w:cs="Times New Roman"/>
          <w:sz w:val="21"/>
          <w:szCs w:val="21"/>
        </w:rPr>
      </w:pPr>
      <w:r>
        <w:rPr>
          <w:rFonts w:ascii="Times New Roman" w:hAnsi="Times New Roman" w:cs="Times New Roman"/>
          <w:sz w:val="18"/>
          <w:szCs w:val="18"/>
        </w:rPr>
        <w:t>用以换取其他方服务的权益结算的股份支付，如果其他方服务的公允价值能够可靠计量，按照其他方服务在取得日的公允价值计量，如果其他方服务的公允价值不能可靠计量，但权益工具的公允价值能够可靠计量的，按照权益工具在服务取得日的公允价值计量，计入相关成本或费用，相应增加股东权益。</w:t>
      </w:r>
    </w:p>
    <w:p>
      <w:pPr>
        <w:pStyle w:val="8"/>
        <w:spacing w:before="0" w:beforeAutospacing="0" w:after="0" w:afterAutospacing="0" w:line="276" w:lineRule="auto"/>
        <w:ind w:firstLine="360"/>
        <w:rPr>
          <w:rFonts w:ascii="Times New Roman" w:hAnsi="Times New Roman" w:eastAsia="等线" w:cs="Times New Roman"/>
          <w:sz w:val="21"/>
          <w:szCs w:val="21"/>
        </w:rPr>
      </w:pPr>
      <w:r>
        <w:rPr>
          <w:rFonts w:hint="eastAsia"/>
          <w:sz w:val="18"/>
          <w:szCs w:val="18"/>
        </w:rPr>
        <w:t>②</w:t>
      </w:r>
      <w:r>
        <w:rPr>
          <w:rFonts w:ascii="Times New Roman" w:hAnsi="Times New Roman" w:cs="Times New Roman"/>
          <w:sz w:val="18"/>
          <w:szCs w:val="18"/>
        </w:rPr>
        <w:t>以现金结算的股份支付</w:t>
      </w:r>
    </w:p>
    <w:p>
      <w:pPr>
        <w:pStyle w:val="8"/>
        <w:spacing w:before="0" w:beforeAutospacing="0" w:after="0" w:afterAutospacing="0" w:line="276" w:lineRule="auto"/>
        <w:ind w:firstLine="360"/>
        <w:rPr>
          <w:rFonts w:ascii="Times New Roman" w:hAnsi="Times New Roman" w:eastAsia="等线" w:cs="Times New Roman"/>
          <w:sz w:val="21"/>
          <w:szCs w:val="21"/>
        </w:rPr>
      </w:pPr>
      <w:r>
        <w:rPr>
          <w:rFonts w:ascii="Times New Roman" w:hAnsi="Times New Roman" w:cs="Times New Roman"/>
          <w:sz w:val="18"/>
          <w:szCs w:val="18"/>
        </w:rPr>
        <w:t>以现金结算的股份支付，按照本集团承担的以股份或其他权益工具为基础确定的负债的公允价值计量。如授予后立即可行权，在授予日计入相关成本或费用，相应增加负债；如需完成等待期内的服务或达到规定业绩条件以后才可行权，在等待期的每个资产负债表日，以对可行权情况的最佳估计为基础，按照本集团承担负债的公允价值金额，将当期取得的服务计入成本或费用，相应增加负债。</w:t>
      </w:r>
    </w:p>
    <w:p>
      <w:pPr>
        <w:pStyle w:val="8"/>
        <w:spacing w:before="0" w:beforeAutospacing="0" w:after="0" w:afterAutospacing="0" w:line="276" w:lineRule="auto"/>
        <w:ind w:firstLine="360"/>
        <w:rPr>
          <w:rFonts w:ascii="Times New Roman" w:hAnsi="Times New Roman" w:eastAsia="等线" w:cs="Times New Roman"/>
          <w:sz w:val="21"/>
          <w:szCs w:val="21"/>
        </w:rPr>
      </w:pPr>
      <w:r>
        <w:rPr>
          <w:rFonts w:ascii="Times New Roman" w:hAnsi="Times New Roman" w:cs="Times New Roman"/>
          <w:sz w:val="18"/>
          <w:szCs w:val="18"/>
        </w:rPr>
        <w:t>在相关负债结算前的每个资产负债表日以及结算日，对负债的公允价值重新计量，其变动计入当期损益。</w:t>
      </w:r>
    </w:p>
    <w:p>
      <w:pPr>
        <w:pStyle w:val="8"/>
        <w:spacing w:before="0" w:beforeAutospacing="0" w:after="0" w:afterAutospacing="0" w:line="276" w:lineRule="auto"/>
        <w:ind w:firstLine="360"/>
        <w:rPr>
          <w:rFonts w:ascii="Times New Roman" w:hAnsi="Times New Roman" w:eastAsia="等线" w:cs="Times New Roman"/>
          <w:sz w:val="21"/>
          <w:szCs w:val="21"/>
        </w:rPr>
      </w:pPr>
      <w:r>
        <w:rPr>
          <w:rFonts w:ascii="Times New Roman" w:hAnsi="Times New Roman" w:cs="Times New Roman"/>
          <w:sz w:val="18"/>
          <w:szCs w:val="18"/>
        </w:rPr>
        <w:t>（</w:t>
      </w:r>
      <w:r>
        <w:rPr>
          <w:rFonts w:ascii="Times New Roman" w:hAnsi="Times New Roman" w:eastAsia="等线" w:cs="Times New Roman"/>
          <w:sz w:val="18"/>
          <w:szCs w:val="18"/>
        </w:rPr>
        <w:t>2</w:t>
      </w:r>
      <w:r>
        <w:rPr>
          <w:rFonts w:ascii="Times New Roman" w:hAnsi="Times New Roman" w:cs="Times New Roman"/>
          <w:sz w:val="18"/>
          <w:szCs w:val="18"/>
        </w:rPr>
        <w:t>）修改、终止股份支付计划的相关会计处理</w:t>
      </w:r>
    </w:p>
    <w:p>
      <w:pPr>
        <w:pStyle w:val="8"/>
        <w:spacing w:before="0" w:beforeAutospacing="0" w:after="0" w:afterAutospacing="0" w:line="276" w:lineRule="auto"/>
        <w:ind w:firstLine="360"/>
        <w:rPr>
          <w:rFonts w:ascii="Times New Roman" w:hAnsi="Times New Roman" w:eastAsia="等线" w:cs="Times New Roman"/>
          <w:sz w:val="21"/>
          <w:szCs w:val="21"/>
        </w:rPr>
      </w:pPr>
      <w:r>
        <w:rPr>
          <w:rFonts w:ascii="Times New Roman" w:hAnsi="Times New Roman" w:cs="Times New Roman"/>
          <w:sz w:val="18"/>
          <w:szCs w:val="18"/>
        </w:rPr>
        <w:t>本集团对股份支付计划进行修改时，若修改增加了所授予权益工具的公允价值，按照权益工具公允价值的增加相应确认取得服务的增加。权益工具公允价值的增加是指修改前后的权益工具在修改日的公允价值之间的差额。若修改减少了股份支付公允价值总额或采用了其他不利于职工的方式，则仍继续对取得的服务进行会计处理，视同该变更从未发生，除非本集团取消了部分或全部已授予的权益工具。</w:t>
      </w:r>
    </w:p>
    <w:p>
      <w:pPr>
        <w:pStyle w:val="8"/>
        <w:spacing w:before="0" w:beforeAutospacing="0" w:after="0" w:afterAutospacing="0" w:line="276" w:lineRule="auto"/>
        <w:ind w:firstLine="360"/>
        <w:rPr>
          <w:rFonts w:ascii="Times New Roman" w:hAnsi="Times New Roman" w:eastAsia="等线" w:cs="Times New Roman"/>
          <w:sz w:val="21"/>
          <w:szCs w:val="21"/>
        </w:rPr>
      </w:pPr>
      <w:r>
        <w:rPr>
          <w:rFonts w:ascii="Times New Roman" w:hAnsi="Times New Roman" w:cs="Times New Roman"/>
          <w:sz w:val="18"/>
          <w:szCs w:val="18"/>
        </w:rPr>
        <w:t>在等待期内，如果取消了授予的权益工具，本集团对取消所授予的权益性工具作为加速行权处理，将剩余等待期内应确认的金额立即计入当期损益，同时确认资本公积。职工或其他方能够选择满足非可行权条件但在等待期内未满足的，本集团将其作为授予权益工具的取消处理。</w:t>
      </w:r>
    </w:p>
    <w:p>
      <w:pPr>
        <w:pStyle w:val="8"/>
        <w:spacing w:before="0" w:beforeAutospacing="0" w:after="0" w:afterAutospacing="0" w:line="276" w:lineRule="auto"/>
        <w:ind w:firstLine="360"/>
        <w:rPr>
          <w:rFonts w:ascii="Times New Roman" w:hAnsi="Times New Roman" w:eastAsia="等线" w:cs="Times New Roman"/>
          <w:sz w:val="21"/>
          <w:szCs w:val="21"/>
        </w:rPr>
      </w:pPr>
      <w:r>
        <w:rPr>
          <w:rFonts w:ascii="Times New Roman" w:hAnsi="Times New Roman" w:cs="Times New Roman"/>
          <w:sz w:val="18"/>
          <w:szCs w:val="18"/>
        </w:rPr>
        <w:t>（</w:t>
      </w:r>
      <w:r>
        <w:rPr>
          <w:rFonts w:ascii="Times New Roman" w:hAnsi="Times New Roman" w:eastAsia="等线" w:cs="Times New Roman"/>
          <w:sz w:val="18"/>
          <w:szCs w:val="18"/>
        </w:rPr>
        <w:t>3</w:t>
      </w:r>
      <w:r>
        <w:rPr>
          <w:rFonts w:ascii="Times New Roman" w:hAnsi="Times New Roman" w:cs="Times New Roman"/>
          <w:sz w:val="18"/>
          <w:szCs w:val="18"/>
        </w:rPr>
        <w:t>）涉及本集团与本公司股东或实际控制人的股份支付交易的会计处理</w:t>
      </w:r>
    </w:p>
    <w:p>
      <w:pPr>
        <w:pStyle w:val="8"/>
        <w:spacing w:before="0" w:beforeAutospacing="0" w:after="0" w:afterAutospacing="0" w:line="276" w:lineRule="auto"/>
        <w:ind w:firstLine="360"/>
        <w:rPr>
          <w:rFonts w:ascii="Times New Roman" w:hAnsi="Times New Roman" w:eastAsia="等线" w:cs="Times New Roman"/>
          <w:sz w:val="21"/>
          <w:szCs w:val="21"/>
        </w:rPr>
      </w:pPr>
      <w:r>
        <w:rPr>
          <w:rFonts w:ascii="Times New Roman" w:hAnsi="Times New Roman" w:cs="Times New Roman"/>
          <w:sz w:val="18"/>
          <w:szCs w:val="18"/>
        </w:rPr>
        <w:t>涉及本集团与本公司股东或实际控制人的股份支付交易，结算企业与接受服务企业中其一在本集团内，另一在本集团外的，在本集团合并财务报表中按照以下规定进行会计处理：</w:t>
      </w:r>
    </w:p>
    <w:p>
      <w:pPr>
        <w:pStyle w:val="8"/>
        <w:spacing w:before="0" w:beforeAutospacing="0" w:after="0" w:afterAutospacing="0" w:line="276" w:lineRule="auto"/>
        <w:ind w:firstLine="360"/>
        <w:rPr>
          <w:rFonts w:ascii="Times New Roman" w:hAnsi="Times New Roman" w:eastAsia="等线" w:cs="Times New Roman"/>
          <w:sz w:val="21"/>
          <w:szCs w:val="21"/>
        </w:rPr>
      </w:pPr>
      <w:r>
        <w:rPr>
          <w:rFonts w:hint="eastAsia"/>
          <w:sz w:val="18"/>
          <w:szCs w:val="18"/>
        </w:rPr>
        <w:t>①</w:t>
      </w:r>
      <w:r>
        <w:rPr>
          <w:rFonts w:ascii="Times New Roman" w:hAnsi="Times New Roman" w:cs="Times New Roman"/>
          <w:sz w:val="18"/>
          <w:szCs w:val="18"/>
        </w:rPr>
        <w:t>结算企业以其本身权益工具结算的，将该股份支付交易作为权益结算的股份支付处理；除此之外，作为现金结算的股份支付处理。</w:t>
      </w:r>
    </w:p>
    <w:p>
      <w:pPr>
        <w:pStyle w:val="8"/>
        <w:spacing w:before="0" w:beforeAutospacing="0" w:after="0" w:afterAutospacing="0" w:line="276" w:lineRule="auto"/>
        <w:ind w:firstLine="360"/>
        <w:rPr>
          <w:rFonts w:ascii="Times New Roman" w:hAnsi="Times New Roman" w:eastAsia="等线" w:cs="Times New Roman"/>
          <w:sz w:val="21"/>
          <w:szCs w:val="21"/>
        </w:rPr>
      </w:pPr>
      <w:r>
        <w:rPr>
          <w:rFonts w:ascii="Times New Roman" w:hAnsi="Times New Roman" w:cs="Times New Roman"/>
          <w:sz w:val="18"/>
          <w:szCs w:val="18"/>
        </w:rPr>
        <w:t>结算企业是接受服务企业的投资者的，按照授予日权益工具的公允价值或应承担负债的公允价值确认为对接受服务企业的长期股权投资，同时确认资本公积（其他资本公积）或负债。</w:t>
      </w:r>
    </w:p>
    <w:p>
      <w:pPr>
        <w:pStyle w:val="8"/>
        <w:spacing w:before="0" w:beforeAutospacing="0" w:after="0" w:afterAutospacing="0" w:line="276" w:lineRule="auto"/>
        <w:ind w:firstLine="360"/>
        <w:rPr>
          <w:rFonts w:ascii="Times New Roman" w:hAnsi="Times New Roman" w:eastAsia="等线" w:cs="Times New Roman"/>
          <w:sz w:val="21"/>
          <w:szCs w:val="21"/>
        </w:rPr>
      </w:pPr>
      <w:r>
        <w:rPr>
          <w:rFonts w:hint="eastAsia"/>
          <w:sz w:val="18"/>
          <w:szCs w:val="18"/>
        </w:rPr>
        <w:t>②</w:t>
      </w:r>
      <w:r>
        <w:rPr>
          <w:rFonts w:ascii="Times New Roman" w:hAnsi="Times New Roman" w:cs="Times New Roman"/>
          <w:sz w:val="18"/>
          <w:szCs w:val="18"/>
        </w:rPr>
        <w:t>接受服务企业没有结算义务或授予本企业职工的是其本身权益工具的，将该股份支付交易作为权益结算的股份支付处理；接受服务企业具有结算义务且授予本企业职工的并非其本身权益工具的，将该股份支付交易作为现金结算的股份支付处理。</w:t>
      </w:r>
    </w:p>
    <w:p>
      <w:pPr>
        <w:pStyle w:val="8"/>
        <w:spacing w:before="0" w:beforeAutospacing="0" w:after="0" w:afterAutospacing="0" w:line="276" w:lineRule="auto"/>
        <w:ind w:firstLine="360"/>
        <w:rPr>
          <w:rFonts w:ascii="Times New Roman" w:hAnsi="Times New Roman" w:eastAsia="等线" w:cs="Times New Roman"/>
          <w:sz w:val="21"/>
          <w:szCs w:val="21"/>
        </w:rPr>
      </w:pPr>
      <w:r>
        <w:rPr>
          <w:rFonts w:ascii="Times New Roman" w:hAnsi="Times New Roman" w:cs="Times New Roman"/>
          <w:sz w:val="18"/>
          <w:szCs w:val="18"/>
        </w:rPr>
        <w:t>本集团内各企业之间发生的股份支付交易，接受服务企业和结算企业不是同一企业的，在接受服务企业和结算企业各自的个别财务报表中对该股份支付交易的确认和计量，比照上述原则处理。</w:t>
      </w:r>
    </w:p>
    <w:p>
      <w:pPr>
        <w:pStyle w:val="3"/>
        <w:spacing w:line="280" w:lineRule="exact"/>
        <w:jc w:val="left"/>
        <w:rPr>
          <w:rFonts w:ascii="Times New Roman" w:hAnsi="Times New Roman" w:cs="Times New Roman"/>
          <w:b/>
          <w:bCs/>
        </w:rPr>
      </w:pPr>
      <w:bookmarkStart w:id="165" w:name="_Toc989054"/>
      <w:r>
        <w:rPr>
          <w:rFonts w:ascii="Times New Roman" w:hAnsi="Times New Roman" w:cs="Times New Roman"/>
          <w:b/>
          <w:bCs/>
        </w:rPr>
        <w:t>38、优先股、永续债等其他金融工具</w:t>
      </w:r>
      <w:bookmarkEnd w:id="165"/>
    </w:p>
    <w:p>
      <w:pPr>
        <w:pStyle w:val="8"/>
        <w:spacing w:before="0" w:beforeAutospacing="0" w:after="0" w:afterAutospacing="0" w:line="276" w:lineRule="auto"/>
        <w:ind w:firstLine="360"/>
        <w:rPr>
          <w:rFonts w:ascii="Times New Roman" w:hAnsi="Times New Roman" w:eastAsia="等线" w:cs="Times New Roman"/>
          <w:sz w:val="21"/>
          <w:szCs w:val="21"/>
        </w:rPr>
      </w:pPr>
      <w:r>
        <w:rPr>
          <w:rFonts w:ascii="Times New Roman" w:hAnsi="Times New Roman" w:cs="Times New Roman"/>
          <w:sz w:val="18"/>
          <w:szCs w:val="18"/>
        </w:rPr>
        <w:t>（</w:t>
      </w:r>
      <w:r>
        <w:rPr>
          <w:rFonts w:ascii="Times New Roman" w:hAnsi="Times New Roman" w:eastAsia="等线" w:cs="Times New Roman"/>
          <w:sz w:val="18"/>
          <w:szCs w:val="18"/>
        </w:rPr>
        <w:t>1</w:t>
      </w:r>
      <w:r>
        <w:rPr>
          <w:rFonts w:ascii="Times New Roman" w:hAnsi="Times New Roman" w:cs="Times New Roman"/>
          <w:sz w:val="18"/>
          <w:szCs w:val="18"/>
        </w:rPr>
        <w:t>）永续债和优先股等的区分</w:t>
      </w:r>
    </w:p>
    <w:p>
      <w:pPr>
        <w:pStyle w:val="8"/>
        <w:spacing w:before="0" w:beforeAutospacing="0" w:after="0" w:afterAutospacing="0" w:line="276" w:lineRule="auto"/>
        <w:ind w:firstLine="360"/>
        <w:rPr>
          <w:rFonts w:ascii="Times New Roman" w:hAnsi="Times New Roman" w:eastAsia="等线" w:cs="Times New Roman"/>
          <w:sz w:val="21"/>
          <w:szCs w:val="21"/>
        </w:rPr>
      </w:pPr>
      <w:r>
        <w:rPr>
          <w:rFonts w:ascii="Times New Roman" w:hAnsi="Times New Roman" w:cs="Times New Roman"/>
          <w:sz w:val="18"/>
          <w:szCs w:val="18"/>
        </w:rPr>
        <w:t>本集团发行的永续债和优先股等金融工具，同时符合以下条件的，作为权益工具：</w:t>
      </w:r>
    </w:p>
    <w:p>
      <w:pPr>
        <w:pStyle w:val="8"/>
        <w:spacing w:before="0" w:beforeAutospacing="0" w:after="0" w:afterAutospacing="0" w:line="276" w:lineRule="auto"/>
        <w:ind w:firstLine="360"/>
        <w:rPr>
          <w:rFonts w:ascii="Times New Roman" w:hAnsi="Times New Roman" w:eastAsia="等线" w:cs="Times New Roman"/>
          <w:sz w:val="21"/>
          <w:szCs w:val="21"/>
        </w:rPr>
      </w:pPr>
      <w:r>
        <w:rPr>
          <w:rFonts w:hint="eastAsia"/>
          <w:sz w:val="18"/>
          <w:szCs w:val="18"/>
        </w:rPr>
        <w:t>①</w:t>
      </w:r>
      <w:r>
        <w:rPr>
          <w:rFonts w:ascii="Times New Roman" w:hAnsi="Times New Roman" w:cs="Times New Roman"/>
          <w:sz w:val="18"/>
          <w:szCs w:val="18"/>
        </w:rPr>
        <w:t>该金融工具不包括交付现金或其他金融资产给其他方，或在潜在不利条件下与其他方交换金融资产或金融负债的合同义务；</w:t>
      </w:r>
    </w:p>
    <w:p>
      <w:pPr>
        <w:pStyle w:val="8"/>
        <w:spacing w:before="0" w:beforeAutospacing="0" w:after="0" w:afterAutospacing="0" w:line="276" w:lineRule="auto"/>
        <w:ind w:firstLine="360"/>
        <w:rPr>
          <w:rFonts w:ascii="Times New Roman" w:hAnsi="Times New Roman" w:eastAsia="等线" w:cs="Times New Roman"/>
          <w:sz w:val="21"/>
          <w:szCs w:val="21"/>
        </w:rPr>
      </w:pPr>
      <w:r>
        <w:rPr>
          <w:rFonts w:hint="eastAsia"/>
          <w:sz w:val="18"/>
          <w:szCs w:val="18"/>
        </w:rPr>
        <w:t>②</w:t>
      </w:r>
      <w:r>
        <w:rPr>
          <w:rFonts w:ascii="Times New Roman" w:hAnsi="Times New Roman" w:cs="Times New Roman"/>
          <w:sz w:val="18"/>
          <w:szCs w:val="18"/>
        </w:rPr>
        <w:t>如将来须用或可用企业自身权益工具结算该金融工具的，如该金融工具为非衍生工具，则不包括交付可变数量的自身权益工具进行结算的合同义务；如为衍生工具，则本集团只能通过以固定数量的自身权益工具交换固定金额的现金或其他金融资产结算该金融工具。</w:t>
      </w:r>
    </w:p>
    <w:p>
      <w:pPr>
        <w:pStyle w:val="8"/>
        <w:spacing w:before="0" w:beforeAutospacing="0" w:after="0" w:afterAutospacing="0" w:line="276" w:lineRule="auto"/>
        <w:ind w:firstLine="360"/>
        <w:rPr>
          <w:rFonts w:ascii="Times New Roman" w:hAnsi="Times New Roman" w:eastAsia="等线" w:cs="Times New Roman"/>
          <w:sz w:val="21"/>
          <w:szCs w:val="21"/>
        </w:rPr>
      </w:pPr>
      <w:r>
        <w:rPr>
          <w:rFonts w:ascii="Times New Roman" w:hAnsi="Times New Roman" w:cs="Times New Roman"/>
          <w:sz w:val="18"/>
          <w:szCs w:val="18"/>
        </w:rPr>
        <w:t>除按上述条件可归类为权益工具的金融工具以外，本集团发行的其他金融工具应归类为金融负债。</w:t>
      </w:r>
    </w:p>
    <w:p>
      <w:pPr>
        <w:pStyle w:val="8"/>
        <w:spacing w:before="0" w:beforeAutospacing="0" w:after="0" w:afterAutospacing="0" w:line="276" w:lineRule="auto"/>
        <w:ind w:firstLine="360"/>
        <w:rPr>
          <w:rFonts w:ascii="Times New Roman" w:hAnsi="Times New Roman" w:eastAsia="等线" w:cs="Times New Roman"/>
          <w:sz w:val="21"/>
          <w:szCs w:val="21"/>
        </w:rPr>
      </w:pPr>
      <w:r>
        <w:rPr>
          <w:rFonts w:ascii="Times New Roman" w:hAnsi="Times New Roman" w:cs="Times New Roman"/>
          <w:sz w:val="18"/>
          <w:szCs w:val="18"/>
        </w:rPr>
        <w:t>本集团发行的金融工具为复合金融工具的，按照负债成分的公允价值确认为一项负债，按实际收到的金额扣除负债成分的公允价值后的金额，确认为“其他权益工具”。发行复合金融工具发生的交易费用，在负债成分和权益成分之间按照各自占总发行价款的比例进行分摊。</w:t>
      </w:r>
    </w:p>
    <w:p>
      <w:pPr>
        <w:pStyle w:val="8"/>
        <w:spacing w:before="0" w:beforeAutospacing="0" w:after="0" w:afterAutospacing="0" w:line="276" w:lineRule="auto"/>
        <w:ind w:firstLine="360"/>
        <w:rPr>
          <w:rFonts w:ascii="Times New Roman" w:hAnsi="Times New Roman" w:eastAsia="等线" w:cs="Times New Roman"/>
          <w:sz w:val="21"/>
          <w:szCs w:val="21"/>
        </w:rPr>
      </w:pPr>
      <w:r>
        <w:rPr>
          <w:rFonts w:ascii="Times New Roman" w:hAnsi="Times New Roman" w:cs="Times New Roman"/>
          <w:sz w:val="18"/>
          <w:szCs w:val="18"/>
        </w:rPr>
        <w:t>（</w:t>
      </w:r>
      <w:r>
        <w:rPr>
          <w:rFonts w:ascii="Times New Roman" w:hAnsi="Times New Roman" w:eastAsia="等线" w:cs="Times New Roman"/>
          <w:sz w:val="18"/>
          <w:szCs w:val="18"/>
        </w:rPr>
        <w:t>2</w:t>
      </w:r>
      <w:r>
        <w:rPr>
          <w:rFonts w:ascii="Times New Roman" w:hAnsi="Times New Roman" w:cs="Times New Roman"/>
          <w:sz w:val="18"/>
          <w:szCs w:val="18"/>
        </w:rPr>
        <w:t>）永续债和优先股等的会计处理方法</w:t>
      </w:r>
    </w:p>
    <w:p>
      <w:pPr>
        <w:pStyle w:val="8"/>
        <w:spacing w:before="0" w:beforeAutospacing="0" w:after="0" w:afterAutospacing="0" w:line="276" w:lineRule="auto"/>
        <w:ind w:firstLine="360"/>
        <w:rPr>
          <w:rFonts w:ascii="Times New Roman" w:hAnsi="Times New Roman" w:eastAsia="等线" w:cs="Times New Roman"/>
          <w:sz w:val="21"/>
          <w:szCs w:val="21"/>
        </w:rPr>
      </w:pPr>
      <w:r>
        <w:rPr>
          <w:rFonts w:ascii="Times New Roman" w:hAnsi="Times New Roman" w:cs="Times New Roman"/>
          <w:sz w:val="18"/>
          <w:szCs w:val="18"/>
        </w:rPr>
        <w:t>归类为金融负债的永续债和优先股等金融工具，其相关利息、股利（或股息）、利得或损失，以及赎回或再融资产生的利得或损失等，除符合资本化条件的借款费用（参见本附注五、</w:t>
      </w:r>
      <w:r>
        <w:rPr>
          <w:rFonts w:ascii="Times New Roman" w:hAnsi="Times New Roman" w:eastAsia="等线" w:cs="Times New Roman"/>
          <w:sz w:val="18"/>
          <w:szCs w:val="18"/>
        </w:rPr>
        <w:t>26</w:t>
      </w:r>
      <w:r>
        <w:rPr>
          <w:rFonts w:ascii="Times New Roman" w:hAnsi="Times New Roman" w:cs="Times New Roman"/>
          <w:sz w:val="18"/>
          <w:szCs w:val="18"/>
        </w:rPr>
        <w:t>“借款费用”）以外，均计入当期损益。</w:t>
      </w:r>
    </w:p>
    <w:p>
      <w:pPr>
        <w:pStyle w:val="8"/>
        <w:spacing w:before="0" w:beforeAutospacing="0" w:after="0" w:afterAutospacing="0" w:line="276" w:lineRule="auto"/>
        <w:ind w:firstLine="360"/>
        <w:rPr>
          <w:rFonts w:ascii="Times New Roman" w:hAnsi="Times New Roman" w:eastAsia="等线" w:cs="Times New Roman"/>
          <w:sz w:val="21"/>
          <w:szCs w:val="21"/>
        </w:rPr>
      </w:pPr>
      <w:r>
        <w:rPr>
          <w:rFonts w:ascii="Times New Roman" w:hAnsi="Times New Roman" w:cs="Times New Roman"/>
          <w:sz w:val="18"/>
          <w:szCs w:val="18"/>
        </w:rPr>
        <w:t>归类为权益工具的永续债和优先股等金融工具，其发行（含再融资）、回购、出售或注销时，本集团作为权益的变动处理，相关交易费用亦从权益中扣减。本集团对权益工具持有方的分配作为利润分配处理。</w:t>
      </w:r>
    </w:p>
    <w:p>
      <w:pPr>
        <w:pStyle w:val="8"/>
        <w:spacing w:before="0" w:beforeAutospacing="0" w:after="0" w:afterAutospacing="0" w:line="276" w:lineRule="auto"/>
        <w:ind w:firstLine="360"/>
        <w:rPr>
          <w:rFonts w:ascii="Times New Roman" w:hAnsi="Times New Roman" w:eastAsia="等线" w:cs="Times New Roman"/>
          <w:sz w:val="21"/>
          <w:szCs w:val="21"/>
        </w:rPr>
      </w:pPr>
      <w:r>
        <w:rPr>
          <w:rFonts w:ascii="Times New Roman" w:hAnsi="Times New Roman" w:cs="Times New Roman"/>
          <w:sz w:val="18"/>
          <w:szCs w:val="18"/>
        </w:rPr>
        <w:t>本集团不确认权益工具的公允价值变动。</w:t>
      </w:r>
    </w:p>
    <w:p>
      <w:pPr>
        <w:pStyle w:val="3"/>
        <w:spacing w:line="280" w:lineRule="exact"/>
        <w:jc w:val="left"/>
        <w:rPr>
          <w:rFonts w:ascii="Times New Roman" w:hAnsi="Times New Roman" w:cs="Times New Roman"/>
          <w:b/>
          <w:bCs/>
        </w:rPr>
      </w:pPr>
      <w:bookmarkStart w:id="166" w:name="_Toc989055"/>
      <w:r>
        <w:rPr>
          <w:rFonts w:ascii="Times New Roman" w:hAnsi="Times New Roman" w:cs="Times New Roman"/>
          <w:b/>
          <w:bCs/>
        </w:rPr>
        <w:t>39、收入</w:t>
      </w:r>
      <w:bookmarkEnd w:id="166"/>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收入确认和计量所采用的会计政策</w:t>
      </w:r>
    </w:p>
    <w:p>
      <w:pPr>
        <w:pStyle w:val="8"/>
        <w:spacing w:before="0" w:beforeAutospacing="0" w:after="0" w:afterAutospacing="0" w:line="276" w:lineRule="auto"/>
        <w:ind w:firstLine="360"/>
        <w:rPr>
          <w:rFonts w:ascii="Times New Roman" w:hAnsi="Times New Roman" w:eastAsia="等线" w:cs="Times New Roman"/>
          <w:sz w:val="21"/>
          <w:szCs w:val="21"/>
        </w:rPr>
      </w:pPr>
      <w:r>
        <w:rPr>
          <w:rFonts w:ascii="Times New Roman" w:hAnsi="Times New Roman" w:cs="Times New Roman"/>
          <w:sz w:val="18"/>
          <w:szCs w:val="18"/>
        </w:rPr>
        <w:t>收入，是本集团在日常活动中形成的、会导致股东权益增加的、与股东投入资本无关的经济利益的总流入。本集团与客户之间的合同同时满足下列条件时，在客户取得相关商品（含劳务，下同）控制权时确认收入：合同各方已批准该合同并承诺将履行各自义务；合同明确了合同各方与所转让商品或提供劳务相关的权利和义务；合同有明确的与所转让商品相关的支付条款；合同具有商业实质，即履行该合同将改变本集团未来现金流量的风险、时间分布或金额；本集团因向客户转让商品而有权取得的对价很可能收回。其中，取得相关商品控制权，是指能够主导该商品的使用并从中获得几乎全部的经济利益。</w:t>
      </w:r>
    </w:p>
    <w:p>
      <w:pPr>
        <w:pStyle w:val="8"/>
        <w:spacing w:before="0" w:beforeAutospacing="0" w:after="0" w:afterAutospacing="0" w:line="276" w:lineRule="auto"/>
        <w:ind w:firstLine="360"/>
        <w:rPr>
          <w:rFonts w:ascii="Times New Roman" w:hAnsi="Times New Roman" w:eastAsia="等线" w:cs="Times New Roman"/>
          <w:sz w:val="21"/>
          <w:szCs w:val="21"/>
        </w:rPr>
      </w:pPr>
      <w:r>
        <w:rPr>
          <w:rFonts w:ascii="Times New Roman" w:hAnsi="Times New Roman" w:cs="Times New Roman"/>
          <w:sz w:val="18"/>
          <w:szCs w:val="18"/>
        </w:rPr>
        <w:t>在合同开始日，本集团识别合同中存在的各单项履约义务，并将交易价格按照各单项履约义务所承诺商品的单独售价的相对比例分摊至各单项履约义务。在确定交易价格时考虑了可变对价、合同中存在的重大融资成分、非现金对价、应付客户对价等因素的影响。</w:t>
      </w:r>
    </w:p>
    <w:p>
      <w:pPr>
        <w:pStyle w:val="8"/>
        <w:spacing w:before="0" w:beforeAutospacing="0" w:after="0" w:afterAutospacing="0" w:line="276" w:lineRule="auto"/>
        <w:ind w:firstLine="360"/>
        <w:rPr>
          <w:rFonts w:ascii="Times New Roman" w:hAnsi="Times New Roman" w:eastAsia="等线" w:cs="Times New Roman"/>
          <w:sz w:val="21"/>
          <w:szCs w:val="21"/>
        </w:rPr>
      </w:pPr>
      <w:r>
        <w:rPr>
          <w:rFonts w:ascii="Times New Roman" w:hAnsi="Times New Roman" w:cs="Times New Roman"/>
          <w:sz w:val="18"/>
          <w:szCs w:val="18"/>
        </w:rPr>
        <w:t>可变对价：</w:t>
      </w:r>
    </w:p>
    <w:p>
      <w:pPr>
        <w:pStyle w:val="8"/>
        <w:spacing w:before="0" w:beforeAutospacing="0" w:after="0" w:afterAutospacing="0" w:line="276" w:lineRule="auto"/>
        <w:ind w:firstLine="360"/>
        <w:rPr>
          <w:rFonts w:ascii="Times New Roman" w:hAnsi="Times New Roman" w:eastAsia="等线" w:cs="Times New Roman"/>
          <w:sz w:val="21"/>
          <w:szCs w:val="21"/>
        </w:rPr>
      </w:pPr>
      <w:r>
        <w:rPr>
          <w:rFonts w:ascii="Times New Roman" w:hAnsi="Times New Roman" w:cs="Times New Roman"/>
          <w:sz w:val="18"/>
          <w:szCs w:val="18"/>
        </w:rPr>
        <w:t>本集团部分与客户之间的合同存在销售返利的安排，形成可变对价。本集团按照期望值或最有可能发生金额确定可变对价的最佳估计数，但包含可变对价的交易价格不超过在相关不确定性消除时累计已确认收入极可能不会发生重大转回的金额。</w:t>
      </w:r>
    </w:p>
    <w:p>
      <w:pPr>
        <w:pStyle w:val="8"/>
        <w:spacing w:before="0" w:beforeAutospacing="0" w:after="0" w:afterAutospacing="0" w:line="276" w:lineRule="auto"/>
        <w:ind w:firstLine="360"/>
        <w:rPr>
          <w:rFonts w:ascii="Times New Roman" w:hAnsi="Times New Roman" w:eastAsia="等线" w:cs="Times New Roman"/>
          <w:sz w:val="21"/>
          <w:szCs w:val="21"/>
        </w:rPr>
      </w:pPr>
      <w:r>
        <w:rPr>
          <w:rFonts w:ascii="Times New Roman" w:hAnsi="Times New Roman" w:cs="Times New Roman"/>
          <w:sz w:val="18"/>
          <w:szCs w:val="18"/>
        </w:rPr>
        <w:t>应付客户对价：</w:t>
      </w:r>
    </w:p>
    <w:p>
      <w:pPr>
        <w:pStyle w:val="8"/>
        <w:spacing w:before="0" w:beforeAutospacing="0" w:after="0" w:afterAutospacing="0" w:line="276" w:lineRule="auto"/>
        <w:ind w:firstLine="360"/>
        <w:rPr>
          <w:rFonts w:ascii="Times New Roman" w:hAnsi="Times New Roman" w:eastAsia="等线" w:cs="Times New Roman"/>
          <w:sz w:val="21"/>
          <w:szCs w:val="21"/>
        </w:rPr>
      </w:pPr>
      <w:r>
        <w:rPr>
          <w:rFonts w:ascii="Times New Roman" w:hAnsi="Times New Roman" w:cs="Times New Roman"/>
          <w:sz w:val="18"/>
          <w:szCs w:val="18"/>
        </w:rPr>
        <w:t>对于应付客户对价，本集团将该应付客户对价冲减交易价格，并在确认相关收入与支付（或承诺支付）客户对价二者孰晚的时点冲减当期收入，除非该应付对价是为了向客户取得其他可明确区分商品或服务。</w:t>
      </w:r>
    </w:p>
    <w:p>
      <w:pPr>
        <w:pStyle w:val="8"/>
        <w:spacing w:before="0" w:beforeAutospacing="0" w:after="0" w:afterAutospacing="0" w:line="276" w:lineRule="auto"/>
        <w:ind w:firstLine="360"/>
        <w:rPr>
          <w:rFonts w:ascii="Times New Roman" w:hAnsi="Times New Roman" w:eastAsia="等线" w:cs="Times New Roman"/>
          <w:sz w:val="21"/>
          <w:szCs w:val="21"/>
        </w:rPr>
      </w:pPr>
      <w:r>
        <w:rPr>
          <w:rFonts w:ascii="Times New Roman" w:hAnsi="Times New Roman" w:cs="Times New Roman"/>
          <w:sz w:val="18"/>
          <w:szCs w:val="18"/>
        </w:rPr>
        <w:t>对于合同中的每个单项履约义务，如果满足下列条件之一的，本集团在相关履约时段内按照履约进度将分摊至该单项履约义务的交易价格确认为收入：客户在本集团履约的同时即取得并消耗本集团履约所带来的经济利益；客户能够控制本集团履约过程中在建的商品；本集团履约过程中所产出的商品具有不可替代用途，且本集团在整个合同期间内有权就累计至今已完成的履约部分收取款项。履约进度根据所转让商品的性质采用投入法或产出法确定，当履约进度不能合理确定时，本集团已经发生的成本预计能够得到补偿的，按照已经发生的成本金额确认收入，直到履约进度能够合理确定为止。</w:t>
      </w:r>
    </w:p>
    <w:p>
      <w:pPr>
        <w:pStyle w:val="8"/>
        <w:spacing w:before="0" w:beforeAutospacing="0" w:after="0" w:afterAutospacing="0" w:line="276" w:lineRule="auto"/>
        <w:ind w:firstLine="360"/>
        <w:rPr>
          <w:rFonts w:ascii="Times New Roman" w:hAnsi="Times New Roman" w:eastAsia="等线" w:cs="Times New Roman"/>
          <w:sz w:val="21"/>
          <w:szCs w:val="21"/>
        </w:rPr>
      </w:pPr>
      <w:r>
        <w:rPr>
          <w:rFonts w:ascii="Times New Roman" w:hAnsi="Times New Roman" w:cs="Times New Roman"/>
          <w:sz w:val="18"/>
          <w:szCs w:val="18"/>
        </w:rPr>
        <w:t>如果不满足上述条件之一，则本集团在客户取得相关商品控制权的时点按照分摊至该单项履约义务的交易价格确认收入。在判断客户是否已取得商品控制权时，本集团考虑下列迹象：企业就该商品享有现时收款权利，即客户就该商品负有现时付款义务；企业已将该商品的法定所有权转移给客户，即客户已拥有该商品的法定所有权；企业已将该商品实物转移给客户，即客户已实物占有该商品；企业已将该商品所有权上的主要风险和报酬转移给客户，即客户已取得该商品所有权上的主要风险和报酬；客户已接受该商品；其他表明客户已取得商品控制权的迹象。</w:t>
      </w:r>
    </w:p>
    <w:p>
      <w:pPr>
        <w:pStyle w:val="8"/>
        <w:spacing w:before="0" w:beforeAutospacing="0" w:after="0" w:afterAutospacing="0" w:line="276" w:lineRule="auto"/>
        <w:ind w:firstLine="360"/>
        <w:rPr>
          <w:rFonts w:ascii="Times New Roman" w:hAnsi="Times New Roman" w:eastAsia="等线" w:cs="Times New Roman"/>
          <w:sz w:val="21"/>
          <w:szCs w:val="21"/>
        </w:rPr>
      </w:pPr>
      <w:r>
        <w:rPr>
          <w:rFonts w:ascii="Times New Roman" w:hAnsi="Times New Roman" w:cs="Times New Roman"/>
          <w:sz w:val="18"/>
          <w:szCs w:val="18"/>
        </w:rPr>
        <w:t>本集团销售商品收入按客户类别可细分为自提货现销、加盟店、批发商、商超客户、食品加工企业等多种方式。销售收入的确认方式及结算方式因客户类别而不同，具体如下：</w:t>
      </w:r>
    </w:p>
    <w:p>
      <w:pPr>
        <w:pStyle w:val="8"/>
        <w:spacing w:before="0" w:beforeAutospacing="0" w:after="0" w:afterAutospacing="0" w:line="276" w:lineRule="auto"/>
        <w:ind w:firstLine="360"/>
        <w:rPr>
          <w:rFonts w:ascii="Times New Roman" w:hAnsi="Times New Roman" w:eastAsia="等线" w:cs="Times New Roman"/>
          <w:sz w:val="21"/>
          <w:szCs w:val="21"/>
        </w:rPr>
      </w:pPr>
      <w:r>
        <w:rPr>
          <w:rFonts w:ascii="Times New Roman" w:hAnsi="Times New Roman" w:cs="Times New Roman"/>
          <w:sz w:val="18"/>
          <w:szCs w:val="18"/>
        </w:rPr>
        <w:t>（</w:t>
      </w:r>
      <w:r>
        <w:rPr>
          <w:rFonts w:ascii="Times New Roman" w:hAnsi="Times New Roman" w:eastAsia="等线" w:cs="Times New Roman"/>
          <w:sz w:val="18"/>
          <w:szCs w:val="18"/>
        </w:rPr>
        <w:t>1</w:t>
      </w:r>
      <w:r>
        <w:rPr>
          <w:rFonts w:ascii="Times New Roman" w:hAnsi="Times New Roman" w:cs="Times New Roman"/>
          <w:sz w:val="18"/>
          <w:szCs w:val="18"/>
        </w:rPr>
        <w:t>）自提货现销</w:t>
      </w:r>
    </w:p>
    <w:p>
      <w:pPr>
        <w:pStyle w:val="8"/>
        <w:spacing w:before="0" w:beforeAutospacing="0" w:after="0" w:afterAutospacing="0" w:line="276" w:lineRule="auto"/>
        <w:ind w:firstLine="360"/>
        <w:rPr>
          <w:rFonts w:ascii="Times New Roman" w:hAnsi="Times New Roman" w:eastAsia="等线" w:cs="Times New Roman"/>
          <w:sz w:val="21"/>
          <w:szCs w:val="21"/>
        </w:rPr>
      </w:pPr>
      <w:r>
        <w:rPr>
          <w:rFonts w:ascii="Times New Roman" w:hAnsi="Times New Roman" w:cs="Times New Roman"/>
          <w:sz w:val="18"/>
          <w:szCs w:val="18"/>
        </w:rPr>
        <w:t>自提货现销模式下，客户自行取货，现款提货。公司于收款发货后商品的控制权转移，确认销售收入，结算方式为现款现货结算或预收款结算。</w:t>
      </w:r>
    </w:p>
    <w:p>
      <w:pPr>
        <w:pStyle w:val="8"/>
        <w:spacing w:before="0" w:beforeAutospacing="0" w:after="0" w:afterAutospacing="0" w:line="276" w:lineRule="auto"/>
        <w:ind w:firstLine="360"/>
        <w:rPr>
          <w:rFonts w:ascii="Times New Roman" w:hAnsi="Times New Roman" w:eastAsia="等线" w:cs="Times New Roman"/>
          <w:sz w:val="21"/>
          <w:szCs w:val="21"/>
        </w:rPr>
      </w:pPr>
      <w:r>
        <w:rPr>
          <w:rFonts w:ascii="Times New Roman" w:hAnsi="Times New Roman" w:cs="Times New Roman"/>
          <w:sz w:val="18"/>
          <w:szCs w:val="18"/>
        </w:rPr>
        <w:t>（</w:t>
      </w:r>
      <w:r>
        <w:rPr>
          <w:rFonts w:ascii="Times New Roman" w:hAnsi="Times New Roman" w:eastAsia="等线" w:cs="Times New Roman"/>
          <w:sz w:val="18"/>
          <w:szCs w:val="18"/>
        </w:rPr>
        <w:t>2</w:t>
      </w:r>
      <w:r>
        <w:rPr>
          <w:rFonts w:ascii="Times New Roman" w:hAnsi="Times New Roman" w:cs="Times New Roman"/>
          <w:sz w:val="18"/>
          <w:szCs w:val="18"/>
        </w:rPr>
        <w:t>）加盟店销售</w:t>
      </w:r>
    </w:p>
    <w:p>
      <w:pPr>
        <w:pStyle w:val="8"/>
        <w:spacing w:before="0" w:beforeAutospacing="0" w:after="0" w:afterAutospacing="0" w:line="276" w:lineRule="auto"/>
        <w:ind w:firstLine="360"/>
        <w:rPr>
          <w:rFonts w:ascii="Times New Roman" w:hAnsi="Times New Roman" w:eastAsia="等线" w:cs="Times New Roman"/>
          <w:sz w:val="21"/>
          <w:szCs w:val="21"/>
        </w:rPr>
      </w:pPr>
      <w:r>
        <w:rPr>
          <w:rFonts w:ascii="Times New Roman" w:hAnsi="Times New Roman" w:cs="Times New Roman"/>
          <w:sz w:val="18"/>
          <w:szCs w:val="18"/>
        </w:rPr>
        <w:t>加盟店销售模式下，公司根据区域加盟经销商的订单备货，至少提前一天全额预收货款，货物到达并经区域加盟经销商验收后，商品的控制权已发生转移，公司根据当日出库金额全额确认销售收入。</w:t>
      </w:r>
    </w:p>
    <w:p>
      <w:pPr>
        <w:pStyle w:val="8"/>
        <w:spacing w:before="0" w:beforeAutospacing="0" w:after="0" w:afterAutospacing="0" w:line="276" w:lineRule="auto"/>
        <w:ind w:firstLine="360"/>
        <w:rPr>
          <w:rFonts w:ascii="Times New Roman" w:hAnsi="Times New Roman" w:eastAsia="等线" w:cs="Times New Roman"/>
          <w:sz w:val="21"/>
          <w:szCs w:val="21"/>
        </w:rPr>
      </w:pPr>
      <w:r>
        <w:rPr>
          <w:rFonts w:ascii="Times New Roman" w:hAnsi="Times New Roman" w:cs="Times New Roman"/>
          <w:sz w:val="18"/>
          <w:szCs w:val="18"/>
        </w:rPr>
        <w:t>（</w:t>
      </w:r>
      <w:r>
        <w:rPr>
          <w:rFonts w:ascii="Times New Roman" w:hAnsi="Times New Roman" w:eastAsia="等线" w:cs="Times New Roman"/>
          <w:sz w:val="18"/>
          <w:szCs w:val="18"/>
        </w:rPr>
        <w:t>3</w:t>
      </w:r>
      <w:r>
        <w:rPr>
          <w:rFonts w:ascii="Times New Roman" w:hAnsi="Times New Roman" w:cs="Times New Roman"/>
          <w:sz w:val="18"/>
          <w:szCs w:val="18"/>
        </w:rPr>
        <w:t>）批发商销售</w:t>
      </w:r>
    </w:p>
    <w:p>
      <w:pPr>
        <w:pStyle w:val="8"/>
        <w:spacing w:before="0" w:beforeAutospacing="0" w:after="0" w:afterAutospacing="0" w:line="276" w:lineRule="auto"/>
        <w:ind w:firstLine="360"/>
        <w:rPr>
          <w:rFonts w:ascii="Times New Roman" w:hAnsi="Times New Roman" w:eastAsia="等线" w:cs="Times New Roman"/>
          <w:sz w:val="21"/>
          <w:szCs w:val="21"/>
        </w:rPr>
      </w:pPr>
      <w:r>
        <w:rPr>
          <w:rFonts w:ascii="Times New Roman" w:hAnsi="Times New Roman" w:cs="Times New Roman"/>
          <w:sz w:val="18"/>
          <w:szCs w:val="18"/>
        </w:rPr>
        <w:t>批发商销售模式下，公司与批发商签订合同，公司销售部收集并汇总各批发商的订单，然后向车间下达备货指令进行备货，批发商一般在发货前一天全额预付货款。由公司冷藏车送到批发商指定地点，批发商收货并签字确认后，商品的控制权已发生转移，公司确认销售收入。</w:t>
      </w:r>
    </w:p>
    <w:p>
      <w:pPr>
        <w:pStyle w:val="8"/>
        <w:spacing w:before="0" w:beforeAutospacing="0" w:after="0" w:afterAutospacing="0" w:line="276" w:lineRule="auto"/>
        <w:ind w:firstLine="360"/>
        <w:rPr>
          <w:rFonts w:ascii="Times New Roman" w:hAnsi="Times New Roman" w:eastAsia="等线" w:cs="Times New Roman"/>
          <w:sz w:val="21"/>
          <w:szCs w:val="21"/>
        </w:rPr>
      </w:pPr>
      <w:r>
        <w:rPr>
          <w:rFonts w:ascii="Times New Roman" w:hAnsi="Times New Roman" w:cs="Times New Roman"/>
          <w:sz w:val="18"/>
          <w:szCs w:val="18"/>
        </w:rPr>
        <w:t>该销售模式的结算方式一般为全额预收款结算。在销售旺季或当个别销售量大的批发商遇到流动资金困难时，公司允许批发商本人按时间段提交个人赊销申请，根据审批权限经公司领导批准在规定时间和规定金额内予以赊销。</w:t>
      </w:r>
    </w:p>
    <w:p>
      <w:pPr>
        <w:pStyle w:val="8"/>
        <w:spacing w:before="0" w:beforeAutospacing="0" w:after="0" w:afterAutospacing="0" w:line="276" w:lineRule="auto"/>
        <w:ind w:firstLine="360"/>
        <w:rPr>
          <w:rFonts w:ascii="Times New Roman" w:hAnsi="Times New Roman" w:eastAsia="等线" w:cs="Times New Roman"/>
          <w:sz w:val="21"/>
          <w:szCs w:val="21"/>
        </w:rPr>
      </w:pPr>
      <w:r>
        <w:rPr>
          <w:rFonts w:ascii="Times New Roman" w:hAnsi="Times New Roman" w:cs="Times New Roman"/>
          <w:sz w:val="18"/>
          <w:szCs w:val="18"/>
        </w:rPr>
        <w:t>（</w:t>
      </w:r>
      <w:r>
        <w:rPr>
          <w:rFonts w:ascii="Times New Roman" w:hAnsi="Times New Roman" w:eastAsia="等线" w:cs="Times New Roman"/>
          <w:sz w:val="18"/>
          <w:szCs w:val="18"/>
        </w:rPr>
        <w:t>4</w:t>
      </w:r>
      <w:r>
        <w:rPr>
          <w:rFonts w:ascii="Times New Roman" w:hAnsi="Times New Roman" w:cs="Times New Roman"/>
          <w:sz w:val="18"/>
          <w:szCs w:val="18"/>
        </w:rPr>
        <w:t>）商场超市销售</w:t>
      </w:r>
    </w:p>
    <w:p>
      <w:pPr>
        <w:pStyle w:val="8"/>
        <w:spacing w:before="0" w:beforeAutospacing="0" w:after="0" w:afterAutospacing="0" w:line="276" w:lineRule="auto"/>
        <w:ind w:firstLine="360"/>
        <w:rPr>
          <w:rFonts w:ascii="Times New Roman" w:hAnsi="Times New Roman" w:eastAsia="等线" w:cs="Times New Roman"/>
          <w:sz w:val="21"/>
          <w:szCs w:val="21"/>
        </w:rPr>
      </w:pPr>
      <w:r>
        <w:rPr>
          <w:rFonts w:ascii="Times New Roman" w:hAnsi="Times New Roman" w:cs="Times New Roman"/>
          <w:sz w:val="18"/>
          <w:szCs w:val="18"/>
        </w:rPr>
        <w:t>商场超市模式下，公司直接与商超签订销售合同。公司根据订单向商超发货，在对方收货并签字确认后，商品的控制权已发生转移，公司确认销售收入，按合同账期定期与商超结算，账期一般为</w:t>
      </w:r>
      <w:r>
        <w:rPr>
          <w:rFonts w:ascii="Times New Roman" w:hAnsi="Times New Roman" w:eastAsia="等线" w:cs="Times New Roman"/>
          <w:sz w:val="18"/>
          <w:szCs w:val="18"/>
        </w:rPr>
        <w:t>1-3</w:t>
      </w:r>
      <w:r>
        <w:rPr>
          <w:rFonts w:ascii="Times New Roman" w:hAnsi="Times New Roman" w:cs="Times New Roman"/>
          <w:sz w:val="18"/>
          <w:szCs w:val="18"/>
        </w:rPr>
        <w:t>个月。该销售模式的结算方式为按合同账期定期结算。</w:t>
      </w:r>
    </w:p>
    <w:p>
      <w:pPr>
        <w:pStyle w:val="8"/>
        <w:spacing w:before="0" w:beforeAutospacing="0" w:after="0" w:afterAutospacing="0" w:line="276" w:lineRule="auto"/>
        <w:ind w:firstLine="360"/>
        <w:rPr>
          <w:rFonts w:ascii="Times New Roman" w:hAnsi="Times New Roman" w:eastAsia="等线" w:cs="Times New Roman"/>
          <w:sz w:val="21"/>
          <w:szCs w:val="21"/>
        </w:rPr>
      </w:pPr>
      <w:r>
        <w:rPr>
          <w:rFonts w:ascii="Times New Roman" w:hAnsi="Times New Roman" w:cs="Times New Roman"/>
          <w:sz w:val="18"/>
          <w:szCs w:val="18"/>
        </w:rPr>
        <w:t>（</w:t>
      </w:r>
      <w:r>
        <w:rPr>
          <w:rFonts w:ascii="Times New Roman" w:hAnsi="Times New Roman" w:eastAsia="等线" w:cs="Times New Roman"/>
          <w:sz w:val="18"/>
          <w:szCs w:val="18"/>
        </w:rPr>
        <w:t>5</w:t>
      </w:r>
      <w:r>
        <w:rPr>
          <w:rFonts w:ascii="Times New Roman" w:hAnsi="Times New Roman" w:cs="Times New Roman"/>
          <w:sz w:val="18"/>
          <w:szCs w:val="18"/>
        </w:rPr>
        <w:t>）食品加工企业</w:t>
      </w:r>
    </w:p>
    <w:p>
      <w:pPr>
        <w:pStyle w:val="8"/>
        <w:spacing w:before="0" w:beforeAutospacing="0" w:after="0" w:afterAutospacing="0" w:line="276" w:lineRule="auto"/>
        <w:ind w:firstLine="360"/>
        <w:rPr>
          <w:rFonts w:ascii="Times New Roman" w:hAnsi="Times New Roman" w:eastAsia="等线" w:cs="Times New Roman"/>
          <w:sz w:val="21"/>
          <w:szCs w:val="21"/>
        </w:rPr>
      </w:pPr>
      <w:r>
        <w:rPr>
          <w:rFonts w:ascii="Times New Roman" w:hAnsi="Times New Roman" w:cs="Times New Roman"/>
          <w:sz w:val="18"/>
          <w:szCs w:val="18"/>
        </w:rPr>
        <w:t>对信誉较好的食品加工企业，根据客户订单发货，在发货并取得对方的收货确认后，商品的控制权已发生转移，确认销售收入，按合同账期收款，结算期一般为</w:t>
      </w:r>
      <w:r>
        <w:rPr>
          <w:rFonts w:ascii="Times New Roman" w:hAnsi="Times New Roman" w:eastAsia="等线" w:cs="Times New Roman"/>
          <w:sz w:val="18"/>
          <w:szCs w:val="18"/>
        </w:rPr>
        <w:t>1-3</w:t>
      </w:r>
      <w:r>
        <w:rPr>
          <w:rFonts w:ascii="Times New Roman" w:hAnsi="Times New Roman" w:cs="Times New Roman"/>
          <w:sz w:val="18"/>
          <w:szCs w:val="18"/>
        </w:rPr>
        <w:t>个月，结算方式为按合同约定账期结算。对信誉一般的食品加工企业结算方式为现款现货或预收货款结算。</w:t>
      </w: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同类业务采用不同经营模式导致收入确认会计政策存在差异的情况</w:t>
      </w:r>
    </w:p>
    <w:p>
      <w:pPr>
        <w:pStyle w:val="8"/>
        <w:spacing w:before="0" w:beforeAutospacing="0" w:after="0" w:afterAutospacing="0" w:line="276" w:lineRule="auto"/>
        <w:ind w:firstLine="360"/>
        <w:rPr>
          <w:rFonts w:ascii="Times New Roman" w:hAnsi="Times New Roman" w:eastAsia="等线" w:cs="Times New Roman"/>
          <w:sz w:val="21"/>
          <w:szCs w:val="21"/>
        </w:rPr>
      </w:pPr>
      <w:r>
        <w:rPr>
          <w:rFonts w:ascii="Times New Roman" w:hAnsi="Times New Roman" w:cs="Times New Roman"/>
          <w:sz w:val="18"/>
          <w:szCs w:val="18"/>
        </w:rPr>
        <w:t>无</w:t>
      </w:r>
    </w:p>
    <w:p>
      <w:pPr>
        <w:pStyle w:val="3"/>
        <w:spacing w:line="280" w:lineRule="exact"/>
        <w:jc w:val="left"/>
        <w:rPr>
          <w:rFonts w:ascii="Times New Roman" w:hAnsi="Times New Roman" w:cs="Times New Roman"/>
          <w:b/>
          <w:bCs/>
        </w:rPr>
      </w:pPr>
      <w:bookmarkStart w:id="167" w:name="_Toc989056"/>
      <w:r>
        <w:rPr>
          <w:rFonts w:ascii="Times New Roman" w:hAnsi="Times New Roman" w:cs="Times New Roman"/>
          <w:b/>
          <w:bCs/>
        </w:rPr>
        <w:t>40、政府补助</w:t>
      </w:r>
      <w:bookmarkEnd w:id="167"/>
    </w:p>
    <w:p>
      <w:pPr>
        <w:pStyle w:val="8"/>
        <w:spacing w:before="0" w:beforeAutospacing="0" w:after="0" w:afterAutospacing="0" w:line="276" w:lineRule="auto"/>
        <w:ind w:firstLine="420"/>
        <w:rPr>
          <w:rFonts w:ascii="Times New Roman" w:hAnsi="Times New Roman" w:cs="Times New Roman"/>
        </w:rPr>
      </w:pPr>
      <w:r>
        <w:rPr>
          <w:rFonts w:ascii="Times New Roman" w:hAnsi="Times New Roman" w:cs="Times New Roman"/>
          <w:sz w:val="18"/>
          <w:szCs w:val="18"/>
        </w:rPr>
        <w:t>政府补助是指本集团从政府无偿取得货币性资产和非货币性资产，不包括政府以投资者身份并享有相应所有者权益而投入的资本。政府补助分为与资产相关的政府补助和与收益相关的政府补助。本集团将所取得的用于购建或以其他方式形成长期资产的政府补助界定为与资产相关的政府补助；其余政府补助界定为与收益相关的政府补助。若政府文件未明确规定补助对象，则采用以下方式将补助款划分为与收益相关的政府补助和与资产相关的政府补助：（1）政府文件明确了补助所针对的特定项目的，根据该特定项目的预算中将形成资产的支出金额和计入费用的支出金额的相对比例进行划分，对该划分比例需在每个资产负债表日进行复核，必要时进行变更；（2）政府文件中对用途仅作一般性表述，没有指明特定项目的，作为与收益相关的政府补助。政府补助为货币性资产的，按照收到或应收的金额计量。政府补助为非货币性资产的，按照公允价值计量；公允价值不能够可靠取得的，按照名义金额计量。按照名义金额计量的政府补助，直接计入当期损益。</w:t>
      </w:r>
    </w:p>
    <w:p>
      <w:pPr>
        <w:pStyle w:val="8"/>
        <w:spacing w:before="0" w:beforeAutospacing="0" w:after="0" w:afterAutospacing="0" w:line="276" w:lineRule="auto"/>
        <w:ind w:firstLine="420"/>
        <w:rPr>
          <w:rFonts w:ascii="Times New Roman" w:hAnsi="Times New Roman" w:cs="Times New Roman"/>
        </w:rPr>
      </w:pPr>
      <w:r>
        <w:rPr>
          <w:rFonts w:ascii="Times New Roman" w:hAnsi="Times New Roman" w:cs="Times New Roman"/>
          <w:sz w:val="18"/>
          <w:szCs w:val="18"/>
        </w:rPr>
        <w:t>本集团对于政府补助通常在实际收到时，按照实收金额予以确认和计量。但对于期末有确凿证据表明能够符合财政扶持政策规定的相关条件预计能够收到财政扶持资金，按照应收的金额计量。按照应收金额计量的政府补助应同时符合以下条件：（1）应收补助款的金额已经过有权政府部门发文确认，或者可根据正式发布的财政资金管理办法的有关规定自行合理测算，且预计其金额不存在重大不确定性；（2）所依据的是当地财政部门正式发布并按照《政府信息公开条例》的规定予以主动公开的财政扶持项目及其财政资金管理办法，且该管理办法应当是普惠性的（任何符合规定条件的企业均可申请），而不是专门针对特定企业制定的；（3）相关的补助款批文中已明确承诺了拨付期限，且该款项的拨付是有相应财政预算作为保障的，因而可以合理保证其可在规定期限内收到；（4）根据本集团和该补助事项的具体情况，应满足的其他相关条件（如有）。</w:t>
      </w:r>
    </w:p>
    <w:p>
      <w:pPr>
        <w:pStyle w:val="8"/>
        <w:spacing w:before="0" w:beforeAutospacing="0" w:after="0" w:afterAutospacing="0" w:line="276" w:lineRule="auto"/>
        <w:ind w:firstLine="420"/>
        <w:rPr>
          <w:rFonts w:ascii="Times New Roman" w:hAnsi="Times New Roman" w:cs="Times New Roman"/>
        </w:rPr>
      </w:pPr>
      <w:r>
        <w:rPr>
          <w:rFonts w:ascii="Times New Roman" w:hAnsi="Times New Roman" w:cs="Times New Roman"/>
          <w:sz w:val="18"/>
          <w:szCs w:val="18"/>
        </w:rPr>
        <w:t>与资产相关的政府补助，确认为递延收益，并在相关资产的使用寿命内按照合理、系统的方法分期计入当期损益。与收益相关的政府补助，用于补偿以后期间的相关成本费用或损失的，确认为递延收益，并在确认相关成本费用或损失的期间计入当期损益；用于补偿已经发生的相关成本费用或损失的，直接计入当期损益。</w:t>
      </w:r>
    </w:p>
    <w:p>
      <w:pPr>
        <w:pStyle w:val="8"/>
        <w:spacing w:before="0" w:beforeAutospacing="0" w:after="0" w:afterAutospacing="0" w:line="276" w:lineRule="auto"/>
        <w:ind w:firstLine="420"/>
        <w:rPr>
          <w:rFonts w:ascii="Times New Roman" w:hAnsi="Times New Roman" w:cs="Times New Roman"/>
        </w:rPr>
      </w:pPr>
      <w:r>
        <w:rPr>
          <w:rFonts w:ascii="Times New Roman" w:hAnsi="Times New Roman" w:cs="Times New Roman"/>
          <w:sz w:val="18"/>
          <w:szCs w:val="18"/>
        </w:rPr>
        <w:t>同时包含与资产相关部分和与收益相关部分的政府补助，区分不同部分分别进行会计处理；难以区分的，将其整体归类为与收益相关的政府补助。</w:t>
      </w:r>
    </w:p>
    <w:p>
      <w:pPr>
        <w:pStyle w:val="8"/>
        <w:spacing w:before="0" w:beforeAutospacing="0" w:after="0" w:afterAutospacing="0" w:line="276" w:lineRule="auto"/>
        <w:ind w:firstLine="420"/>
        <w:rPr>
          <w:rFonts w:ascii="Times New Roman" w:hAnsi="Times New Roman" w:cs="Times New Roman"/>
        </w:rPr>
      </w:pPr>
      <w:r>
        <w:rPr>
          <w:rFonts w:ascii="Times New Roman" w:hAnsi="Times New Roman" w:cs="Times New Roman"/>
          <w:sz w:val="18"/>
          <w:szCs w:val="18"/>
        </w:rPr>
        <w:t>与本集团日常活动相关的政府补助，按照经济业务的实质，计入其他收益或冲减相关成本费用；与日常活动无关的政府补助，计入营业外收支。</w:t>
      </w:r>
    </w:p>
    <w:p>
      <w:pPr>
        <w:pStyle w:val="8"/>
        <w:spacing w:before="0" w:beforeAutospacing="0" w:after="0" w:afterAutospacing="0" w:line="276" w:lineRule="auto"/>
        <w:ind w:firstLine="420"/>
        <w:rPr>
          <w:rFonts w:ascii="Times New Roman" w:hAnsi="Times New Roman" w:cs="Times New Roman"/>
        </w:rPr>
      </w:pPr>
      <w:r>
        <w:rPr>
          <w:rFonts w:ascii="Times New Roman" w:hAnsi="Times New Roman" w:cs="Times New Roman"/>
          <w:sz w:val="18"/>
          <w:szCs w:val="18"/>
        </w:rPr>
        <w:t>已确认的政府补助需要退回时，存在相关递延收益余额的，冲减相关递延收益账面余额，超出部分计入当期损益；属于其他情况的，直接计入当期损益。</w:t>
      </w:r>
    </w:p>
    <w:p>
      <w:pPr>
        <w:pStyle w:val="3"/>
        <w:spacing w:line="280" w:lineRule="exact"/>
        <w:jc w:val="left"/>
        <w:rPr>
          <w:rFonts w:ascii="Times New Roman" w:hAnsi="Times New Roman" w:cs="Times New Roman"/>
          <w:b/>
          <w:bCs/>
        </w:rPr>
      </w:pPr>
      <w:bookmarkStart w:id="168" w:name="_Toc989057"/>
      <w:r>
        <w:rPr>
          <w:rFonts w:ascii="Times New Roman" w:hAnsi="Times New Roman" w:cs="Times New Roman"/>
          <w:b/>
          <w:bCs/>
        </w:rPr>
        <w:t>41、递延所得税资产/递延所得税负债</w:t>
      </w:r>
      <w:bookmarkEnd w:id="168"/>
    </w:p>
    <w:p>
      <w:pPr>
        <w:pStyle w:val="8"/>
        <w:spacing w:before="0" w:beforeAutospacing="0" w:after="0" w:afterAutospacing="0" w:line="276" w:lineRule="auto"/>
        <w:ind w:firstLine="360"/>
        <w:rPr>
          <w:rFonts w:ascii="Times New Roman" w:hAnsi="Times New Roman" w:eastAsia="等线" w:cs="Times New Roman"/>
          <w:sz w:val="21"/>
          <w:szCs w:val="21"/>
        </w:rPr>
      </w:pPr>
      <w:r>
        <w:rPr>
          <w:rFonts w:ascii="Times New Roman" w:hAnsi="Times New Roman" w:cs="Times New Roman"/>
          <w:sz w:val="18"/>
          <w:szCs w:val="18"/>
        </w:rPr>
        <w:t>（</w:t>
      </w:r>
      <w:r>
        <w:rPr>
          <w:rFonts w:ascii="Times New Roman" w:hAnsi="Times New Roman" w:eastAsia="等线" w:cs="Times New Roman"/>
          <w:sz w:val="18"/>
          <w:szCs w:val="18"/>
        </w:rPr>
        <w:t>1</w:t>
      </w:r>
      <w:r>
        <w:rPr>
          <w:rFonts w:ascii="Times New Roman" w:hAnsi="Times New Roman" w:cs="Times New Roman"/>
          <w:sz w:val="18"/>
          <w:szCs w:val="18"/>
        </w:rPr>
        <w:t>）当期所得税</w:t>
      </w:r>
    </w:p>
    <w:p>
      <w:pPr>
        <w:pStyle w:val="8"/>
        <w:spacing w:before="0" w:beforeAutospacing="0" w:after="0" w:afterAutospacing="0" w:line="276" w:lineRule="auto"/>
        <w:ind w:firstLine="360"/>
        <w:rPr>
          <w:rFonts w:ascii="Times New Roman" w:hAnsi="Times New Roman" w:eastAsia="等线" w:cs="Times New Roman"/>
          <w:sz w:val="21"/>
          <w:szCs w:val="21"/>
        </w:rPr>
      </w:pPr>
      <w:r>
        <w:rPr>
          <w:rFonts w:ascii="Times New Roman" w:hAnsi="Times New Roman" w:cs="Times New Roman"/>
          <w:sz w:val="18"/>
          <w:szCs w:val="18"/>
        </w:rPr>
        <w:t>资产负债表日，对于当期和以前期间形成的当期所得税负债（或资产），以按照税法规定计算的预期应交纳（或返还）的所得税金额计量。计算当期所得税费用所依据的应纳税所得额系根据有关税法规定对本报告期税前会计利润作相应调整后计算得出。</w:t>
      </w:r>
    </w:p>
    <w:p>
      <w:pPr>
        <w:pStyle w:val="8"/>
        <w:spacing w:before="0" w:beforeAutospacing="0" w:after="0" w:afterAutospacing="0" w:line="276" w:lineRule="auto"/>
        <w:ind w:firstLine="360"/>
        <w:rPr>
          <w:rFonts w:ascii="Times New Roman" w:hAnsi="Times New Roman" w:eastAsia="等线" w:cs="Times New Roman"/>
          <w:sz w:val="21"/>
          <w:szCs w:val="21"/>
        </w:rPr>
      </w:pPr>
      <w:r>
        <w:rPr>
          <w:rFonts w:ascii="Times New Roman" w:hAnsi="Times New Roman" w:cs="Times New Roman"/>
          <w:sz w:val="18"/>
          <w:szCs w:val="18"/>
        </w:rPr>
        <w:t>（</w:t>
      </w:r>
      <w:r>
        <w:rPr>
          <w:rFonts w:ascii="Times New Roman" w:hAnsi="Times New Roman" w:eastAsia="等线" w:cs="Times New Roman"/>
          <w:sz w:val="18"/>
          <w:szCs w:val="18"/>
        </w:rPr>
        <w:t>2</w:t>
      </w:r>
      <w:r>
        <w:rPr>
          <w:rFonts w:ascii="Times New Roman" w:hAnsi="Times New Roman" w:cs="Times New Roman"/>
          <w:sz w:val="18"/>
          <w:szCs w:val="18"/>
        </w:rPr>
        <w:t>）递延所得税资产及递延所得税负债</w:t>
      </w:r>
    </w:p>
    <w:p>
      <w:pPr>
        <w:pStyle w:val="8"/>
        <w:spacing w:before="0" w:beforeAutospacing="0" w:after="0" w:afterAutospacing="0" w:line="276" w:lineRule="auto"/>
        <w:ind w:firstLine="360"/>
        <w:rPr>
          <w:rFonts w:ascii="Times New Roman" w:hAnsi="Times New Roman" w:eastAsia="等线" w:cs="Times New Roman"/>
          <w:sz w:val="21"/>
          <w:szCs w:val="21"/>
        </w:rPr>
      </w:pPr>
      <w:r>
        <w:rPr>
          <w:rFonts w:ascii="Times New Roman" w:hAnsi="Times New Roman" w:cs="Times New Roman"/>
          <w:sz w:val="18"/>
          <w:szCs w:val="18"/>
        </w:rPr>
        <w:t>某些资产、负债项目的账面价值与其计税基础之间的差额，以及未作为资产和负债确认但按照税法规定可以确定其计税基础的项目的账面价值与计税基础之间的差额产生的暂时性差异，采用资产负债表债务法确认递延所得税资产及递延所得税负债。</w:t>
      </w:r>
    </w:p>
    <w:p>
      <w:pPr>
        <w:pStyle w:val="8"/>
        <w:spacing w:before="0" w:beforeAutospacing="0" w:after="0" w:afterAutospacing="0" w:line="276" w:lineRule="auto"/>
        <w:ind w:firstLine="360"/>
        <w:rPr>
          <w:rFonts w:ascii="Times New Roman" w:hAnsi="Times New Roman" w:eastAsia="等线" w:cs="Times New Roman"/>
          <w:sz w:val="21"/>
          <w:szCs w:val="21"/>
        </w:rPr>
      </w:pPr>
      <w:r>
        <w:rPr>
          <w:rFonts w:ascii="Times New Roman" w:hAnsi="Times New Roman" w:cs="Times New Roman"/>
          <w:sz w:val="18"/>
          <w:szCs w:val="18"/>
        </w:rPr>
        <w:t>与商誉的初始确认有关，以及与既不是企业合并、发生时也不影响会计利润和应纳税所得额（或可抵扣亏损）的交易中产生的资产或负债的初始确认有关的应纳税暂时性差异，不予确认有关的递延所得税负债。此外，对与子公司、联营企业及合营企业投资相关的应纳税暂时性差异，如果本集团能够控制暂时性差异转回的时间，而且该暂时性差异在可预见的未来很可能不会转回，也不予确认有关的递延所得税负债。除上述例外情况，本集团确认其他所有应纳税暂时性差异产生的递延所得税负债。</w:t>
      </w:r>
    </w:p>
    <w:p>
      <w:pPr>
        <w:pStyle w:val="8"/>
        <w:spacing w:before="0" w:beforeAutospacing="0" w:after="0" w:afterAutospacing="0" w:line="276" w:lineRule="auto"/>
        <w:ind w:firstLine="360"/>
        <w:rPr>
          <w:rFonts w:ascii="Times New Roman" w:hAnsi="Times New Roman" w:eastAsia="等线" w:cs="Times New Roman"/>
          <w:sz w:val="21"/>
          <w:szCs w:val="21"/>
        </w:rPr>
      </w:pPr>
      <w:r>
        <w:rPr>
          <w:rFonts w:ascii="Times New Roman" w:hAnsi="Times New Roman" w:cs="Times New Roman"/>
          <w:sz w:val="18"/>
          <w:szCs w:val="18"/>
        </w:rPr>
        <w:t>与既不是企业合并、发生时也不影响会计利润和应纳税所得额（或可抵扣亏损）的交易中产生的资产或负债的初始确认有关的可抵扣暂时性差异，不予确认有关的递延所得税资产。此外，对与子公司、联营企业及合营企业投资相关的可抵扣暂时性差异，如果暂时性差异在可预见的未来不是很可能转回，或者未来不是很可能获得用来抵扣可抵扣暂时性差异的应纳税所得额，不予确认有关的递延所得税资产。除上述例外情况，本集团以很可能取得用来抵扣可抵扣暂时性差异的应纳税所得额为限，确认其他可抵扣暂时性差异产生的递延所得税资产。</w:t>
      </w:r>
    </w:p>
    <w:p>
      <w:pPr>
        <w:pStyle w:val="8"/>
        <w:spacing w:before="0" w:beforeAutospacing="0" w:after="0" w:afterAutospacing="0" w:line="276" w:lineRule="auto"/>
        <w:ind w:firstLine="360"/>
        <w:rPr>
          <w:rFonts w:ascii="Times New Roman" w:hAnsi="Times New Roman" w:eastAsia="等线" w:cs="Times New Roman"/>
          <w:sz w:val="21"/>
          <w:szCs w:val="21"/>
        </w:rPr>
      </w:pPr>
      <w:r>
        <w:rPr>
          <w:rFonts w:ascii="Times New Roman" w:hAnsi="Times New Roman" w:cs="Times New Roman"/>
          <w:sz w:val="18"/>
          <w:szCs w:val="18"/>
        </w:rPr>
        <w:t>对于能够结转以后年度的可抵扣亏损和税款抵减，以很可能获得用来抵扣可抵扣亏损和税款抵减的未来应纳税所得额为限，确认相应的递延所得税资产。</w:t>
      </w:r>
    </w:p>
    <w:p>
      <w:pPr>
        <w:pStyle w:val="8"/>
        <w:spacing w:before="0" w:beforeAutospacing="0" w:after="0" w:afterAutospacing="0" w:line="276" w:lineRule="auto"/>
        <w:ind w:firstLine="360"/>
        <w:rPr>
          <w:rFonts w:ascii="Times New Roman" w:hAnsi="Times New Roman" w:eastAsia="等线" w:cs="Times New Roman"/>
          <w:sz w:val="21"/>
          <w:szCs w:val="21"/>
        </w:rPr>
      </w:pPr>
      <w:r>
        <w:rPr>
          <w:rFonts w:ascii="Times New Roman" w:hAnsi="Times New Roman" w:cs="Times New Roman"/>
          <w:sz w:val="18"/>
          <w:szCs w:val="18"/>
        </w:rPr>
        <w:t>资产负债表日，对于递延所得税资产和递延所得税负债，根据税法规定，按照预期收回相关资产或清偿相关负债期间的适用税率计量。</w:t>
      </w:r>
    </w:p>
    <w:p>
      <w:pPr>
        <w:pStyle w:val="8"/>
        <w:spacing w:before="0" w:beforeAutospacing="0" w:after="0" w:afterAutospacing="0" w:line="276" w:lineRule="auto"/>
        <w:ind w:firstLine="360"/>
        <w:rPr>
          <w:rFonts w:ascii="Times New Roman" w:hAnsi="Times New Roman" w:eastAsia="等线" w:cs="Times New Roman"/>
          <w:sz w:val="21"/>
          <w:szCs w:val="21"/>
        </w:rPr>
      </w:pPr>
      <w:r>
        <w:rPr>
          <w:rFonts w:ascii="Times New Roman" w:hAnsi="Times New Roman" w:cs="Times New Roman"/>
          <w:sz w:val="18"/>
          <w:szCs w:val="18"/>
        </w:rPr>
        <w:t>于资产负债表日，对递延所得税资产的账面价值进行复核，如果未来很可能无法获得足够的应纳税所得额用以抵扣递延所得税资产的利益，则减记递延所得税资产的账面价值。在很可能获得足够的应纳税所得额时，减记的金额予以转回。</w:t>
      </w:r>
    </w:p>
    <w:p>
      <w:pPr>
        <w:pStyle w:val="8"/>
        <w:spacing w:before="0" w:beforeAutospacing="0" w:after="0" w:afterAutospacing="0" w:line="276" w:lineRule="auto"/>
        <w:ind w:firstLine="360"/>
        <w:rPr>
          <w:rFonts w:ascii="Times New Roman" w:hAnsi="Times New Roman" w:eastAsia="等线" w:cs="Times New Roman"/>
          <w:sz w:val="21"/>
          <w:szCs w:val="21"/>
        </w:rPr>
      </w:pPr>
      <w:r>
        <w:rPr>
          <w:rFonts w:ascii="Times New Roman" w:hAnsi="Times New Roman" w:cs="Times New Roman"/>
          <w:sz w:val="18"/>
          <w:szCs w:val="18"/>
        </w:rPr>
        <w:t>（</w:t>
      </w:r>
      <w:r>
        <w:rPr>
          <w:rFonts w:ascii="Times New Roman" w:hAnsi="Times New Roman" w:eastAsia="等线" w:cs="Times New Roman"/>
          <w:sz w:val="18"/>
          <w:szCs w:val="18"/>
        </w:rPr>
        <w:t>3</w:t>
      </w:r>
      <w:r>
        <w:rPr>
          <w:rFonts w:ascii="Times New Roman" w:hAnsi="Times New Roman" w:cs="Times New Roman"/>
          <w:sz w:val="18"/>
          <w:szCs w:val="18"/>
        </w:rPr>
        <w:t>）所得税费用</w:t>
      </w:r>
    </w:p>
    <w:p>
      <w:pPr>
        <w:pStyle w:val="8"/>
        <w:spacing w:before="0" w:beforeAutospacing="0" w:after="0" w:afterAutospacing="0" w:line="276" w:lineRule="auto"/>
        <w:ind w:firstLine="360"/>
        <w:rPr>
          <w:rFonts w:ascii="Times New Roman" w:hAnsi="Times New Roman" w:eastAsia="等线" w:cs="Times New Roman"/>
          <w:sz w:val="21"/>
          <w:szCs w:val="21"/>
        </w:rPr>
      </w:pPr>
      <w:r>
        <w:rPr>
          <w:rFonts w:ascii="Times New Roman" w:hAnsi="Times New Roman" w:cs="Times New Roman"/>
          <w:sz w:val="18"/>
          <w:szCs w:val="18"/>
        </w:rPr>
        <w:t>所得税费用包括当期所得税和递延所得税。</w:t>
      </w:r>
    </w:p>
    <w:p>
      <w:pPr>
        <w:pStyle w:val="8"/>
        <w:spacing w:before="0" w:beforeAutospacing="0" w:after="0" w:afterAutospacing="0" w:line="276" w:lineRule="auto"/>
        <w:ind w:firstLine="360"/>
        <w:rPr>
          <w:rFonts w:ascii="Times New Roman" w:hAnsi="Times New Roman" w:eastAsia="等线" w:cs="Times New Roman"/>
          <w:sz w:val="21"/>
          <w:szCs w:val="21"/>
        </w:rPr>
      </w:pPr>
      <w:r>
        <w:rPr>
          <w:rFonts w:ascii="Times New Roman" w:hAnsi="Times New Roman" w:cs="Times New Roman"/>
          <w:sz w:val="18"/>
          <w:szCs w:val="18"/>
        </w:rPr>
        <w:t>除确认为其他综合收益或直接计入股东权益的交易和事项相关的当期所得税和递延所得税计入其他综合收益或股东权益，以及企业合并产生的递延所得税调整商誉的账面价值外，其余当期所得税和递延所得税费用或收益计入当期损益。</w:t>
      </w:r>
    </w:p>
    <w:p>
      <w:pPr>
        <w:pStyle w:val="8"/>
        <w:spacing w:before="0" w:beforeAutospacing="0" w:after="0" w:afterAutospacing="0" w:line="276" w:lineRule="auto"/>
        <w:ind w:firstLine="360"/>
        <w:rPr>
          <w:rFonts w:ascii="Times New Roman" w:hAnsi="Times New Roman" w:eastAsia="等线" w:cs="Times New Roman"/>
          <w:sz w:val="21"/>
          <w:szCs w:val="21"/>
        </w:rPr>
      </w:pPr>
      <w:r>
        <w:rPr>
          <w:rFonts w:ascii="Times New Roman" w:hAnsi="Times New Roman" w:cs="Times New Roman"/>
          <w:sz w:val="18"/>
          <w:szCs w:val="18"/>
        </w:rPr>
        <w:t>（</w:t>
      </w:r>
      <w:r>
        <w:rPr>
          <w:rFonts w:ascii="Times New Roman" w:hAnsi="Times New Roman" w:eastAsia="等线" w:cs="Times New Roman"/>
          <w:sz w:val="18"/>
          <w:szCs w:val="18"/>
        </w:rPr>
        <w:t>4</w:t>
      </w:r>
      <w:r>
        <w:rPr>
          <w:rFonts w:ascii="Times New Roman" w:hAnsi="Times New Roman" w:cs="Times New Roman"/>
          <w:sz w:val="18"/>
          <w:szCs w:val="18"/>
        </w:rPr>
        <w:t>）所得税的抵销</w:t>
      </w:r>
    </w:p>
    <w:p>
      <w:pPr>
        <w:pStyle w:val="8"/>
        <w:spacing w:before="0" w:beforeAutospacing="0" w:after="0" w:afterAutospacing="0" w:line="276" w:lineRule="auto"/>
        <w:ind w:firstLine="360"/>
        <w:rPr>
          <w:rFonts w:ascii="Times New Roman" w:hAnsi="Times New Roman" w:eastAsia="等线" w:cs="Times New Roman"/>
          <w:sz w:val="21"/>
          <w:szCs w:val="21"/>
        </w:rPr>
      </w:pPr>
      <w:r>
        <w:rPr>
          <w:rFonts w:ascii="Times New Roman" w:hAnsi="Times New Roman" w:cs="Times New Roman"/>
          <w:sz w:val="18"/>
          <w:szCs w:val="18"/>
        </w:rPr>
        <w:t>当拥有以净额结算的法定权利，且意图以净额结算或取得资产、清偿负债同时进行时，本集团当期所得税资产及当期所得税负债以抵销后的净额列报。</w:t>
      </w:r>
    </w:p>
    <w:p>
      <w:pPr>
        <w:pStyle w:val="8"/>
        <w:spacing w:before="0" w:beforeAutospacing="0" w:after="0" w:afterAutospacing="0" w:line="276" w:lineRule="auto"/>
        <w:ind w:firstLine="360"/>
        <w:rPr>
          <w:rFonts w:ascii="Times New Roman" w:hAnsi="Times New Roman" w:eastAsia="等线" w:cs="Times New Roman"/>
          <w:sz w:val="21"/>
          <w:szCs w:val="21"/>
        </w:rPr>
      </w:pPr>
      <w:r>
        <w:rPr>
          <w:rFonts w:ascii="Times New Roman" w:hAnsi="Times New Roman" w:cs="Times New Roman"/>
          <w:sz w:val="18"/>
          <w:szCs w:val="18"/>
        </w:rPr>
        <w:t>当拥有以净额结算当期所得税资产及当期所得税负债的法定权利，且递延所得税资产及递延所得税负债是与同一税收征管部门对同一纳税主体征收的所得税相关或者是对不同的纳税主体相关，但在未来每一具有重要性的递延所得税资产及负债转回的期间内，涉及的纳税主体意图以净额结算当期所得税资产和负债或是同时取得资产、清偿负债时，本集团递延所得税资产及递延所得税负债以抵销后的净额列报。</w:t>
      </w:r>
    </w:p>
    <w:p>
      <w:pPr>
        <w:pStyle w:val="3"/>
        <w:spacing w:line="280" w:lineRule="exact"/>
        <w:jc w:val="left"/>
        <w:rPr>
          <w:rFonts w:ascii="Times New Roman" w:hAnsi="Times New Roman" w:cs="Times New Roman"/>
          <w:b/>
          <w:bCs/>
        </w:rPr>
      </w:pPr>
      <w:bookmarkStart w:id="169" w:name="_Toc989058"/>
      <w:r>
        <w:rPr>
          <w:rFonts w:ascii="Times New Roman" w:hAnsi="Times New Roman" w:cs="Times New Roman"/>
          <w:b/>
          <w:bCs/>
        </w:rPr>
        <w:t>42、租赁</w:t>
      </w:r>
      <w:bookmarkEnd w:id="169"/>
    </w:p>
    <w:p>
      <w:pPr>
        <w:keepNext/>
        <w:keepLines/>
        <w:spacing w:before="300" w:after="300" w:line="280" w:lineRule="exact"/>
        <w:outlineLvl w:val="3"/>
        <w:rPr>
          <w:rFonts w:ascii="Times New Roman" w:hAnsi="Times New Roman" w:eastAsia="宋体" w:cs="Times New Roman"/>
          <w:b/>
          <w:bCs/>
          <w:szCs w:val="21"/>
        </w:rPr>
      </w:pPr>
      <w:bookmarkStart w:id="170" w:name="_Toc989059"/>
      <w:r>
        <w:rPr>
          <w:rFonts w:ascii="Times New Roman" w:hAnsi="Times New Roman" w:eastAsia="宋体" w:cs="Times New Roman"/>
          <w:b/>
          <w:bCs/>
          <w:szCs w:val="21"/>
        </w:rPr>
        <w:t>（1） 经营租赁的会计处理方法</w:t>
      </w:r>
      <w:bookmarkEnd w:id="170"/>
    </w:p>
    <w:p>
      <w:pPr>
        <w:pStyle w:val="8"/>
        <w:spacing w:before="0" w:beforeAutospacing="0" w:after="0" w:afterAutospacing="0" w:line="276" w:lineRule="auto"/>
        <w:ind w:firstLine="360"/>
        <w:rPr>
          <w:rFonts w:ascii="Times New Roman" w:hAnsi="Times New Roman" w:eastAsia="等线" w:cs="Times New Roman"/>
          <w:sz w:val="21"/>
          <w:szCs w:val="21"/>
        </w:rPr>
      </w:pPr>
      <w:r>
        <w:rPr>
          <w:rFonts w:ascii="Times New Roman" w:hAnsi="Times New Roman" w:cs="Times New Roman"/>
          <w:sz w:val="18"/>
          <w:szCs w:val="18"/>
        </w:rPr>
        <w:t>租赁是指本集团让渡或取得了在一定期间内控制一项或多项已识别资产使用的权利以换取或支付对价的合同。在一项合同开始日，本集团评估合同是否为租赁或包含租赁。</w:t>
      </w:r>
    </w:p>
    <w:p>
      <w:pPr>
        <w:pStyle w:val="8"/>
        <w:spacing w:before="0" w:beforeAutospacing="0" w:after="0" w:afterAutospacing="0" w:line="276" w:lineRule="auto"/>
        <w:ind w:firstLine="360"/>
        <w:rPr>
          <w:rFonts w:ascii="Times New Roman" w:hAnsi="Times New Roman" w:eastAsia="等线" w:cs="Times New Roman"/>
          <w:sz w:val="21"/>
          <w:szCs w:val="21"/>
        </w:rPr>
      </w:pPr>
      <w:r>
        <w:rPr>
          <w:rFonts w:ascii="Times New Roman" w:hAnsi="Times New Roman" w:cs="Times New Roman"/>
          <w:sz w:val="18"/>
          <w:szCs w:val="18"/>
        </w:rPr>
        <w:t>本集团作为承租人</w:t>
      </w:r>
    </w:p>
    <w:p>
      <w:pPr>
        <w:pStyle w:val="8"/>
        <w:spacing w:before="0" w:beforeAutospacing="0" w:after="0" w:afterAutospacing="0" w:line="276" w:lineRule="auto"/>
        <w:ind w:firstLine="360"/>
        <w:rPr>
          <w:rFonts w:ascii="Times New Roman" w:hAnsi="Times New Roman" w:eastAsia="等线" w:cs="Times New Roman"/>
          <w:sz w:val="21"/>
          <w:szCs w:val="21"/>
        </w:rPr>
      </w:pPr>
      <w:r>
        <w:rPr>
          <w:rFonts w:ascii="Times New Roman" w:hAnsi="Times New Roman" w:cs="Times New Roman"/>
          <w:sz w:val="18"/>
          <w:szCs w:val="18"/>
        </w:rPr>
        <w:t>本集团租赁资产的类别主要为房屋建筑物、土地。</w:t>
      </w:r>
    </w:p>
    <w:p>
      <w:pPr>
        <w:pStyle w:val="8"/>
        <w:spacing w:before="0" w:beforeAutospacing="0" w:after="0" w:afterAutospacing="0" w:line="276" w:lineRule="auto"/>
        <w:ind w:firstLine="360"/>
        <w:rPr>
          <w:rFonts w:ascii="Times New Roman" w:hAnsi="Times New Roman" w:eastAsia="等线" w:cs="Times New Roman"/>
          <w:sz w:val="21"/>
          <w:szCs w:val="21"/>
        </w:rPr>
      </w:pPr>
      <w:r>
        <w:rPr>
          <w:rFonts w:ascii="Times New Roman" w:hAnsi="Times New Roman" w:eastAsia="等线" w:cs="Times New Roman"/>
          <w:sz w:val="18"/>
          <w:szCs w:val="18"/>
        </w:rPr>
        <w:t>a</w:t>
      </w:r>
      <w:r>
        <w:rPr>
          <w:rFonts w:ascii="Times New Roman" w:hAnsi="Times New Roman" w:cs="Times New Roman"/>
          <w:sz w:val="18"/>
          <w:szCs w:val="18"/>
        </w:rPr>
        <w:t>初始计量</w:t>
      </w:r>
    </w:p>
    <w:p>
      <w:pPr>
        <w:pStyle w:val="8"/>
        <w:spacing w:before="0" w:beforeAutospacing="0" w:after="0" w:afterAutospacing="0" w:line="276" w:lineRule="auto"/>
        <w:ind w:firstLine="360"/>
        <w:rPr>
          <w:rFonts w:ascii="Times New Roman" w:hAnsi="Times New Roman" w:eastAsia="等线" w:cs="Times New Roman"/>
          <w:sz w:val="21"/>
          <w:szCs w:val="21"/>
        </w:rPr>
      </w:pPr>
      <w:r>
        <w:rPr>
          <w:rFonts w:ascii="Times New Roman" w:hAnsi="Times New Roman" w:cs="Times New Roman"/>
          <w:sz w:val="18"/>
          <w:szCs w:val="18"/>
        </w:rPr>
        <w:t>在租赁期开始日，本集团将可在租赁期内使用租赁资产的权利确认为使用权资产，将尚未支付的租赁付款额的现值确认为租赁负债，短期租赁和低价值资产租赁除外。在计算租赁付款额的现值时，本集团采用租赁内含利率作为折现率；无法确定租赁内含利率的，采用承租人增量借款利率作为折现率。</w:t>
      </w:r>
    </w:p>
    <w:p>
      <w:pPr>
        <w:pStyle w:val="8"/>
        <w:spacing w:before="0" w:beforeAutospacing="0" w:after="0" w:afterAutospacing="0" w:line="276" w:lineRule="auto"/>
        <w:ind w:firstLine="360"/>
        <w:rPr>
          <w:rFonts w:ascii="Times New Roman" w:hAnsi="Times New Roman" w:eastAsia="等线" w:cs="Times New Roman"/>
          <w:sz w:val="21"/>
          <w:szCs w:val="21"/>
        </w:rPr>
      </w:pPr>
      <w:r>
        <w:rPr>
          <w:rFonts w:ascii="Times New Roman" w:hAnsi="Times New Roman" w:eastAsia="等线" w:cs="Times New Roman"/>
          <w:sz w:val="18"/>
          <w:szCs w:val="18"/>
        </w:rPr>
        <w:t>b</w:t>
      </w:r>
      <w:r>
        <w:rPr>
          <w:rFonts w:ascii="Times New Roman" w:hAnsi="Times New Roman" w:cs="Times New Roman"/>
          <w:sz w:val="18"/>
          <w:szCs w:val="18"/>
        </w:rPr>
        <w:t>后续计量</w:t>
      </w:r>
    </w:p>
    <w:p>
      <w:pPr>
        <w:pStyle w:val="8"/>
        <w:spacing w:before="0" w:beforeAutospacing="0" w:after="0" w:afterAutospacing="0" w:line="276" w:lineRule="auto"/>
        <w:ind w:firstLine="360"/>
        <w:rPr>
          <w:rFonts w:ascii="Times New Roman" w:hAnsi="Times New Roman" w:eastAsia="等线" w:cs="Times New Roman"/>
          <w:sz w:val="21"/>
          <w:szCs w:val="21"/>
        </w:rPr>
      </w:pPr>
      <w:r>
        <w:rPr>
          <w:rFonts w:ascii="Times New Roman" w:hAnsi="Times New Roman" w:cs="Times New Roman"/>
          <w:sz w:val="18"/>
          <w:szCs w:val="18"/>
        </w:rPr>
        <w:t>本集团参照《企业会计准则第</w:t>
      </w:r>
      <w:r>
        <w:rPr>
          <w:rFonts w:ascii="Times New Roman" w:hAnsi="Times New Roman" w:eastAsia="等线" w:cs="Times New Roman"/>
          <w:sz w:val="18"/>
          <w:szCs w:val="18"/>
        </w:rPr>
        <w:t>4</w:t>
      </w:r>
      <w:r>
        <w:rPr>
          <w:rFonts w:ascii="Times New Roman" w:hAnsi="Times New Roman" w:cs="Times New Roman"/>
          <w:sz w:val="18"/>
          <w:szCs w:val="18"/>
        </w:rPr>
        <w:t>号</w:t>
      </w:r>
      <w:r>
        <w:rPr>
          <w:rFonts w:ascii="Times New Roman" w:hAnsi="Times New Roman" w:eastAsia="等线" w:cs="Times New Roman"/>
          <w:sz w:val="18"/>
          <w:szCs w:val="18"/>
        </w:rPr>
        <w:t>——</w:t>
      </w:r>
      <w:r>
        <w:rPr>
          <w:rFonts w:ascii="Times New Roman" w:hAnsi="Times New Roman" w:cs="Times New Roman"/>
          <w:sz w:val="18"/>
          <w:szCs w:val="18"/>
        </w:rPr>
        <w:t>固定资产》有关折旧规定对使用权资产计提折旧（详见本附注五、</w:t>
      </w:r>
      <w:r>
        <w:rPr>
          <w:rFonts w:ascii="Times New Roman" w:hAnsi="Times New Roman" w:eastAsia="等线" w:cs="Times New Roman"/>
          <w:sz w:val="18"/>
          <w:szCs w:val="18"/>
        </w:rPr>
        <w:t>24</w:t>
      </w:r>
      <w:r>
        <w:rPr>
          <w:rFonts w:ascii="Times New Roman" w:hAnsi="Times New Roman" w:cs="Times New Roman"/>
          <w:sz w:val="18"/>
          <w:szCs w:val="18"/>
        </w:rPr>
        <w:t>“固定资产”），能够合理确定租赁期届满时取得租赁资产所有权的，本集团在租赁资产剩余使用寿命内计提折旧。无法合理确定租赁期届满时能够取得租赁资产所有权的，本集团在租赁期与租赁资产剩余使用寿命两者孰短的期间内计提折旧。</w:t>
      </w:r>
    </w:p>
    <w:p>
      <w:pPr>
        <w:pStyle w:val="8"/>
        <w:spacing w:before="0" w:beforeAutospacing="0" w:after="0" w:afterAutospacing="0" w:line="276" w:lineRule="auto"/>
        <w:ind w:firstLine="360"/>
        <w:rPr>
          <w:rFonts w:ascii="Times New Roman" w:hAnsi="Times New Roman" w:eastAsia="等线" w:cs="Times New Roman"/>
          <w:sz w:val="21"/>
          <w:szCs w:val="21"/>
        </w:rPr>
      </w:pPr>
      <w:r>
        <w:rPr>
          <w:rFonts w:ascii="Times New Roman" w:hAnsi="Times New Roman" w:cs="Times New Roman"/>
          <w:sz w:val="18"/>
          <w:szCs w:val="18"/>
        </w:rPr>
        <w:t>对于租赁负债，本集团按照固定的周期性利率计算其在租赁期内各期间的利息费用，计入当期损益或计入相关资产成本。未纳入租赁负债计量的可变租赁付款额在实际发生时计入当期损益或相关资产成本。</w:t>
      </w:r>
    </w:p>
    <w:p>
      <w:pPr>
        <w:pStyle w:val="8"/>
        <w:spacing w:before="0" w:beforeAutospacing="0" w:after="0" w:afterAutospacing="0" w:line="276" w:lineRule="auto"/>
        <w:ind w:firstLine="360"/>
        <w:rPr>
          <w:rFonts w:ascii="Times New Roman" w:hAnsi="Times New Roman" w:eastAsia="等线" w:cs="Times New Roman"/>
          <w:sz w:val="21"/>
          <w:szCs w:val="21"/>
        </w:rPr>
      </w:pPr>
      <w:r>
        <w:rPr>
          <w:rFonts w:ascii="Times New Roman" w:hAnsi="Times New Roman" w:cs="Times New Roman"/>
          <w:sz w:val="18"/>
          <w:szCs w:val="18"/>
        </w:rPr>
        <w:t>租赁期开始日后，当实质固定付款额发生变动、担保余值预计的应付金额发生变化、用于确定租赁付款额的指数或比率发生变动、购买选择权、续租选择权或终止选择权的评估结果或实际行权情况发生变化时，本集团按照变动后的租赁付款额的现值重新计量租赁负债，并相应调整使用权资产的账面价值。使用权资产账面价值已调减至零，但租赁负债仍需进一步调减的，本集团将剩余金额计入当期损益。</w:t>
      </w:r>
    </w:p>
    <w:p>
      <w:pPr>
        <w:pStyle w:val="8"/>
        <w:spacing w:before="0" w:beforeAutospacing="0" w:after="0" w:afterAutospacing="0" w:line="276" w:lineRule="auto"/>
        <w:ind w:firstLine="360"/>
        <w:rPr>
          <w:rFonts w:ascii="Times New Roman" w:hAnsi="Times New Roman" w:eastAsia="等线" w:cs="Times New Roman"/>
          <w:sz w:val="21"/>
          <w:szCs w:val="21"/>
        </w:rPr>
      </w:pPr>
      <w:r>
        <w:rPr>
          <w:rFonts w:ascii="Times New Roman" w:hAnsi="Times New Roman" w:eastAsia="等线" w:cs="Times New Roman"/>
          <w:sz w:val="18"/>
          <w:szCs w:val="18"/>
        </w:rPr>
        <w:t>c</w:t>
      </w:r>
      <w:r>
        <w:rPr>
          <w:rFonts w:ascii="Times New Roman" w:hAnsi="Times New Roman" w:cs="Times New Roman"/>
          <w:sz w:val="18"/>
          <w:szCs w:val="18"/>
        </w:rPr>
        <w:t>短期租赁和低价值资产租赁</w:t>
      </w:r>
    </w:p>
    <w:p>
      <w:pPr>
        <w:pStyle w:val="8"/>
        <w:spacing w:before="0" w:beforeAutospacing="0" w:after="0" w:afterAutospacing="0" w:line="276" w:lineRule="auto"/>
        <w:ind w:firstLine="360"/>
        <w:rPr>
          <w:rFonts w:ascii="Times New Roman" w:hAnsi="Times New Roman" w:eastAsia="等线" w:cs="Times New Roman"/>
          <w:sz w:val="21"/>
          <w:szCs w:val="21"/>
        </w:rPr>
      </w:pPr>
      <w:r>
        <w:rPr>
          <w:rFonts w:ascii="Times New Roman" w:hAnsi="Times New Roman" w:cs="Times New Roman"/>
          <w:sz w:val="18"/>
          <w:szCs w:val="18"/>
        </w:rPr>
        <w:t>对于短期租赁（在租赁开始日租赁期不超过</w:t>
      </w:r>
      <w:r>
        <w:rPr>
          <w:rFonts w:ascii="Times New Roman" w:hAnsi="Times New Roman" w:eastAsia="等线" w:cs="Times New Roman"/>
          <w:sz w:val="18"/>
          <w:szCs w:val="18"/>
        </w:rPr>
        <w:t>12</w:t>
      </w:r>
      <w:r>
        <w:rPr>
          <w:rFonts w:ascii="Times New Roman" w:hAnsi="Times New Roman" w:cs="Times New Roman"/>
          <w:sz w:val="18"/>
          <w:szCs w:val="18"/>
        </w:rPr>
        <w:t>个月的租赁）和低价值资产租赁，本集团采取简化处理方法，不确认使用权资产和租赁负债，而在租赁期内各个期间按照直线法或其他系统合理的方法将租赁付款额计入相关资产成本或当期损益。</w:t>
      </w:r>
    </w:p>
    <w:p>
      <w:pPr>
        <w:pStyle w:val="8"/>
        <w:spacing w:before="0" w:beforeAutospacing="0" w:after="0" w:afterAutospacing="0" w:line="276" w:lineRule="auto"/>
        <w:ind w:firstLine="360"/>
        <w:rPr>
          <w:rFonts w:ascii="Times New Roman" w:hAnsi="Times New Roman" w:eastAsia="等线" w:cs="Times New Roman"/>
          <w:sz w:val="21"/>
          <w:szCs w:val="21"/>
        </w:rPr>
      </w:pPr>
      <w:r>
        <w:rPr>
          <w:rFonts w:ascii="Times New Roman" w:hAnsi="Times New Roman" w:cs="Times New Roman"/>
          <w:sz w:val="18"/>
          <w:szCs w:val="18"/>
        </w:rPr>
        <w:t>本集团作为出租人</w:t>
      </w:r>
    </w:p>
    <w:p>
      <w:pPr>
        <w:pStyle w:val="8"/>
        <w:spacing w:before="0" w:beforeAutospacing="0" w:after="0" w:afterAutospacing="0" w:line="276" w:lineRule="auto"/>
        <w:ind w:firstLine="360"/>
        <w:rPr>
          <w:rFonts w:ascii="Times New Roman" w:hAnsi="Times New Roman" w:eastAsia="等线" w:cs="Times New Roman"/>
          <w:sz w:val="21"/>
          <w:szCs w:val="21"/>
        </w:rPr>
      </w:pPr>
      <w:r>
        <w:rPr>
          <w:rFonts w:ascii="Times New Roman" w:hAnsi="Times New Roman" w:cs="Times New Roman"/>
          <w:sz w:val="18"/>
          <w:szCs w:val="18"/>
        </w:rPr>
        <w:t>本集团在租赁开始日，基于交易的实质，将租赁分为融资租赁和经营租赁。融资租赁是指实质上转移了与租赁资产所有权有关的几乎全部风险和报酬的租赁。经营租赁是指除融资租赁以外的其他租赁。</w:t>
      </w:r>
    </w:p>
    <w:p>
      <w:pPr>
        <w:pStyle w:val="8"/>
        <w:spacing w:before="0" w:beforeAutospacing="0" w:after="0" w:afterAutospacing="0" w:line="276" w:lineRule="auto"/>
        <w:ind w:firstLine="360"/>
        <w:rPr>
          <w:rFonts w:ascii="Times New Roman" w:hAnsi="Times New Roman" w:eastAsia="等线" w:cs="Times New Roman"/>
          <w:sz w:val="21"/>
          <w:szCs w:val="21"/>
        </w:rPr>
      </w:pPr>
      <w:r>
        <w:rPr>
          <w:rFonts w:ascii="Times New Roman" w:hAnsi="Times New Roman" w:eastAsia="等线" w:cs="Times New Roman"/>
          <w:sz w:val="18"/>
          <w:szCs w:val="18"/>
        </w:rPr>
        <w:t>a</w:t>
      </w:r>
      <w:r>
        <w:rPr>
          <w:rFonts w:ascii="Times New Roman" w:hAnsi="Times New Roman" w:cs="Times New Roman"/>
          <w:sz w:val="18"/>
          <w:szCs w:val="18"/>
        </w:rPr>
        <w:t>经营租赁</w:t>
      </w:r>
    </w:p>
    <w:p>
      <w:pPr>
        <w:pStyle w:val="8"/>
        <w:spacing w:before="0" w:beforeAutospacing="0" w:after="0" w:afterAutospacing="0" w:line="276" w:lineRule="auto"/>
        <w:ind w:firstLine="360"/>
        <w:rPr>
          <w:rFonts w:ascii="Times New Roman" w:hAnsi="Times New Roman" w:eastAsia="等线" w:cs="Times New Roman"/>
          <w:sz w:val="21"/>
          <w:szCs w:val="21"/>
        </w:rPr>
      </w:pPr>
      <w:r>
        <w:rPr>
          <w:rFonts w:ascii="Times New Roman" w:hAnsi="Times New Roman" w:cs="Times New Roman"/>
          <w:sz w:val="18"/>
          <w:szCs w:val="18"/>
        </w:rPr>
        <w:t>本集团采用直线法将经营租赁的租赁收款额确认为租赁期内各期间的租金收入。与经营租赁有关的未计入租赁收款额的可变租赁付款额，于实际发生时计入当期损益。</w:t>
      </w:r>
    </w:p>
    <w:p>
      <w:pPr>
        <w:pStyle w:val="8"/>
        <w:spacing w:before="0" w:beforeAutospacing="0" w:after="0" w:afterAutospacing="0" w:line="276" w:lineRule="auto"/>
        <w:ind w:firstLine="360"/>
        <w:rPr>
          <w:rFonts w:ascii="Times New Roman" w:hAnsi="Times New Roman" w:eastAsia="等线" w:cs="Times New Roman"/>
          <w:sz w:val="21"/>
          <w:szCs w:val="21"/>
        </w:rPr>
      </w:pPr>
      <w:r>
        <w:rPr>
          <w:rFonts w:ascii="Times New Roman" w:hAnsi="Times New Roman" w:eastAsia="等线" w:cs="Times New Roman"/>
          <w:sz w:val="18"/>
          <w:szCs w:val="18"/>
        </w:rPr>
        <w:t>b</w:t>
      </w:r>
      <w:r>
        <w:rPr>
          <w:rFonts w:ascii="Times New Roman" w:hAnsi="Times New Roman" w:cs="Times New Roman"/>
          <w:sz w:val="18"/>
          <w:szCs w:val="18"/>
        </w:rPr>
        <w:t>融资租赁</w:t>
      </w:r>
    </w:p>
    <w:p>
      <w:pPr>
        <w:pStyle w:val="8"/>
        <w:spacing w:before="0" w:beforeAutospacing="0" w:after="0" w:afterAutospacing="0" w:line="276" w:lineRule="auto"/>
        <w:ind w:firstLine="360"/>
        <w:rPr>
          <w:rFonts w:ascii="Times New Roman" w:hAnsi="Times New Roman" w:eastAsia="等线" w:cs="Times New Roman"/>
          <w:sz w:val="21"/>
          <w:szCs w:val="21"/>
        </w:rPr>
      </w:pPr>
      <w:r>
        <w:rPr>
          <w:rFonts w:ascii="Times New Roman" w:hAnsi="Times New Roman" w:cs="Times New Roman"/>
          <w:sz w:val="18"/>
          <w:szCs w:val="18"/>
        </w:rPr>
        <w:t>于租赁期开始日，本集团确认应收融资租赁款，并终止确认融资租赁资产。应收融资租赁款以租赁投资净额（未担保余值和租赁期开始日尚未收到的租赁收款额按照租赁内含利率折现的现值之和）进行初始计量，并按照固定的周期性利率计算确认租赁期内的利息收入。本集团取得的未纳入租赁投资净额计量的可变租赁付款额在实际发生时计入当期损益。</w:t>
      </w:r>
    </w:p>
    <w:p>
      <w:pPr>
        <w:keepNext/>
        <w:keepLines/>
        <w:spacing w:before="300" w:after="300" w:line="280" w:lineRule="exact"/>
        <w:outlineLvl w:val="3"/>
        <w:rPr>
          <w:rFonts w:ascii="Times New Roman" w:hAnsi="Times New Roman" w:eastAsia="宋体" w:cs="Times New Roman"/>
          <w:b/>
          <w:bCs/>
          <w:szCs w:val="21"/>
        </w:rPr>
      </w:pPr>
      <w:bookmarkStart w:id="171" w:name="_Toc989060"/>
      <w:r>
        <w:rPr>
          <w:rFonts w:ascii="Times New Roman" w:hAnsi="Times New Roman" w:eastAsia="宋体" w:cs="Times New Roman"/>
          <w:b/>
          <w:bCs/>
          <w:szCs w:val="21"/>
        </w:rPr>
        <w:t>（2） 融资租赁的会计处理方法</w:t>
      </w:r>
      <w:bookmarkEnd w:id="171"/>
    </w:p>
    <w:p>
      <w:pPr>
        <w:pStyle w:val="8"/>
        <w:spacing w:before="0" w:beforeAutospacing="0" w:after="0" w:afterAutospacing="0" w:line="276" w:lineRule="auto"/>
        <w:ind w:left="421"/>
        <w:rPr>
          <w:rFonts w:ascii="Times New Roman" w:hAnsi="Times New Roman" w:cs="Times New Roman"/>
        </w:rPr>
      </w:pPr>
      <w:r>
        <w:rPr>
          <w:rFonts w:ascii="Times New Roman" w:hAnsi="Times New Roman" w:cs="Times New Roman"/>
          <w:sz w:val="18"/>
          <w:szCs w:val="18"/>
        </w:rPr>
        <w:t>融资租赁是指实质上转移了与租赁资产所有权有关的几乎全部风险和报酬的租赁。</w:t>
      </w:r>
    </w:p>
    <w:p>
      <w:pPr>
        <w:pStyle w:val="8"/>
        <w:spacing w:before="0" w:beforeAutospacing="0" w:after="0" w:afterAutospacing="0" w:line="276" w:lineRule="auto"/>
        <w:ind w:firstLine="420"/>
        <w:rPr>
          <w:rFonts w:ascii="Times New Roman" w:hAnsi="Times New Roman" w:cs="Times New Roman"/>
        </w:rPr>
      </w:pPr>
      <w:r>
        <w:rPr>
          <w:rFonts w:ascii="Times New Roman" w:hAnsi="Times New Roman" w:cs="Times New Roman"/>
          <w:sz w:val="18"/>
          <w:szCs w:val="18"/>
        </w:rPr>
        <w:t>于租赁期开始日，本集团确认应收融资租赁款，并终止确认融资租赁资产。应收融资租赁款以租赁投资净额（未担保余值和租赁期开始日尚未收到的租赁收款额按照租赁内含利率折现的现值之和）进行初始计量，并按照固定的周期性利率计算确认租赁期内的利息收入。本集团取得的未纳入租赁投资净额计量的可变租赁付款额在实际发生时计入当期损益。</w:t>
      </w:r>
    </w:p>
    <w:p>
      <w:pPr>
        <w:pStyle w:val="3"/>
        <w:spacing w:line="280" w:lineRule="exact"/>
        <w:jc w:val="left"/>
        <w:rPr>
          <w:rFonts w:ascii="Times New Roman" w:hAnsi="Times New Roman" w:cs="Times New Roman"/>
          <w:b/>
          <w:bCs/>
        </w:rPr>
      </w:pPr>
      <w:bookmarkStart w:id="172" w:name="_Toc989061"/>
      <w:r>
        <w:rPr>
          <w:rFonts w:ascii="Times New Roman" w:hAnsi="Times New Roman" w:cs="Times New Roman"/>
          <w:b/>
          <w:bCs/>
        </w:rPr>
        <w:t>43、其他重要的会计政策和会计估计</w:t>
      </w:r>
      <w:bookmarkEnd w:id="172"/>
    </w:p>
    <w:p>
      <w:pPr>
        <w:pStyle w:val="8"/>
        <w:spacing w:before="0" w:beforeAutospacing="0" w:after="0" w:afterAutospacing="0" w:line="276" w:lineRule="auto"/>
        <w:ind w:firstLine="360"/>
        <w:rPr>
          <w:rFonts w:ascii="Times New Roman" w:hAnsi="Times New Roman" w:eastAsia="等线" w:cs="Times New Roman"/>
          <w:sz w:val="21"/>
          <w:szCs w:val="21"/>
        </w:rPr>
      </w:pPr>
      <w:r>
        <w:rPr>
          <w:rFonts w:ascii="Times New Roman" w:hAnsi="Times New Roman" w:cs="Times New Roman"/>
          <w:sz w:val="18"/>
          <w:szCs w:val="18"/>
        </w:rPr>
        <w:t>（</w:t>
      </w:r>
      <w:r>
        <w:rPr>
          <w:rFonts w:ascii="Times New Roman" w:hAnsi="Times New Roman" w:eastAsia="等线" w:cs="Times New Roman"/>
          <w:sz w:val="18"/>
          <w:szCs w:val="18"/>
        </w:rPr>
        <w:t>1</w:t>
      </w:r>
      <w:r>
        <w:rPr>
          <w:rFonts w:ascii="Times New Roman" w:hAnsi="Times New Roman" w:cs="Times New Roman"/>
          <w:sz w:val="18"/>
          <w:szCs w:val="18"/>
        </w:rPr>
        <w:t>）终止经营</w:t>
      </w:r>
    </w:p>
    <w:p>
      <w:pPr>
        <w:pStyle w:val="8"/>
        <w:spacing w:before="0" w:beforeAutospacing="0" w:after="0" w:afterAutospacing="0" w:line="276" w:lineRule="auto"/>
        <w:ind w:firstLine="360"/>
        <w:rPr>
          <w:rFonts w:ascii="Times New Roman" w:hAnsi="Times New Roman" w:eastAsia="等线" w:cs="Times New Roman"/>
          <w:sz w:val="21"/>
          <w:szCs w:val="21"/>
        </w:rPr>
      </w:pPr>
      <w:r>
        <w:rPr>
          <w:rFonts w:ascii="Times New Roman" w:hAnsi="Times New Roman" w:cs="Times New Roman"/>
          <w:sz w:val="18"/>
          <w:szCs w:val="18"/>
        </w:rPr>
        <w:t>终止经营，是指满足下列条件之一的、能够单独区分且已被本集团处置或划分为持有待售类别的组成部分：</w:t>
      </w:r>
      <w:r>
        <w:rPr>
          <w:rFonts w:hint="eastAsia"/>
          <w:sz w:val="18"/>
          <w:szCs w:val="18"/>
        </w:rPr>
        <w:t>①</w:t>
      </w:r>
      <w:r>
        <w:rPr>
          <w:rFonts w:ascii="Times New Roman" w:hAnsi="Times New Roman" w:cs="Times New Roman"/>
          <w:sz w:val="18"/>
          <w:szCs w:val="18"/>
        </w:rPr>
        <w:t>该组成部分代表一项独立的主要业务或一个单独的主要经营地区；</w:t>
      </w:r>
      <w:r>
        <w:rPr>
          <w:rFonts w:hint="eastAsia"/>
          <w:sz w:val="18"/>
          <w:szCs w:val="18"/>
        </w:rPr>
        <w:t>②</w:t>
      </w:r>
      <w:r>
        <w:rPr>
          <w:rFonts w:ascii="Times New Roman" w:hAnsi="Times New Roman" w:cs="Times New Roman"/>
          <w:sz w:val="18"/>
          <w:szCs w:val="18"/>
        </w:rPr>
        <w:t>该组成部分是拟对一项独立的主要业务或一个单独的主要经营地区进行处置的一项相关联计划的一部分；</w:t>
      </w:r>
      <w:r>
        <w:rPr>
          <w:rFonts w:hint="eastAsia"/>
          <w:sz w:val="18"/>
          <w:szCs w:val="18"/>
        </w:rPr>
        <w:t>③</w:t>
      </w:r>
      <w:r>
        <w:rPr>
          <w:rFonts w:ascii="Times New Roman" w:hAnsi="Times New Roman" w:cs="Times New Roman"/>
          <w:sz w:val="18"/>
          <w:szCs w:val="18"/>
        </w:rPr>
        <w:t>该组成部分是专为了转售而取得的子公司。</w:t>
      </w:r>
    </w:p>
    <w:p>
      <w:pPr>
        <w:pStyle w:val="8"/>
        <w:spacing w:before="0" w:beforeAutospacing="0" w:after="0" w:afterAutospacing="0" w:line="276" w:lineRule="auto"/>
        <w:ind w:firstLine="360"/>
        <w:rPr>
          <w:rFonts w:ascii="Times New Roman" w:hAnsi="Times New Roman" w:eastAsia="等线" w:cs="Times New Roman"/>
          <w:sz w:val="21"/>
          <w:szCs w:val="21"/>
        </w:rPr>
      </w:pPr>
      <w:r>
        <w:rPr>
          <w:rFonts w:ascii="Times New Roman" w:hAnsi="Times New Roman" w:cs="Times New Roman"/>
          <w:sz w:val="18"/>
          <w:szCs w:val="18"/>
        </w:rPr>
        <w:t>终止经营的会计处理方法参见本附注五、</w:t>
      </w:r>
      <w:r>
        <w:rPr>
          <w:rFonts w:ascii="Times New Roman" w:hAnsi="Times New Roman" w:eastAsia="等线" w:cs="Times New Roman"/>
          <w:sz w:val="18"/>
          <w:szCs w:val="18"/>
        </w:rPr>
        <w:t>18</w:t>
      </w:r>
      <w:r>
        <w:rPr>
          <w:rFonts w:ascii="Times New Roman" w:hAnsi="Times New Roman" w:cs="Times New Roman"/>
          <w:sz w:val="18"/>
          <w:szCs w:val="18"/>
        </w:rPr>
        <w:t>“持有待售资产”相关描述。</w:t>
      </w:r>
    </w:p>
    <w:p>
      <w:pPr>
        <w:pStyle w:val="8"/>
        <w:spacing w:before="0" w:beforeAutospacing="0" w:after="0" w:afterAutospacing="0" w:line="276" w:lineRule="auto"/>
        <w:ind w:firstLine="360"/>
        <w:rPr>
          <w:rFonts w:ascii="Times New Roman" w:hAnsi="Times New Roman" w:eastAsia="等线" w:cs="Times New Roman"/>
          <w:sz w:val="21"/>
          <w:szCs w:val="21"/>
        </w:rPr>
      </w:pPr>
      <w:r>
        <w:rPr>
          <w:rFonts w:ascii="Times New Roman" w:hAnsi="Times New Roman" w:cs="Times New Roman"/>
          <w:sz w:val="18"/>
          <w:szCs w:val="18"/>
        </w:rPr>
        <w:t>（</w:t>
      </w:r>
      <w:r>
        <w:rPr>
          <w:rFonts w:ascii="Times New Roman" w:hAnsi="Times New Roman" w:eastAsia="等线" w:cs="Times New Roman"/>
          <w:sz w:val="18"/>
          <w:szCs w:val="18"/>
        </w:rPr>
        <w:t>2</w:t>
      </w:r>
      <w:r>
        <w:rPr>
          <w:rFonts w:ascii="Times New Roman" w:hAnsi="Times New Roman" w:cs="Times New Roman"/>
          <w:sz w:val="18"/>
          <w:szCs w:val="18"/>
        </w:rPr>
        <w:t>）回购股份</w:t>
      </w:r>
    </w:p>
    <w:p>
      <w:pPr>
        <w:pStyle w:val="8"/>
        <w:spacing w:before="0" w:beforeAutospacing="0" w:after="0" w:afterAutospacing="0" w:line="276" w:lineRule="auto"/>
        <w:ind w:firstLine="360"/>
        <w:rPr>
          <w:rFonts w:ascii="Times New Roman" w:hAnsi="Times New Roman" w:eastAsia="等线" w:cs="Times New Roman"/>
          <w:sz w:val="21"/>
          <w:szCs w:val="21"/>
        </w:rPr>
      </w:pPr>
      <w:r>
        <w:rPr>
          <w:rFonts w:ascii="Times New Roman" w:hAnsi="Times New Roman" w:cs="Times New Roman"/>
          <w:sz w:val="18"/>
          <w:szCs w:val="18"/>
        </w:rPr>
        <w:t>股份回购中支付的对价和交易费用减少股东权益，回购、转让或注销本公司股份时，不确认利得或损失。</w:t>
      </w:r>
    </w:p>
    <w:p>
      <w:pPr>
        <w:pStyle w:val="8"/>
        <w:spacing w:before="0" w:beforeAutospacing="0" w:after="0" w:afterAutospacing="0" w:line="276" w:lineRule="auto"/>
        <w:ind w:firstLine="360"/>
        <w:rPr>
          <w:rFonts w:ascii="Times New Roman" w:hAnsi="Times New Roman" w:eastAsia="等线" w:cs="Times New Roman"/>
          <w:sz w:val="21"/>
          <w:szCs w:val="21"/>
        </w:rPr>
      </w:pPr>
      <w:r>
        <w:rPr>
          <w:rFonts w:ascii="Times New Roman" w:hAnsi="Times New Roman" w:cs="Times New Roman"/>
          <w:sz w:val="18"/>
          <w:szCs w:val="18"/>
        </w:rPr>
        <w:t>转让库存股，按实际收到的金额与库存股账面金额的差额，计入资本公积，资本公积不足冲减的，冲减盈余公积和未分配利润。注销库存股，按股票面值和注销股数减少股本，按注销库存股的账面余额与面值的差额，冲减资本公积，资本公积不足冲减的，冲减盈余公积和未分配利润。</w:t>
      </w:r>
    </w:p>
    <w:p>
      <w:pPr>
        <w:pStyle w:val="8"/>
        <w:spacing w:before="0" w:beforeAutospacing="0" w:after="0" w:afterAutospacing="0" w:line="276" w:lineRule="auto"/>
        <w:ind w:firstLine="360"/>
        <w:rPr>
          <w:rFonts w:ascii="Times New Roman" w:hAnsi="Times New Roman" w:eastAsia="等线" w:cs="Times New Roman"/>
          <w:sz w:val="21"/>
          <w:szCs w:val="21"/>
        </w:rPr>
      </w:pPr>
      <w:r>
        <w:rPr>
          <w:rFonts w:ascii="Times New Roman" w:hAnsi="Times New Roman" w:cs="Times New Roman"/>
          <w:sz w:val="18"/>
          <w:szCs w:val="18"/>
        </w:rPr>
        <w:t>（</w:t>
      </w:r>
      <w:r>
        <w:rPr>
          <w:rFonts w:ascii="Times New Roman" w:hAnsi="Times New Roman" w:eastAsia="等线" w:cs="Times New Roman"/>
          <w:sz w:val="18"/>
          <w:szCs w:val="18"/>
        </w:rPr>
        <w:t>3</w:t>
      </w:r>
      <w:r>
        <w:rPr>
          <w:rFonts w:ascii="Times New Roman" w:hAnsi="Times New Roman" w:cs="Times New Roman"/>
          <w:sz w:val="18"/>
          <w:szCs w:val="18"/>
        </w:rPr>
        <w:t>）分部报告</w:t>
      </w:r>
    </w:p>
    <w:p>
      <w:pPr>
        <w:pStyle w:val="8"/>
        <w:spacing w:before="0" w:beforeAutospacing="0" w:after="0" w:afterAutospacing="0" w:line="276" w:lineRule="auto"/>
        <w:ind w:firstLine="360"/>
        <w:rPr>
          <w:rFonts w:ascii="Times New Roman" w:hAnsi="Times New Roman" w:eastAsia="等线" w:cs="Times New Roman"/>
          <w:sz w:val="21"/>
          <w:szCs w:val="21"/>
        </w:rPr>
      </w:pPr>
      <w:r>
        <w:rPr>
          <w:rFonts w:ascii="Times New Roman" w:hAnsi="Times New Roman" w:cs="Times New Roman"/>
          <w:sz w:val="18"/>
          <w:szCs w:val="18"/>
        </w:rPr>
        <w:t>本集团以内部组织结构、管理要求、内部报告制度为依据确定经营分部，以经营分部为基础确定报告分部并披露分部信息。</w:t>
      </w:r>
    </w:p>
    <w:p>
      <w:pPr>
        <w:pStyle w:val="8"/>
        <w:rPr>
          <w:rFonts w:ascii="Times New Roman" w:hAnsi="Times New Roman" w:cs="Times New Roman"/>
          <w:sz w:val="18"/>
          <w:szCs w:val="18"/>
        </w:rPr>
      </w:pPr>
      <w:r>
        <w:rPr>
          <w:rFonts w:ascii="Times New Roman" w:hAnsi="Times New Roman" w:cs="Times New Roman"/>
          <w:sz w:val="18"/>
          <w:szCs w:val="18"/>
        </w:rPr>
        <w:t>经营分部是指本集团内同时满足下列条件的组成部分：</w:t>
      </w:r>
      <w:r>
        <w:rPr>
          <w:rFonts w:hint="eastAsia"/>
          <w:sz w:val="18"/>
          <w:szCs w:val="18"/>
        </w:rPr>
        <w:t>①</w:t>
      </w:r>
      <w:r>
        <w:rPr>
          <w:rFonts w:ascii="Times New Roman" w:hAnsi="Times New Roman" w:cs="Times New Roman"/>
          <w:sz w:val="18"/>
          <w:szCs w:val="18"/>
        </w:rPr>
        <w:t>该组成部分能够在日常活动中产生收入、发生费用；</w:t>
      </w:r>
      <w:r>
        <w:rPr>
          <w:rFonts w:hint="eastAsia"/>
          <w:sz w:val="18"/>
          <w:szCs w:val="18"/>
        </w:rPr>
        <w:t>②</w:t>
      </w:r>
      <w:r>
        <w:rPr>
          <w:rFonts w:ascii="Times New Roman" w:hAnsi="Times New Roman" w:cs="Times New Roman"/>
          <w:sz w:val="18"/>
          <w:szCs w:val="18"/>
        </w:rPr>
        <w:t>本集团管理层能够定期评价该组成部分的经营成果，以决定向其配置资源、评价其业绩；</w:t>
      </w:r>
      <w:r>
        <w:rPr>
          <w:rFonts w:hint="eastAsia"/>
          <w:sz w:val="18"/>
          <w:szCs w:val="18"/>
        </w:rPr>
        <w:t>③</w:t>
      </w:r>
      <w:r>
        <w:rPr>
          <w:rFonts w:ascii="Times New Roman" w:hAnsi="Times New Roman" w:cs="Times New Roman"/>
          <w:sz w:val="18"/>
          <w:szCs w:val="18"/>
        </w:rPr>
        <w:t>本集团能够取得该组成部分的财务状况、经营成果和现金流量等有关会计信息。两个或多个经营分部具有相似的经济特征，并且满足一定条件的，则可合并为一个经营分部。</w:t>
      </w:r>
    </w:p>
    <w:p>
      <w:pPr>
        <w:pStyle w:val="3"/>
        <w:spacing w:line="280" w:lineRule="exact"/>
        <w:jc w:val="left"/>
        <w:rPr>
          <w:rFonts w:ascii="Times New Roman" w:hAnsi="Times New Roman" w:cs="Times New Roman"/>
          <w:b/>
          <w:bCs/>
        </w:rPr>
      </w:pPr>
      <w:bookmarkStart w:id="173" w:name="_Toc989062"/>
      <w:r>
        <w:rPr>
          <w:rFonts w:ascii="Times New Roman" w:hAnsi="Times New Roman" w:cs="Times New Roman"/>
          <w:b/>
          <w:bCs/>
        </w:rPr>
        <w:t>44、重要会计政策和会计估计变更</w:t>
      </w:r>
      <w:bookmarkEnd w:id="173"/>
    </w:p>
    <w:p>
      <w:pPr>
        <w:keepNext/>
        <w:keepLines/>
        <w:spacing w:before="300" w:after="300" w:line="280" w:lineRule="exact"/>
        <w:outlineLvl w:val="3"/>
        <w:rPr>
          <w:rFonts w:ascii="Times New Roman" w:hAnsi="Times New Roman" w:eastAsia="宋体" w:cs="Times New Roman"/>
          <w:b/>
          <w:bCs/>
          <w:sz w:val="18"/>
          <w:szCs w:val="18"/>
        </w:rPr>
      </w:pPr>
      <w:bookmarkStart w:id="174" w:name="_Toc989063"/>
      <w:r>
        <w:rPr>
          <w:rFonts w:ascii="Times New Roman" w:hAnsi="Times New Roman" w:eastAsia="宋体" w:cs="Times New Roman"/>
          <w:b/>
          <w:bCs/>
          <w:sz w:val="18"/>
          <w:szCs w:val="18"/>
        </w:rPr>
        <w:t>（1） 重要会计政策变更</w:t>
      </w:r>
      <w:bookmarkEnd w:id="174"/>
    </w:p>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适用 □不适用</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5103"/>
        <w:gridCol w:w="2410"/>
        <w:gridCol w:w="212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51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会计政策变更的内容和原因</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审批程序</w:t>
            </w:r>
          </w:p>
        </w:tc>
        <w:tc>
          <w:tcPr>
            <w:tcW w:w="212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510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财政部于 2022 年 11 月 30 日发布了《企业会计准则解释第 16 号》，对《企业会计准则第 18 号——所得税》中递延所得税初始确认豁免的范围进行了修订，明确对于不是企业合并、交易发生时既不影响会计利润也不影响应纳税所得额（或可抵扣亏损）、且初始确认的资产和负债导致产生等额应纳税暂时性差异和可抵扣暂时性差异的单项交易，不适用《企业会计准则第 18 号——所得税》关于豁免初始确认递延所得税负债和递延所得税资产的规定。该规定自 2023 年 1 月 1 日起施行，可以提前执行。公司自 2023 年 1 月 1 日起执行该解释，并根据解释要求对2023年1月1日因适用该解释的单项交易而确认的租赁负债和使用权资产产生的应纳税暂时性差异和可抵扣暂时性差异财务报表列报数据进行重述。</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第五届董事会第十一次会议通过</w:t>
            </w:r>
          </w:p>
        </w:tc>
        <w:tc>
          <w:tcPr>
            <w:tcW w:w="212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p>
        </w:tc>
      </w:tr>
    </w:tbl>
    <w:p>
      <w:pPr>
        <w:rPr>
          <w:rFonts w:ascii="Times New Roman" w:hAnsi="Times New Roman" w:cs="Times New Roman"/>
        </w:rPr>
      </w:pPr>
    </w:p>
    <w:p>
      <w:pPr>
        <w:keepNext/>
        <w:keepLines/>
        <w:spacing w:before="300" w:after="300" w:line="280" w:lineRule="exact"/>
        <w:outlineLvl w:val="3"/>
        <w:rPr>
          <w:rFonts w:ascii="Times New Roman" w:hAnsi="Times New Roman" w:eastAsia="宋体" w:cs="Times New Roman"/>
          <w:b/>
          <w:bCs/>
          <w:sz w:val="18"/>
          <w:szCs w:val="18"/>
        </w:rPr>
      </w:pPr>
      <w:bookmarkStart w:id="175" w:name="_Toc989064"/>
      <w:r>
        <w:rPr>
          <w:rFonts w:ascii="Times New Roman" w:hAnsi="Times New Roman" w:eastAsia="宋体" w:cs="Times New Roman"/>
          <w:b/>
          <w:bCs/>
          <w:sz w:val="18"/>
          <w:szCs w:val="18"/>
        </w:rPr>
        <w:t>（2） 重要会计估计变更</w:t>
      </w:r>
      <w:bookmarkEnd w:id="175"/>
    </w:p>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 xml:space="preserve">□适用 </w:t>
      </w: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不适用</w:t>
      </w:r>
    </w:p>
    <w:p>
      <w:pPr>
        <w:keepNext/>
        <w:keepLines/>
        <w:spacing w:before="300" w:after="300" w:line="280" w:lineRule="exact"/>
        <w:outlineLvl w:val="3"/>
        <w:rPr>
          <w:rFonts w:ascii="Times New Roman" w:hAnsi="Times New Roman" w:eastAsia="宋体" w:cs="Times New Roman"/>
          <w:b/>
          <w:bCs/>
          <w:sz w:val="18"/>
          <w:szCs w:val="18"/>
        </w:rPr>
      </w:pPr>
      <w:bookmarkStart w:id="176" w:name="_Toc989065"/>
      <w:r>
        <w:rPr>
          <w:rFonts w:ascii="Times New Roman" w:hAnsi="Times New Roman" w:eastAsia="宋体" w:cs="Times New Roman"/>
          <w:b/>
          <w:bCs/>
          <w:sz w:val="18"/>
          <w:szCs w:val="18"/>
        </w:rPr>
        <w:t>（3） 2023年起首次执行新会计准则调整首次执行当年年初财务报表相关项目情况</w:t>
      </w:r>
      <w:bookmarkEnd w:id="176"/>
    </w:p>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适用 □不适用</w:t>
      </w:r>
    </w:p>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调整情况说明</w:t>
      </w:r>
    </w:p>
    <w:p>
      <w:pPr>
        <w:pStyle w:val="8"/>
        <w:rPr>
          <w:rFonts w:ascii="Times New Roman" w:hAnsi="Times New Roman" w:cs="Times New Roman"/>
          <w:sz w:val="18"/>
          <w:szCs w:val="18"/>
        </w:rPr>
      </w:pPr>
      <w:r>
        <w:rPr>
          <w:rFonts w:ascii="Times New Roman" w:hAnsi="Times New Roman" w:cs="Times New Roman"/>
          <w:sz w:val="18"/>
          <w:szCs w:val="18"/>
        </w:rPr>
        <w:t>（1）对本集团 2023 年 1月 1 日合并资产负债表相关项目的影响列示如下：</w:t>
      </w:r>
    </w:p>
    <w:tbl>
      <w:tblPr>
        <w:tblStyle w:val="9"/>
        <w:tblW w:w="9330" w:type="dxa"/>
        <w:tblInd w:w="0" w:type="dxa"/>
        <w:tblLayout w:type="autofit"/>
        <w:tblCellMar>
          <w:top w:w="0" w:type="dxa"/>
          <w:left w:w="0" w:type="dxa"/>
          <w:bottom w:w="0" w:type="dxa"/>
          <w:right w:w="0" w:type="dxa"/>
        </w:tblCellMar>
      </w:tblPr>
      <w:tblGrid>
        <w:gridCol w:w="2555"/>
        <w:gridCol w:w="2555"/>
        <w:gridCol w:w="1575"/>
        <w:gridCol w:w="2645"/>
      </w:tblGrid>
      <w:tr>
        <w:tblPrEx>
          <w:tblCellMar>
            <w:top w:w="0" w:type="dxa"/>
            <w:left w:w="0" w:type="dxa"/>
            <w:bottom w:w="0" w:type="dxa"/>
            <w:right w:w="0" w:type="dxa"/>
          </w:tblCellMar>
        </w:tblPrEx>
        <w:trPr>
          <w:trHeight w:val="154" w:hRule="atLeast"/>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rPr>
                <w:rFonts w:ascii="Times New Roman" w:hAnsi="Times New Roman" w:eastAsia="宋体" w:cs="Times New Roman"/>
                <w:sz w:val="18"/>
                <w:szCs w:val="18"/>
              </w:rPr>
            </w:pPr>
            <w:r>
              <w:rPr>
                <w:rFonts w:ascii="Times New Roman" w:hAnsi="Times New Roman" w:eastAsia="宋体" w:cs="Times New Roman"/>
                <w:sz w:val="18"/>
                <w:szCs w:val="18"/>
              </w:rPr>
              <w:t>项目</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重述前</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调整</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重述后</w:t>
            </w:r>
          </w:p>
        </w:tc>
      </w:tr>
      <w:tr>
        <w:tblPrEx>
          <w:tblCellMar>
            <w:top w:w="0" w:type="dxa"/>
            <w:left w:w="0" w:type="dxa"/>
            <w:bottom w:w="0" w:type="dxa"/>
            <w:right w:w="0" w:type="dxa"/>
          </w:tblCellMar>
        </w:tblPrEx>
        <w:trPr>
          <w:trHeight w:val="154" w:hRule="atLeast"/>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rPr>
                <w:rFonts w:ascii="Times New Roman" w:hAnsi="Times New Roman" w:eastAsia="宋体" w:cs="Times New Roman"/>
                <w:sz w:val="18"/>
                <w:szCs w:val="18"/>
              </w:rPr>
            </w:pPr>
            <w:r>
              <w:rPr>
                <w:rFonts w:ascii="Times New Roman" w:hAnsi="Times New Roman" w:eastAsia="宋体" w:cs="Times New Roman"/>
                <w:sz w:val="18"/>
                <w:szCs w:val="18"/>
              </w:rPr>
              <w:t>递延所得税资产</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68,493,416.37</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73,226.77 </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68,566,643.14 </w:t>
            </w:r>
          </w:p>
        </w:tc>
      </w:tr>
      <w:tr>
        <w:tblPrEx>
          <w:tblCellMar>
            <w:top w:w="0" w:type="dxa"/>
            <w:left w:w="0" w:type="dxa"/>
            <w:bottom w:w="0" w:type="dxa"/>
            <w:right w:w="0" w:type="dxa"/>
          </w:tblCellMar>
        </w:tblPrEx>
        <w:trPr>
          <w:trHeight w:val="154" w:hRule="atLeast"/>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rPr>
                <w:rFonts w:ascii="Times New Roman" w:hAnsi="Times New Roman" w:eastAsia="宋体" w:cs="Times New Roman"/>
                <w:sz w:val="18"/>
                <w:szCs w:val="18"/>
              </w:rPr>
            </w:pPr>
            <w:r>
              <w:rPr>
                <w:rFonts w:ascii="Times New Roman" w:hAnsi="Times New Roman" w:eastAsia="宋体" w:cs="Times New Roman"/>
                <w:sz w:val="18"/>
                <w:szCs w:val="18"/>
              </w:rPr>
              <w:t>递延所得税负债</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2,125,662.13</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 </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2,125,662.13 </w:t>
            </w:r>
          </w:p>
        </w:tc>
      </w:tr>
      <w:tr>
        <w:tblPrEx>
          <w:tblCellMar>
            <w:top w:w="0" w:type="dxa"/>
            <w:left w:w="0" w:type="dxa"/>
            <w:bottom w:w="0" w:type="dxa"/>
            <w:right w:w="0" w:type="dxa"/>
          </w:tblCellMar>
        </w:tblPrEx>
        <w:trPr>
          <w:trHeight w:val="154" w:hRule="atLeast"/>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rPr>
                <w:rFonts w:ascii="Times New Roman" w:hAnsi="Times New Roman" w:eastAsia="宋体" w:cs="Times New Roman"/>
                <w:sz w:val="18"/>
                <w:szCs w:val="18"/>
              </w:rPr>
            </w:pPr>
            <w:r>
              <w:rPr>
                <w:rFonts w:ascii="Times New Roman" w:hAnsi="Times New Roman" w:eastAsia="宋体" w:cs="Times New Roman"/>
                <w:sz w:val="18"/>
                <w:szCs w:val="18"/>
              </w:rPr>
              <w:t>未分配利润</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1,022,982,107.97</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72,221.95 </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1,023,054,329.92 </w:t>
            </w:r>
          </w:p>
        </w:tc>
      </w:tr>
      <w:tr>
        <w:tblPrEx>
          <w:tblCellMar>
            <w:top w:w="0" w:type="dxa"/>
            <w:left w:w="0" w:type="dxa"/>
            <w:bottom w:w="0" w:type="dxa"/>
            <w:right w:w="0" w:type="dxa"/>
          </w:tblCellMar>
        </w:tblPrEx>
        <w:trPr>
          <w:trHeight w:val="154" w:hRule="atLeast"/>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rPr>
                <w:rFonts w:ascii="Times New Roman" w:hAnsi="Times New Roman" w:eastAsia="宋体" w:cs="Times New Roman"/>
                <w:sz w:val="18"/>
                <w:szCs w:val="18"/>
              </w:rPr>
            </w:pPr>
            <w:r>
              <w:rPr>
                <w:rFonts w:ascii="Times New Roman" w:hAnsi="Times New Roman" w:eastAsia="宋体" w:cs="Times New Roman"/>
                <w:sz w:val="18"/>
                <w:szCs w:val="18"/>
              </w:rPr>
              <w:t>少数股东权益</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183,512,363.61</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1,004.82 </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183,513,368.43 </w:t>
            </w:r>
          </w:p>
        </w:tc>
      </w:tr>
    </w:tbl>
    <w:p>
      <w:pPr>
        <w:pStyle w:val="8"/>
        <w:rPr>
          <w:rFonts w:ascii="Times New Roman" w:hAnsi="Times New Roman" w:cs="Times New Roman"/>
          <w:sz w:val="18"/>
          <w:szCs w:val="18"/>
        </w:rPr>
      </w:pPr>
      <w:r>
        <w:rPr>
          <w:rFonts w:ascii="Times New Roman" w:hAnsi="Times New Roman" w:cs="Times New Roman"/>
          <w:sz w:val="18"/>
          <w:szCs w:val="18"/>
        </w:rPr>
        <w:t> </w:t>
      </w:r>
    </w:p>
    <w:p>
      <w:pPr>
        <w:pStyle w:val="8"/>
        <w:rPr>
          <w:rFonts w:ascii="Times New Roman" w:hAnsi="Times New Roman" w:cs="Times New Roman"/>
          <w:sz w:val="18"/>
          <w:szCs w:val="18"/>
        </w:rPr>
      </w:pPr>
      <w:r>
        <w:rPr>
          <w:rFonts w:ascii="Times New Roman" w:hAnsi="Times New Roman" w:cs="Times New Roman"/>
          <w:sz w:val="18"/>
          <w:szCs w:val="18"/>
        </w:rPr>
        <w:t>（2）对母公司 2023 年 1 月 1 日资产负债表相关项目的影响列示如下：</w:t>
      </w:r>
    </w:p>
    <w:tbl>
      <w:tblPr>
        <w:tblStyle w:val="9"/>
        <w:tblW w:w="9330" w:type="dxa"/>
        <w:tblInd w:w="0" w:type="dxa"/>
        <w:tblLayout w:type="autofit"/>
        <w:tblCellMar>
          <w:top w:w="0" w:type="dxa"/>
          <w:left w:w="0" w:type="dxa"/>
          <w:bottom w:w="0" w:type="dxa"/>
          <w:right w:w="0" w:type="dxa"/>
        </w:tblCellMar>
      </w:tblPr>
      <w:tblGrid>
        <w:gridCol w:w="2983"/>
        <w:gridCol w:w="2463"/>
        <w:gridCol w:w="1630"/>
        <w:gridCol w:w="2254"/>
      </w:tblGrid>
      <w:tr>
        <w:trPr>
          <w:trHeight w:val="154" w:hRule="atLeast"/>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rPr>
                <w:rFonts w:ascii="Times New Roman" w:hAnsi="Times New Roman" w:eastAsia="宋体" w:cs="Times New Roman"/>
                <w:sz w:val="18"/>
                <w:szCs w:val="18"/>
              </w:rPr>
            </w:pPr>
            <w:r>
              <w:rPr>
                <w:rFonts w:ascii="Times New Roman" w:hAnsi="Times New Roman" w:eastAsia="宋体" w:cs="Times New Roman"/>
                <w:sz w:val="18"/>
                <w:szCs w:val="18"/>
              </w:rPr>
              <w:t>项目</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重述前</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调整</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重述后</w:t>
            </w:r>
          </w:p>
        </w:tc>
      </w:tr>
      <w:tr>
        <w:tblPrEx>
          <w:tblCellMar>
            <w:top w:w="0" w:type="dxa"/>
            <w:left w:w="0" w:type="dxa"/>
            <w:bottom w:w="0" w:type="dxa"/>
            <w:right w:w="0" w:type="dxa"/>
          </w:tblCellMar>
        </w:tblPrEx>
        <w:trPr>
          <w:trHeight w:val="154" w:hRule="atLeast"/>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rPr>
                <w:rFonts w:ascii="Times New Roman" w:hAnsi="Times New Roman" w:eastAsia="宋体" w:cs="Times New Roman"/>
                <w:sz w:val="18"/>
                <w:szCs w:val="18"/>
              </w:rPr>
            </w:pPr>
            <w:r>
              <w:rPr>
                <w:rFonts w:ascii="Times New Roman" w:hAnsi="Times New Roman" w:eastAsia="宋体" w:cs="Times New Roman"/>
                <w:sz w:val="18"/>
                <w:szCs w:val="18"/>
              </w:rPr>
              <w:t>递延所得税资产</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37,737,115.09</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58203.65</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37795318.74</w:t>
            </w:r>
          </w:p>
        </w:tc>
      </w:tr>
      <w:tr>
        <w:tblPrEx>
          <w:tblCellMar>
            <w:top w:w="0" w:type="dxa"/>
            <w:left w:w="0" w:type="dxa"/>
            <w:bottom w:w="0" w:type="dxa"/>
            <w:right w:w="0" w:type="dxa"/>
          </w:tblCellMar>
        </w:tblPrEx>
        <w:trPr>
          <w:trHeight w:val="154" w:hRule="atLeast"/>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rPr>
                <w:rFonts w:ascii="Times New Roman" w:hAnsi="Times New Roman" w:eastAsia="宋体" w:cs="Times New Roman"/>
                <w:sz w:val="18"/>
                <w:szCs w:val="18"/>
              </w:rPr>
            </w:pPr>
            <w:r>
              <w:rPr>
                <w:rFonts w:ascii="Times New Roman" w:hAnsi="Times New Roman" w:eastAsia="宋体" w:cs="Times New Roman"/>
                <w:sz w:val="18"/>
                <w:szCs w:val="18"/>
              </w:rPr>
              <w:t>未分配利润</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15,171,713.72</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58203.65</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15229917.37</w:t>
            </w:r>
          </w:p>
        </w:tc>
      </w:tr>
    </w:tbl>
    <w:p>
      <w:pPr>
        <w:rPr>
          <w:rFonts w:ascii="Times New Roman" w:hAnsi="Times New Roman" w:cs="Times New Roman"/>
        </w:rPr>
      </w:pPr>
    </w:p>
    <w:p>
      <w:pPr>
        <w:pStyle w:val="3"/>
        <w:spacing w:line="280" w:lineRule="exact"/>
        <w:jc w:val="left"/>
        <w:rPr>
          <w:rFonts w:ascii="Times New Roman" w:hAnsi="Times New Roman" w:cs="Times New Roman"/>
          <w:b/>
          <w:bCs/>
        </w:rPr>
      </w:pPr>
      <w:bookmarkStart w:id="177" w:name="_Toc989066"/>
      <w:r>
        <w:rPr>
          <w:rFonts w:ascii="Times New Roman" w:hAnsi="Times New Roman" w:cs="Times New Roman"/>
          <w:b/>
          <w:bCs/>
        </w:rPr>
        <w:t>45、其他</w:t>
      </w:r>
      <w:bookmarkEnd w:id="177"/>
    </w:p>
    <w:p>
      <w:pPr>
        <w:pStyle w:val="8"/>
        <w:spacing w:before="0" w:beforeAutospacing="0" w:after="0" w:afterAutospacing="0" w:line="276" w:lineRule="auto"/>
        <w:ind w:firstLine="360"/>
        <w:rPr>
          <w:rFonts w:ascii="Times New Roman" w:hAnsi="Times New Roman" w:eastAsia="等线" w:cs="Times New Roman"/>
          <w:sz w:val="21"/>
          <w:szCs w:val="21"/>
        </w:rPr>
      </w:pPr>
      <w:r>
        <w:rPr>
          <w:rFonts w:ascii="Times New Roman" w:hAnsi="Times New Roman" w:cs="Times New Roman"/>
          <w:sz w:val="18"/>
          <w:szCs w:val="18"/>
        </w:rPr>
        <w:t>重大会计判断和估计</w:t>
      </w:r>
    </w:p>
    <w:p>
      <w:pPr>
        <w:pStyle w:val="8"/>
        <w:spacing w:before="0" w:beforeAutospacing="0" w:after="0" w:afterAutospacing="0" w:line="276" w:lineRule="auto"/>
        <w:ind w:firstLine="360"/>
        <w:rPr>
          <w:rFonts w:ascii="Times New Roman" w:hAnsi="Times New Roman" w:eastAsia="等线" w:cs="Times New Roman"/>
          <w:sz w:val="21"/>
          <w:szCs w:val="21"/>
        </w:rPr>
      </w:pPr>
      <w:r>
        <w:rPr>
          <w:rFonts w:ascii="Times New Roman" w:hAnsi="Times New Roman" w:cs="Times New Roman"/>
          <w:sz w:val="18"/>
          <w:szCs w:val="18"/>
        </w:rPr>
        <w:t>本集团在运用会计政策过程中，由于经营活动内在的不确定性，需要对无法准确计量的报表项目的账面价值进行判断、估计和假设。这些判断、估计和假设是基于本集团管理层过去的历史经验，并在考虑其他相关因素的基础上做出的。这些判断、估计和假设会影响收入、费用、资产和负债的报告金额以及资产负债表日或有负债的披露。然而，这些估计的不确定性所导致的实际结果可能与本集团管理层当前的估计存在差异，进而造成对未来受影响的资产或负债的账面金额进行重大调整。</w:t>
      </w:r>
    </w:p>
    <w:p>
      <w:pPr>
        <w:pStyle w:val="8"/>
        <w:spacing w:before="0" w:beforeAutospacing="0" w:after="0" w:afterAutospacing="0" w:line="276" w:lineRule="auto"/>
        <w:ind w:firstLine="360"/>
        <w:rPr>
          <w:rFonts w:ascii="Times New Roman" w:hAnsi="Times New Roman" w:eastAsia="等线" w:cs="Times New Roman"/>
          <w:sz w:val="21"/>
          <w:szCs w:val="21"/>
        </w:rPr>
      </w:pPr>
      <w:r>
        <w:rPr>
          <w:rFonts w:ascii="Times New Roman" w:hAnsi="Times New Roman" w:cs="Times New Roman"/>
          <w:sz w:val="18"/>
          <w:szCs w:val="18"/>
        </w:rPr>
        <w:t>本集团对前述判断、估计和假设在持续经营的基础上进行定期复核，会计估计的变更仅影响变更当期的，其影响数在变更当期予以确认；既影响变更当期又影响未来期间的，其影响数在变更当期和未来期间予以确认。</w:t>
      </w:r>
    </w:p>
    <w:p>
      <w:pPr>
        <w:pStyle w:val="8"/>
        <w:spacing w:before="0" w:beforeAutospacing="0" w:after="0" w:afterAutospacing="0" w:line="276" w:lineRule="auto"/>
        <w:ind w:firstLine="360"/>
        <w:rPr>
          <w:rFonts w:ascii="Times New Roman" w:hAnsi="Times New Roman" w:eastAsia="等线" w:cs="Times New Roman"/>
          <w:sz w:val="21"/>
          <w:szCs w:val="21"/>
        </w:rPr>
      </w:pPr>
      <w:r>
        <w:rPr>
          <w:rFonts w:ascii="Times New Roman" w:hAnsi="Times New Roman" w:cs="Times New Roman"/>
          <w:sz w:val="18"/>
          <w:szCs w:val="18"/>
        </w:rPr>
        <w:t>于资产负债表日，本集团需对财务报表项目金额进行判断、估计和假设的重要领域如下：</w:t>
      </w:r>
    </w:p>
    <w:p>
      <w:pPr>
        <w:pStyle w:val="8"/>
        <w:spacing w:before="0" w:beforeAutospacing="0" w:after="0" w:afterAutospacing="0" w:line="276" w:lineRule="auto"/>
        <w:ind w:firstLine="360"/>
        <w:rPr>
          <w:rFonts w:ascii="Times New Roman" w:hAnsi="Times New Roman" w:eastAsia="等线" w:cs="Times New Roman"/>
          <w:sz w:val="21"/>
          <w:szCs w:val="21"/>
        </w:rPr>
      </w:pPr>
      <w:r>
        <w:rPr>
          <w:rFonts w:ascii="Times New Roman" w:hAnsi="Times New Roman" w:cs="Times New Roman"/>
          <w:sz w:val="18"/>
          <w:szCs w:val="18"/>
        </w:rPr>
        <w:t>（</w:t>
      </w:r>
      <w:r>
        <w:rPr>
          <w:rFonts w:ascii="Times New Roman" w:hAnsi="Times New Roman" w:eastAsia="等线" w:cs="Times New Roman"/>
          <w:sz w:val="18"/>
          <w:szCs w:val="18"/>
        </w:rPr>
        <w:t>1</w:t>
      </w:r>
      <w:r>
        <w:rPr>
          <w:rFonts w:ascii="Times New Roman" w:hAnsi="Times New Roman" w:cs="Times New Roman"/>
          <w:sz w:val="18"/>
          <w:szCs w:val="18"/>
        </w:rPr>
        <w:t>）收入确认</w:t>
      </w:r>
    </w:p>
    <w:p>
      <w:pPr>
        <w:pStyle w:val="8"/>
        <w:spacing w:before="0" w:beforeAutospacing="0" w:after="0" w:afterAutospacing="0" w:line="276" w:lineRule="auto"/>
        <w:ind w:firstLine="360"/>
        <w:rPr>
          <w:rFonts w:ascii="Times New Roman" w:hAnsi="Times New Roman" w:eastAsia="等线" w:cs="Times New Roman"/>
          <w:sz w:val="21"/>
          <w:szCs w:val="21"/>
        </w:rPr>
      </w:pPr>
      <w:r>
        <w:rPr>
          <w:rFonts w:ascii="Times New Roman" w:hAnsi="Times New Roman" w:cs="Times New Roman"/>
          <w:sz w:val="18"/>
          <w:szCs w:val="18"/>
        </w:rPr>
        <w:t>如本附注五、</w:t>
      </w:r>
      <w:r>
        <w:rPr>
          <w:rFonts w:ascii="Times New Roman" w:hAnsi="Times New Roman" w:eastAsia="等线" w:cs="Times New Roman"/>
          <w:sz w:val="18"/>
          <w:szCs w:val="18"/>
        </w:rPr>
        <w:t>39</w:t>
      </w:r>
      <w:r>
        <w:rPr>
          <w:rFonts w:ascii="Times New Roman" w:hAnsi="Times New Roman" w:cs="Times New Roman"/>
          <w:sz w:val="18"/>
          <w:szCs w:val="18"/>
        </w:rPr>
        <w:t>“收入”所述，本集团在收入确认方面涉及到如下重大的会计判断和估计：识别客户合同；估计因向客户转让商品而有权取得的对价的可收回性；识别合同中的履约义务；估计合同中存在的可变对价以及在相关不确定性消除时累计已确认收入极可能不会发生重大转回的金额；合同中是否存在重大融资成分；估计合同中单项履约义务的单独售价；确定履约义务是在某一时段内履行还是在某一时点履行；履约进度的确定，等等。</w:t>
      </w:r>
    </w:p>
    <w:p>
      <w:pPr>
        <w:pStyle w:val="8"/>
        <w:spacing w:before="0" w:beforeAutospacing="0" w:after="0" w:afterAutospacing="0" w:line="276" w:lineRule="auto"/>
        <w:ind w:firstLine="360"/>
        <w:rPr>
          <w:rFonts w:ascii="Times New Roman" w:hAnsi="Times New Roman" w:eastAsia="等线" w:cs="Times New Roman"/>
          <w:sz w:val="21"/>
          <w:szCs w:val="21"/>
        </w:rPr>
      </w:pPr>
      <w:r>
        <w:rPr>
          <w:rFonts w:ascii="Times New Roman" w:hAnsi="Times New Roman" w:cs="Times New Roman"/>
          <w:sz w:val="18"/>
          <w:szCs w:val="18"/>
        </w:rPr>
        <w:t>本集团主要依靠过去的经验和工作作出判断，这些重大判断和估计变更都可能对变更当期或以后期间的营业收入、营业成本，以及期间损益产生影响，且可能构成重大影响。</w:t>
      </w:r>
    </w:p>
    <w:p>
      <w:pPr>
        <w:pStyle w:val="8"/>
        <w:spacing w:before="0" w:beforeAutospacing="0" w:after="0" w:afterAutospacing="0" w:line="276" w:lineRule="auto"/>
        <w:ind w:firstLine="360"/>
        <w:rPr>
          <w:rFonts w:ascii="Times New Roman" w:hAnsi="Times New Roman" w:eastAsia="等线" w:cs="Times New Roman"/>
          <w:sz w:val="21"/>
          <w:szCs w:val="21"/>
        </w:rPr>
      </w:pPr>
      <w:r>
        <w:rPr>
          <w:rFonts w:ascii="Times New Roman" w:hAnsi="Times New Roman" w:cs="Times New Roman"/>
          <w:sz w:val="18"/>
          <w:szCs w:val="18"/>
        </w:rPr>
        <w:t>（</w:t>
      </w:r>
      <w:r>
        <w:rPr>
          <w:rFonts w:ascii="Times New Roman" w:hAnsi="Times New Roman" w:eastAsia="等线" w:cs="Times New Roman"/>
          <w:sz w:val="18"/>
          <w:szCs w:val="18"/>
        </w:rPr>
        <w:t>2</w:t>
      </w:r>
      <w:r>
        <w:rPr>
          <w:rFonts w:ascii="Times New Roman" w:hAnsi="Times New Roman" w:cs="Times New Roman"/>
          <w:sz w:val="18"/>
          <w:szCs w:val="18"/>
        </w:rPr>
        <w:t>）租赁</w:t>
      </w:r>
    </w:p>
    <w:p>
      <w:pPr>
        <w:pStyle w:val="8"/>
        <w:spacing w:before="0" w:beforeAutospacing="0" w:after="0" w:afterAutospacing="0" w:line="276" w:lineRule="auto"/>
        <w:ind w:firstLine="360"/>
        <w:rPr>
          <w:rFonts w:ascii="Times New Roman" w:hAnsi="Times New Roman" w:eastAsia="等线" w:cs="Times New Roman"/>
          <w:sz w:val="21"/>
          <w:szCs w:val="21"/>
        </w:rPr>
      </w:pPr>
      <w:bookmarkStart w:id="178" w:name="_Hlk86070671"/>
      <w:bookmarkEnd w:id="178"/>
      <w:r>
        <w:rPr>
          <w:rFonts w:hint="eastAsia"/>
          <w:sz w:val="18"/>
          <w:szCs w:val="18"/>
        </w:rPr>
        <w:t>①</w:t>
      </w:r>
      <w:r>
        <w:rPr>
          <w:rFonts w:ascii="Times New Roman" w:hAnsi="Times New Roman" w:cs="Times New Roman"/>
          <w:sz w:val="18"/>
          <w:szCs w:val="18"/>
        </w:rPr>
        <w:t>租赁的识别</w:t>
      </w:r>
    </w:p>
    <w:p>
      <w:pPr>
        <w:pStyle w:val="8"/>
        <w:spacing w:before="0" w:beforeAutospacing="0" w:after="0" w:afterAutospacing="0" w:line="276" w:lineRule="auto"/>
        <w:ind w:firstLine="360"/>
        <w:rPr>
          <w:rFonts w:ascii="Times New Roman" w:hAnsi="Times New Roman" w:eastAsia="等线" w:cs="Times New Roman"/>
          <w:sz w:val="21"/>
          <w:szCs w:val="21"/>
        </w:rPr>
      </w:pPr>
      <w:r>
        <w:rPr>
          <w:rFonts w:ascii="Times New Roman" w:hAnsi="Times New Roman" w:cs="Times New Roman"/>
          <w:sz w:val="18"/>
          <w:szCs w:val="18"/>
        </w:rPr>
        <w:t>本集团在识别一项合同是否为租赁或包含租赁时，需要评估是否存在一项已识别资产，且客户控制了该资产在一定期间内的使用权。在评估时，需要考虑资产的性质、实质性替换权以及客户是否有权获得因在该期间使用该资产所产生的几乎全部经济利益，并能够主导该资产的使用。</w:t>
      </w:r>
    </w:p>
    <w:p>
      <w:pPr>
        <w:pStyle w:val="8"/>
        <w:spacing w:before="0" w:beforeAutospacing="0" w:after="0" w:afterAutospacing="0" w:line="276" w:lineRule="auto"/>
        <w:ind w:firstLine="360"/>
        <w:rPr>
          <w:rFonts w:ascii="Times New Roman" w:hAnsi="Times New Roman" w:eastAsia="等线" w:cs="Times New Roman"/>
          <w:sz w:val="21"/>
          <w:szCs w:val="21"/>
        </w:rPr>
      </w:pPr>
      <w:r>
        <w:rPr>
          <w:rFonts w:hint="eastAsia"/>
          <w:sz w:val="18"/>
          <w:szCs w:val="18"/>
        </w:rPr>
        <w:t>②</w:t>
      </w:r>
      <w:r>
        <w:rPr>
          <w:rFonts w:ascii="Times New Roman" w:hAnsi="Times New Roman" w:cs="Times New Roman"/>
          <w:sz w:val="18"/>
          <w:szCs w:val="18"/>
        </w:rPr>
        <w:t>租赁的分类</w:t>
      </w:r>
    </w:p>
    <w:p>
      <w:pPr>
        <w:pStyle w:val="8"/>
        <w:spacing w:before="0" w:beforeAutospacing="0" w:after="0" w:afterAutospacing="0" w:line="276" w:lineRule="auto"/>
        <w:ind w:firstLine="360"/>
        <w:rPr>
          <w:rFonts w:ascii="Times New Roman" w:hAnsi="Times New Roman" w:eastAsia="等线" w:cs="Times New Roman"/>
          <w:sz w:val="21"/>
          <w:szCs w:val="21"/>
        </w:rPr>
      </w:pPr>
      <w:r>
        <w:rPr>
          <w:rFonts w:ascii="Times New Roman" w:hAnsi="Times New Roman" w:cs="Times New Roman"/>
          <w:sz w:val="18"/>
          <w:szCs w:val="18"/>
        </w:rPr>
        <w:t>本集团作为出租人时，将租赁分类为经营租赁和融资租赁。在进行分类时，管理层需要对是否已将与租出资产所有权有关的全部风险和报酬实质上转移给承租人作出分析和判断。</w:t>
      </w:r>
    </w:p>
    <w:p>
      <w:pPr>
        <w:pStyle w:val="8"/>
        <w:spacing w:before="0" w:beforeAutospacing="0" w:after="0" w:afterAutospacing="0" w:line="276" w:lineRule="auto"/>
        <w:ind w:firstLine="360"/>
        <w:rPr>
          <w:rFonts w:ascii="Times New Roman" w:hAnsi="Times New Roman" w:eastAsia="等线" w:cs="Times New Roman"/>
          <w:sz w:val="21"/>
          <w:szCs w:val="21"/>
        </w:rPr>
      </w:pPr>
      <w:r>
        <w:rPr>
          <w:rFonts w:hint="eastAsia"/>
          <w:sz w:val="18"/>
          <w:szCs w:val="18"/>
        </w:rPr>
        <w:t>③</w:t>
      </w:r>
      <w:r>
        <w:rPr>
          <w:rFonts w:ascii="Times New Roman" w:hAnsi="Times New Roman" w:cs="Times New Roman"/>
          <w:sz w:val="18"/>
          <w:szCs w:val="18"/>
        </w:rPr>
        <w:t>租赁负债</w:t>
      </w:r>
    </w:p>
    <w:p>
      <w:pPr>
        <w:pStyle w:val="8"/>
        <w:spacing w:before="0" w:beforeAutospacing="0" w:after="0" w:afterAutospacing="0" w:line="276" w:lineRule="auto"/>
        <w:ind w:firstLine="360"/>
        <w:rPr>
          <w:rFonts w:ascii="Times New Roman" w:hAnsi="Times New Roman" w:eastAsia="等线" w:cs="Times New Roman"/>
          <w:sz w:val="21"/>
          <w:szCs w:val="21"/>
        </w:rPr>
      </w:pPr>
      <w:r>
        <w:rPr>
          <w:rFonts w:ascii="Times New Roman" w:hAnsi="Times New Roman" w:cs="Times New Roman"/>
          <w:sz w:val="18"/>
          <w:szCs w:val="18"/>
        </w:rPr>
        <w:t>本集团作为承租人时，租赁负债按照租赁期开始日尚未支付的租赁付款额的现值进行初始计量。在计量租赁付款额的现值时，本集团对使用的折现率以及存在续租选择权或终止选择权的租赁合同的租赁期进行估计。在评估租赁期时，本集团综合考虑与本集团行使选择权带来经济利益的所有相关事实和情况，包括自租赁期开始日至选择权行使日之间的事实和情况的预期变化等。不同的判断及估计可能会影响租赁负债和使用权资产的确认，并将影响后续期间的损益。</w:t>
      </w:r>
    </w:p>
    <w:p>
      <w:pPr>
        <w:pStyle w:val="8"/>
        <w:spacing w:before="0" w:beforeAutospacing="0" w:after="0" w:afterAutospacing="0" w:line="276" w:lineRule="auto"/>
        <w:ind w:firstLine="360"/>
        <w:rPr>
          <w:rFonts w:ascii="Times New Roman" w:hAnsi="Times New Roman" w:eastAsia="等线" w:cs="Times New Roman"/>
          <w:sz w:val="21"/>
          <w:szCs w:val="21"/>
        </w:rPr>
      </w:pPr>
      <w:r>
        <w:rPr>
          <w:rFonts w:ascii="Times New Roman" w:hAnsi="Times New Roman" w:cs="Times New Roman"/>
          <w:sz w:val="18"/>
          <w:szCs w:val="18"/>
        </w:rPr>
        <w:t>（</w:t>
      </w:r>
      <w:r>
        <w:rPr>
          <w:rFonts w:ascii="Times New Roman" w:hAnsi="Times New Roman" w:eastAsia="等线" w:cs="Times New Roman"/>
          <w:sz w:val="18"/>
          <w:szCs w:val="18"/>
        </w:rPr>
        <w:t>3</w:t>
      </w:r>
      <w:r>
        <w:rPr>
          <w:rFonts w:ascii="Times New Roman" w:hAnsi="Times New Roman" w:cs="Times New Roman"/>
          <w:sz w:val="18"/>
          <w:szCs w:val="18"/>
        </w:rPr>
        <w:t>）金融资产减值</w:t>
      </w:r>
    </w:p>
    <w:p>
      <w:pPr>
        <w:pStyle w:val="8"/>
        <w:spacing w:before="0" w:beforeAutospacing="0" w:after="0" w:afterAutospacing="0" w:line="276" w:lineRule="auto"/>
        <w:ind w:firstLine="360"/>
        <w:rPr>
          <w:rFonts w:ascii="Times New Roman" w:hAnsi="Times New Roman" w:eastAsia="等线" w:cs="Times New Roman"/>
          <w:sz w:val="21"/>
          <w:szCs w:val="21"/>
        </w:rPr>
      </w:pPr>
      <w:bookmarkStart w:id="179" w:name="_Hlk86070720"/>
      <w:bookmarkEnd w:id="179"/>
      <w:r>
        <w:rPr>
          <w:rFonts w:ascii="Times New Roman" w:hAnsi="Times New Roman" w:cs="Times New Roman"/>
          <w:sz w:val="18"/>
          <w:szCs w:val="18"/>
        </w:rPr>
        <w:t>本集团采用预期信用损失模型对金融工具的减值进行评估，应用预期信用损失模型需要做出重大判断和估计，需考虑所有合理且有依据的信息，包括前瞻性信息。在做出该等判断和估计时，本集团根据历史数据结合经济政策、宏观经济指标、行业风险、外部市场环境、技术环境、客户情况的变化等因素推断债务人信用风险的预期变动。</w:t>
      </w:r>
    </w:p>
    <w:p>
      <w:pPr>
        <w:pStyle w:val="8"/>
        <w:spacing w:before="0" w:beforeAutospacing="0" w:after="0" w:afterAutospacing="0" w:line="276" w:lineRule="auto"/>
        <w:ind w:firstLine="360"/>
        <w:rPr>
          <w:rFonts w:ascii="Times New Roman" w:hAnsi="Times New Roman" w:eastAsia="等线" w:cs="Times New Roman"/>
          <w:sz w:val="21"/>
          <w:szCs w:val="21"/>
        </w:rPr>
      </w:pPr>
      <w:r>
        <w:rPr>
          <w:rFonts w:ascii="Times New Roman" w:hAnsi="Times New Roman" w:cs="Times New Roman"/>
          <w:sz w:val="18"/>
          <w:szCs w:val="18"/>
        </w:rPr>
        <w:t>（</w:t>
      </w:r>
      <w:r>
        <w:rPr>
          <w:rFonts w:ascii="Times New Roman" w:hAnsi="Times New Roman" w:eastAsia="等线" w:cs="Times New Roman"/>
          <w:sz w:val="18"/>
          <w:szCs w:val="18"/>
        </w:rPr>
        <w:t>4</w:t>
      </w:r>
      <w:r>
        <w:rPr>
          <w:rFonts w:ascii="Times New Roman" w:hAnsi="Times New Roman" w:cs="Times New Roman"/>
          <w:sz w:val="18"/>
          <w:szCs w:val="18"/>
        </w:rPr>
        <w:t>）存货跌价准备</w:t>
      </w:r>
    </w:p>
    <w:p>
      <w:pPr>
        <w:pStyle w:val="8"/>
        <w:spacing w:before="0" w:beforeAutospacing="0" w:after="0" w:afterAutospacing="0" w:line="276" w:lineRule="auto"/>
        <w:ind w:firstLine="360"/>
        <w:rPr>
          <w:rFonts w:ascii="Times New Roman" w:hAnsi="Times New Roman" w:eastAsia="等线" w:cs="Times New Roman"/>
          <w:sz w:val="21"/>
          <w:szCs w:val="21"/>
        </w:rPr>
      </w:pPr>
      <w:r>
        <w:rPr>
          <w:rFonts w:ascii="Times New Roman" w:hAnsi="Times New Roman" w:cs="Times New Roman"/>
          <w:sz w:val="18"/>
          <w:szCs w:val="18"/>
        </w:rPr>
        <w:t>本集团根据存货会计政策，按照成本与可变现净值孰低计量，对成本高于可变现净值及陈旧和滞销的存货，计提存货跌价准备。存货减值至可变现净值是基于评估存货的可售性及其可变现净值。鉴定存货减值要求管理层在取得确凿证据，并且考虑持有存货的目的、资产负债表日后事项的影响等因素的基础上作出判断和估计。实际的结果与原先估计的差异将在估计被改变的期间影响存货的账面价值及存货跌价准备的计提或转回。</w:t>
      </w:r>
    </w:p>
    <w:p>
      <w:pPr>
        <w:pStyle w:val="8"/>
        <w:spacing w:before="0" w:beforeAutospacing="0" w:after="0" w:afterAutospacing="0" w:line="276" w:lineRule="auto"/>
        <w:ind w:firstLine="360"/>
        <w:rPr>
          <w:rFonts w:ascii="Times New Roman" w:hAnsi="Times New Roman" w:eastAsia="等线" w:cs="Times New Roman"/>
          <w:sz w:val="21"/>
          <w:szCs w:val="21"/>
        </w:rPr>
      </w:pPr>
      <w:r>
        <w:rPr>
          <w:rFonts w:ascii="Times New Roman" w:hAnsi="Times New Roman" w:cs="Times New Roman"/>
          <w:sz w:val="18"/>
          <w:szCs w:val="18"/>
        </w:rPr>
        <w:t>（</w:t>
      </w:r>
      <w:r>
        <w:rPr>
          <w:rFonts w:ascii="Times New Roman" w:hAnsi="Times New Roman" w:eastAsia="等线" w:cs="Times New Roman"/>
          <w:sz w:val="18"/>
          <w:szCs w:val="18"/>
        </w:rPr>
        <w:t>5</w:t>
      </w:r>
      <w:r>
        <w:rPr>
          <w:rFonts w:ascii="Times New Roman" w:hAnsi="Times New Roman" w:cs="Times New Roman"/>
          <w:sz w:val="18"/>
          <w:szCs w:val="18"/>
        </w:rPr>
        <w:t>）金融工具公允价值</w:t>
      </w:r>
    </w:p>
    <w:p>
      <w:pPr>
        <w:pStyle w:val="8"/>
        <w:spacing w:before="0" w:beforeAutospacing="0" w:after="0" w:afterAutospacing="0" w:line="276" w:lineRule="auto"/>
        <w:ind w:firstLine="360"/>
        <w:rPr>
          <w:rFonts w:ascii="Times New Roman" w:hAnsi="Times New Roman" w:eastAsia="等线" w:cs="Times New Roman"/>
          <w:sz w:val="21"/>
          <w:szCs w:val="21"/>
        </w:rPr>
      </w:pPr>
      <w:bookmarkStart w:id="180" w:name="_Hlk86070772"/>
      <w:bookmarkEnd w:id="180"/>
      <w:r>
        <w:rPr>
          <w:rFonts w:ascii="Times New Roman" w:hAnsi="Times New Roman" w:cs="Times New Roman"/>
          <w:sz w:val="18"/>
          <w:szCs w:val="18"/>
        </w:rPr>
        <w:t>对不存在活跃交易市场的金融工具，本集团通过各种估值方法确定其公允价值。这些估值方法包括贴现现金流模型分析等。估值时本集团需对未来现金流量、信用风险、市场波动率和相关性等方面进行估计，并选择适当的折现率。这些相关假设具有不确定性，其变化会对金融工具的公允价值产生影响。权益工具投资或合同有公开报价的，本集团不将成本作为其公允价值的最佳估计。</w:t>
      </w:r>
    </w:p>
    <w:p>
      <w:pPr>
        <w:pStyle w:val="8"/>
        <w:spacing w:before="0" w:beforeAutospacing="0" w:after="0" w:afterAutospacing="0" w:line="276" w:lineRule="auto"/>
        <w:ind w:firstLine="360"/>
        <w:rPr>
          <w:rFonts w:ascii="Times New Roman" w:hAnsi="Times New Roman" w:eastAsia="等线" w:cs="Times New Roman"/>
          <w:sz w:val="21"/>
          <w:szCs w:val="21"/>
        </w:rPr>
      </w:pPr>
      <w:r>
        <w:rPr>
          <w:rFonts w:ascii="Times New Roman" w:hAnsi="Times New Roman" w:cs="Times New Roman"/>
          <w:sz w:val="18"/>
          <w:szCs w:val="18"/>
        </w:rPr>
        <w:t>（</w:t>
      </w:r>
      <w:r>
        <w:rPr>
          <w:rFonts w:ascii="Times New Roman" w:hAnsi="Times New Roman" w:eastAsia="等线" w:cs="Times New Roman"/>
          <w:sz w:val="18"/>
          <w:szCs w:val="18"/>
        </w:rPr>
        <w:t>6</w:t>
      </w:r>
      <w:r>
        <w:rPr>
          <w:rFonts w:ascii="Times New Roman" w:hAnsi="Times New Roman" w:cs="Times New Roman"/>
          <w:sz w:val="18"/>
          <w:szCs w:val="18"/>
        </w:rPr>
        <w:t>）长期资产减值准备</w:t>
      </w:r>
    </w:p>
    <w:p>
      <w:pPr>
        <w:pStyle w:val="8"/>
        <w:spacing w:before="0" w:beforeAutospacing="0" w:after="0" w:afterAutospacing="0" w:line="276" w:lineRule="auto"/>
        <w:ind w:firstLine="360"/>
        <w:rPr>
          <w:rFonts w:ascii="Times New Roman" w:hAnsi="Times New Roman" w:eastAsia="等线" w:cs="Times New Roman"/>
          <w:sz w:val="21"/>
          <w:szCs w:val="21"/>
        </w:rPr>
      </w:pPr>
      <w:bookmarkStart w:id="181" w:name="_Hlk86070829"/>
      <w:bookmarkEnd w:id="181"/>
      <w:r>
        <w:rPr>
          <w:rFonts w:ascii="Times New Roman" w:hAnsi="Times New Roman" w:cs="Times New Roman"/>
          <w:sz w:val="18"/>
          <w:szCs w:val="18"/>
        </w:rPr>
        <w:t>本集团于资产负债表日对除金融资产之外的非流动资产判断是否存在可能发生减值的迹象。对使用寿命不确定的无形资产，除每年进行的减值测试外，当其存在减值迹象时，也进行减值测试。其他除金融资产之外的非流动资产，当存在迹象表明其账面金额不可收回时，进行减值测试。</w:t>
      </w:r>
    </w:p>
    <w:p>
      <w:pPr>
        <w:pStyle w:val="8"/>
        <w:spacing w:before="0" w:beforeAutospacing="0" w:after="0" w:afterAutospacing="0" w:line="276" w:lineRule="auto"/>
        <w:ind w:firstLine="360"/>
        <w:rPr>
          <w:rFonts w:ascii="Times New Roman" w:hAnsi="Times New Roman" w:eastAsia="等线" w:cs="Times New Roman"/>
          <w:sz w:val="21"/>
          <w:szCs w:val="21"/>
        </w:rPr>
      </w:pPr>
      <w:r>
        <w:rPr>
          <w:rFonts w:ascii="Times New Roman" w:hAnsi="Times New Roman" w:cs="Times New Roman"/>
          <w:sz w:val="18"/>
          <w:szCs w:val="18"/>
        </w:rPr>
        <w:t>当资产或资产组的账面价值高于可收回金额，即公允价值减去处置费用后的净额和预计未来现金流量的现值中的较高者，表明发生了减值。</w:t>
      </w:r>
    </w:p>
    <w:p>
      <w:pPr>
        <w:pStyle w:val="8"/>
        <w:spacing w:before="0" w:beforeAutospacing="0" w:after="0" w:afterAutospacing="0" w:line="276" w:lineRule="auto"/>
        <w:ind w:firstLine="360"/>
        <w:rPr>
          <w:rFonts w:ascii="Times New Roman" w:hAnsi="Times New Roman" w:eastAsia="等线" w:cs="Times New Roman"/>
          <w:sz w:val="21"/>
          <w:szCs w:val="21"/>
        </w:rPr>
      </w:pPr>
      <w:r>
        <w:rPr>
          <w:rFonts w:ascii="Times New Roman" w:hAnsi="Times New Roman" w:cs="Times New Roman"/>
          <w:sz w:val="18"/>
          <w:szCs w:val="18"/>
        </w:rPr>
        <w:t>公允价值减去处置费用后的净额，参考公平交易中类似资产的销售协议价格或可观察到的市场价格，减去可直接归属于该资产处置的增量成本确定。</w:t>
      </w:r>
    </w:p>
    <w:p>
      <w:pPr>
        <w:pStyle w:val="8"/>
        <w:spacing w:before="0" w:beforeAutospacing="0" w:after="0" w:afterAutospacing="0" w:line="276" w:lineRule="auto"/>
        <w:ind w:firstLine="360"/>
        <w:rPr>
          <w:rFonts w:ascii="Times New Roman" w:hAnsi="Times New Roman" w:eastAsia="等线" w:cs="Times New Roman"/>
          <w:sz w:val="21"/>
          <w:szCs w:val="21"/>
        </w:rPr>
      </w:pPr>
      <w:r>
        <w:rPr>
          <w:rFonts w:ascii="Times New Roman" w:hAnsi="Times New Roman" w:cs="Times New Roman"/>
          <w:sz w:val="18"/>
          <w:szCs w:val="18"/>
        </w:rPr>
        <w:t>在预计未来现金流量现值时，需要对该资产（或资产组）的产量、售价、相关经营成本以及计算现值时使用的折现率等作出重大判断。本集团在估计可收回金额时会采用所有能够获得的相关资料，包括根据合理和可支持的假设所作出有关产量、售价和相关经营成本的预测。</w:t>
      </w:r>
    </w:p>
    <w:p>
      <w:pPr>
        <w:pStyle w:val="8"/>
        <w:spacing w:before="0" w:beforeAutospacing="0" w:after="0" w:afterAutospacing="0" w:line="276" w:lineRule="auto"/>
        <w:ind w:firstLine="360"/>
        <w:rPr>
          <w:rFonts w:ascii="Times New Roman" w:hAnsi="Times New Roman" w:eastAsia="等线" w:cs="Times New Roman"/>
          <w:sz w:val="21"/>
          <w:szCs w:val="21"/>
        </w:rPr>
      </w:pPr>
      <w:r>
        <w:rPr>
          <w:rFonts w:ascii="Times New Roman" w:hAnsi="Times New Roman" w:cs="Times New Roman"/>
          <w:sz w:val="18"/>
          <w:szCs w:val="18"/>
        </w:rPr>
        <w:t>本集团至少每年测试商誉是否发生减值。这要求对分配了商誉的资产组或者资产组组合的未来现金流量的现值进行预计。对未来现金流量的现值进行预计时，本集团需要预计未来资产组或者资产组组合产生的现金流量，同时选择恰当的折现率确定未来现金流量的现值。</w:t>
      </w:r>
    </w:p>
    <w:p>
      <w:pPr>
        <w:pStyle w:val="8"/>
        <w:spacing w:before="0" w:beforeAutospacing="0" w:after="0" w:afterAutospacing="0" w:line="276" w:lineRule="auto"/>
        <w:ind w:firstLine="360"/>
        <w:rPr>
          <w:rFonts w:ascii="Times New Roman" w:hAnsi="Times New Roman" w:eastAsia="等线" w:cs="Times New Roman"/>
          <w:sz w:val="21"/>
          <w:szCs w:val="21"/>
        </w:rPr>
      </w:pPr>
      <w:r>
        <w:rPr>
          <w:rFonts w:ascii="Times New Roman" w:hAnsi="Times New Roman" w:cs="Times New Roman"/>
          <w:sz w:val="18"/>
          <w:szCs w:val="18"/>
        </w:rPr>
        <w:t>（</w:t>
      </w:r>
      <w:r>
        <w:rPr>
          <w:rFonts w:ascii="Times New Roman" w:hAnsi="Times New Roman" w:eastAsia="等线" w:cs="Times New Roman"/>
          <w:sz w:val="18"/>
          <w:szCs w:val="18"/>
        </w:rPr>
        <w:t>7</w:t>
      </w:r>
      <w:r>
        <w:rPr>
          <w:rFonts w:ascii="Times New Roman" w:hAnsi="Times New Roman" w:cs="Times New Roman"/>
          <w:sz w:val="18"/>
          <w:szCs w:val="18"/>
        </w:rPr>
        <w:t>）折旧和摊销</w:t>
      </w:r>
    </w:p>
    <w:p>
      <w:pPr>
        <w:pStyle w:val="8"/>
        <w:spacing w:before="0" w:beforeAutospacing="0" w:after="0" w:afterAutospacing="0" w:line="276" w:lineRule="auto"/>
        <w:ind w:firstLine="360"/>
        <w:rPr>
          <w:rFonts w:ascii="Times New Roman" w:hAnsi="Times New Roman" w:eastAsia="等线" w:cs="Times New Roman"/>
          <w:sz w:val="21"/>
          <w:szCs w:val="21"/>
        </w:rPr>
      </w:pPr>
      <w:r>
        <w:rPr>
          <w:rFonts w:ascii="Times New Roman" w:hAnsi="Times New Roman" w:cs="Times New Roman"/>
          <w:sz w:val="18"/>
          <w:szCs w:val="18"/>
        </w:rPr>
        <w:t>本集团对投资性房地产、固定资产和无形资产在考虑其残值后，在使用寿命内按直线法计提折旧和摊销。本集团定期复核使用寿命，以决定将计入每个报告期的折旧和摊销费用数额。使用寿命是本集团根据对同类资产的以往经验并结合预期的技术更新而确定的。如果以前的估计发生重大变化，则会在未来期间对折旧和摊销费用进行调整。</w:t>
      </w:r>
    </w:p>
    <w:p>
      <w:pPr>
        <w:pStyle w:val="8"/>
        <w:spacing w:before="0" w:beforeAutospacing="0" w:after="0" w:afterAutospacing="0" w:line="276" w:lineRule="auto"/>
        <w:ind w:firstLine="360"/>
        <w:rPr>
          <w:rFonts w:ascii="Times New Roman" w:hAnsi="Times New Roman" w:eastAsia="等线" w:cs="Times New Roman"/>
          <w:sz w:val="21"/>
          <w:szCs w:val="21"/>
        </w:rPr>
      </w:pPr>
      <w:r>
        <w:rPr>
          <w:rFonts w:ascii="Times New Roman" w:hAnsi="Times New Roman" w:cs="Times New Roman"/>
          <w:sz w:val="18"/>
          <w:szCs w:val="18"/>
        </w:rPr>
        <w:t>（</w:t>
      </w:r>
      <w:r>
        <w:rPr>
          <w:rFonts w:ascii="Times New Roman" w:hAnsi="Times New Roman" w:eastAsia="等线" w:cs="Times New Roman"/>
          <w:sz w:val="18"/>
          <w:szCs w:val="18"/>
        </w:rPr>
        <w:t>8</w:t>
      </w:r>
      <w:r>
        <w:rPr>
          <w:rFonts w:ascii="Times New Roman" w:hAnsi="Times New Roman" w:cs="Times New Roman"/>
          <w:sz w:val="18"/>
          <w:szCs w:val="18"/>
        </w:rPr>
        <w:t>）递延所得税资产</w:t>
      </w:r>
    </w:p>
    <w:p>
      <w:pPr>
        <w:pStyle w:val="8"/>
        <w:spacing w:before="0" w:beforeAutospacing="0" w:after="0" w:afterAutospacing="0" w:line="276" w:lineRule="auto"/>
        <w:ind w:firstLine="360"/>
        <w:rPr>
          <w:rFonts w:ascii="Times New Roman" w:hAnsi="Times New Roman" w:eastAsia="等线" w:cs="Times New Roman"/>
          <w:sz w:val="21"/>
          <w:szCs w:val="21"/>
        </w:rPr>
      </w:pPr>
      <w:r>
        <w:rPr>
          <w:rFonts w:ascii="Times New Roman" w:hAnsi="Times New Roman" w:cs="Times New Roman"/>
          <w:sz w:val="18"/>
          <w:szCs w:val="18"/>
        </w:rPr>
        <w:t>在很有可能有足够的应纳税利润来抵扣亏损的限度内，本集团就所有未利用的税务亏损确认递延所得税资产。这需要本集团管理层运用大量的判断来估计未来应纳税利润发生的时间和金额，结合纳税筹划策略，以决定应确认的递延所得税资产的金额。</w:t>
      </w:r>
    </w:p>
    <w:p>
      <w:pPr>
        <w:pStyle w:val="8"/>
        <w:spacing w:before="0" w:beforeAutospacing="0" w:after="0" w:afterAutospacing="0" w:line="276" w:lineRule="auto"/>
        <w:ind w:firstLine="360"/>
        <w:rPr>
          <w:rFonts w:ascii="Times New Roman" w:hAnsi="Times New Roman" w:eastAsia="等线" w:cs="Times New Roman"/>
          <w:sz w:val="21"/>
          <w:szCs w:val="21"/>
        </w:rPr>
      </w:pPr>
      <w:r>
        <w:rPr>
          <w:rFonts w:ascii="Times New Roman" w:hAnsi="Times New Roman" w:cs="Times New Roman"/>
          <w:sz w:val="18"/>
          <w:szCs w:val="18"/>
        </w:rPr>
        <w:t>（</w:t>
      </w:r>
      <w:r>
        <w:rPr>
          <w:rFonts w:ascii="Times New Roman" w:hAnsi="Times New Roman" w:eastAsia="等线" w:cs="Times New Roman"/>
          <w:sz w:val="18"/>
          <w:szCs w:val="18"/>
        </w:rPr>
        <w:t>9</w:t>
      </w:r>
      <w:r>
        <w:rPr>
          <w:rFonts w:ascii="Times New Roman" w:hAnsi="Times New Roman" w:cs="Times New Roman"/>
          <w:sz w:val="18"/>
          <w:szCs w:val="18"/>
        </w:rPr>
        <w:t>）所得税</w:t>
      </w:r>
    </w:p>
    <w:p>
      <w:pPr>
        <w:pStyle w:val="8"/>
        <w:spacing w:before="0" w:beforeAutospacing="0" w:after="0" w:afterAutospacing="0" w:line="276" w:lineRule="auto"/>
        <w:ind w:firstLine="360"/>
        <w:rPr>
          <w:rFonts w:ascii="Times New Roman" w:hAnsi="Times New Roman" w:eastAsia="等线" w:cs="Times New Roman"/>
          <w:sz w:val="21"/>
          <w:szCs w:val="21"/>
        </w:rPr>
      </w:pPr>
      <w:r>
        <w:rPr>
          <w:rFonts w:ascii="Times New Roman" w:hAnsi="Times New Roman" w:cs="Times New Roman"/>
          <w:sz w:val="18"/>
          <w:szCs w:val="18"/>
        </w:rPr>
        <w:t>本集团在正常的经营活动中，有部分交易其最终的税务处理和计算存在一定的不确定性。部分项目是否能够在税前列支需要税收主管机关的审批。如果这些税务事项的最终认定结果同最初估计的金额存在差异，则该差异将对其最终认定期间的当期所得税和递延所得税产生影响。</w:t>
      </w:r>
    </w:p>
    <w:p>
      <w:pPr>
        <w:pStyle w:val="8"/>
        <w:spacing w:before="0" w:beforeAutospacing="0" w:after="0" w:afterAutospacing="0" w:line="276" w:lineRule="auto"/>
        <w:ind w:firstLine="360"/>
        <w:rPr>
          <w:rFonts w:ascii="Times New Roman" w:hAnsi="Times New Roman" w:eastAsia="等线" w:cs="Times New Roman"/>
          <w:sz w:val="21"/>
          <w:szCs w:val="21"/>
        </w:rPr>
      </w:pPr>
      <w:r>
        <w:rPr>
          <w:rFonts w:ascii="Times New Roman" w:hAnsi="Times New Roman" w:cs="Times New Roman"/>
          <w:sz w:val="18"/>
          <w:szCs w:val="18"/>
        </w:rPr>
        <w:t>（</w:t>
      </w:r>
      <w:r>
        <w:rPr>
          <w:rFonts w:ascii="Times New Roman" w:hAnsi="Times New Roman" w:eastAsia="等线" w:cs="Times New Roman"/>
          <w:sz w:val="18"/>
          <w:szCs w:val="18"/>
        </w:rPr>
        <w:t>10</w:t>
      </w:r>
      <w:r>
        <w:rPr>
          <w:rFonts w:ascii="Times New Roman" w:hAnsi="Times New Roman" w:cs="Times New Roman"/>
          <w:sz w:val="18"/>
          <w:szCs w:val="18"/>
        </w:rPr>
        <w:t>）公允价值计量</w:t>
      </w:r>
    </w:p>
    <w:p>
      <w:pPr>
        <w:pStyle w:val="8"/>
        <w:spacing w:before="0" w:beforeAutospacing="0" w:after="0" w:afterAutospacing="0" w:line="276" w:lineRule="auto"/>
        <w:ind w:firstLine="360"/>
        <w:rPr>
          <w:rFonts w:ascii="Times New Roman" w:hAnsi="Times New Roman" w:eastAsia="等线" w:cs="Times New Roman"/>
          <w:sz w:val="21"/>
          <w:szCs w:val="21"/>
        </w:rPr>
      </w:pPr>
      <w:r>
        <w:rPr>
          <w:rFonts w:ascii="Times New Roman" w:hAnsi="Times New Roman" w:cs="Times New Roman"/>
          <w:sz w:val="18"/>
          <w:szCs w:val="18"/>
        </w:rPr>
        <w:t>本集团的某些资产和负债在财务报表中按公允价值计量。</w:t>
      </w:r>
    </w:p>
    <w:p>
      <w:pPr>
        <w:pStyle w:val="8"/>
        <w:spacing w:before="0" w:beforeAutospacing="0" w:after="0" w:afterAutospacing="0" w:line="276" w:lineRule="auto"/>
        <w:ind w:firstLine="360"/>
        <w:rPr>
          <w:rFonts w:ascii="Times New Roman" w:hAnsi="Times New Roman" w:eastAsia="等线" w:cs="Times New Roman"/>
          <w:sz w:val="21"/>
          <w:szCs w:val="21"/>
        </w:rPr>
      </w:pPr>
      <w:r>
        <w:rPr>
          <w:rFonts w:ascii="Times New Roman" w:hAnsi="Times New Roman" w:cs="Times New Roman"/>
          <w:sz w:val="18"/>
          <w:szCs w:val="18"/>
        </w:rPr>
        <w:t>公允价值，是指市场参与者在计量日发生的有序交易中，出售一项资产所能收到或者转移一项负债所需支付的价格。本集团以公允价值计量相关资产或负债，考虑该资产或负债的特征；假定市场参与者在计量日出售资产或者转移负债的交易，是在当前市场条件下的有序交易；假定出售资产或者转移负债的有序交易在相关资产或负债的主要市场进行；不存在主要市场的，假定该交易在相关资产或负债的最有利市场进行。</w:t>
      </w:r>
    </w:p>
    <w:p>
      <w:pPr>
        <w:pStyle w:val="8"/>
        <w:spacing w:before="0" w:beforeAutospacing="0" w:after="0" w:afterAutospacing="0" w:line="276" w:lineRule="auto"/>
        <w:ind w:firstLine="360"/>
        <w:rPr>
          <w:rFonts w:ascii="Times New Roman" w:hAnsi="Times New Roman" w:eastAsia="等线" w:cs="Times New Roman"/>
          <w:sz w:val="21"/>
          <w:szCs w:val="21"/>
        </w:rPr>
      </w:pPr>
      <w:r>
        <w:rPr>
          <w:rFonts w:ascii="Times New Roman" w:hAnsi="Times New Roman" w:cs="Times New Roman"/>
          <w:sz w:val="18"/>
          <w:szCs w:val="18"/>
        </w:rPr>
        <w:t>本集团采用市场参与者在对该资产或负债定价时为实现其经济利益最大化所使用的假设。</w:t>
      </w:r>
    </w:p>
    <w:p>
      <w:pPr>
        <w:pStyle w:val="8"/>
        <w:spacing w:before="0" w:beforeAutospacing="0" w:after="0" w:afterAutospacing="0" w:line="276" w:lineRule="auto"/>
        <w:ind w:firstLine="360"/>
        <w:rPr>
          <w:rFonts w:ascii="Times New Roman" w:hAnsi="Times New Roman" w:eastAsia="等线" w:cs="Times New Roman"/>
          <w:sz w:val="21"/>
          <w:szCs w:val="21"/>
        </w:rPr>
      </w:pPr>
      <w:r>
        <w:rPr>
          <w:rFonts w:ascii="Times New Roman" w:hAnsi="Times New Roman" w:cs="Times New Roman"/>
          <w:sz w:val="18"/>
          <w:szCs w:val="18"/>
        </w:rPr>
        <w:t>本集团根据交易性质和相关资产或负债的特征等，判断初始确认时的公允价值是否与其交易价格相等；交易价格与公允价值不相等的，将相关利得或损失计入当期损益，但相关会计准则另有规定的除外。</w:t>
      </w:r>
    </w:p>
    <w:p>
      <w:pPr>
        <w:pStyle w:val="8"/>
        <w:spacing w:before="0" w:beforeAutospacing="0" w:after="0" w:afterAutospacing="0" w:line="276" w:lineRule="auto"/>
        <w:ind w:firstLine="360"/>
        <w:rPr>
          <w:rFonts w:ascii="Times New Roman" w:hAnsi="Times New Roman" w:eastAsia="等线" w:cs="Times New Roman"/>
          <w:sz w:val="21"/>
          <w:szCs w:val="21"/>
        </w:rPr>
      </w:pPr>
      <w:r>
        <w:rPr>
          <w:rFonts w:ascii="Times New Roman" w:hAnsi="Times New Roman" w:cs="Times New Roman"/>
          <w:sz w:val="18"/>
          <w:szCs w:val="18"/>
        </w:rPr>
        <w:t>本集团采用在当前情况下适用并且有足够可利用数据和其他信息支持的估值技术，使用的估值技术主要包括市场法、收益法和成本法。在估值技术的应用中，优先使用相关可观察输入值，只有在相关可观察输入值无法取得或取得不切实可行的情况下，才可以使用不可观察输入值。</w:t>
      </w:r>
    </w:p>
    <w:p>
      <w:pPr>
        <w:pStyle w:val="8"/>
        <w:spacing w:before="0" w:beforeAutospacing="0" w:after="0" w:afterAutospacing="0" w:line="276" w:lineRule="auto"/>
        <w:ind w:firstLine="360"/>
        <w:rPr>
          <w:rFonts w:ascii="Times New Roman" w:hAnsi="Times New Roman" w:eastAsia="等线" w:cs="Times New Roman"/>
          <w:sz w:val="21"/>
          <w:szCs w:val="21"/>
        </w:rPr>
      </w:pPr>
      <w:r>
        <w:rPr>
          <w:rFonts w:ascii="Times New Roman" w:hAnsi="Times New Roman" w:cs="Times New Roman"/>
          <w:sz w:val="18"/>
          <w:szCs w:val="18"/>
        </w:rPr>
        <w:t>本集团公允价值计量所使用的输入值划分为三个层次，并首先使用第一层次输入值，其次使用第二层次输入值，最后使用第三层次输入值。第一层次输入值是在计量日能够取得的相同资产或负债在活跃市场上未经调整的报价；第二层次输入值是除第一层次输入值外相关资产或负债直接或间接可观察的输入值；第三层次输入值是相关资产或负债的不可观察输入值。</w:t>
      </w:r>
    </w:p>
    <w:p>
      <w:pPr>
        <w:pStyle w:val="8"/>
        <w:spacing w:before="0" w:beforeAutospacing="0" w:after="0" w:afterAutospacing="0" w:line="276" w:lineRule="auto"/>
        <w:ind w:firstLine="360"/>
        <w:rPr>
          <w:rFonts w:ascii="Times New Roman" w:hAnsi="Times New Roman" w:eastAsia="等线" w:cs="Times New Roman"/>
          <w:sz w:val="21"/>
          <w:szCs w:val="21"/>
        </w:rPr>
      </w:pPr>
      <w:r>
        <w:rPr>
          <w:rFonts w:ascii="Times New Roman" w:hAnsi="Times New Roman" w:cs="Times New Roman"/>
          <w:sz w:val="18"/>
          <w:szCs w:val="18"/>
        </w:rPr>
        <w:t>本集团以公允价值计量非金融资产，考虑市场参与者将该资产用于最佳用途产生经济利益的能力，或者将该资产出售给能够用于最佳用途的其他市场参与者产生经济利益的能力。以公允价值计量负债，假定在计量日将该负债转移给其他市场参与者，而且该负债在转移后继续存在，并由作为受让方的市场参与者履行义务。以公允价值计量自身权益工具，假定在计量日将该自身权益工具转移给其他市场参与者，而且该自身权益工具在转移后继续存在，并由作为受让方的市场参与者取得与该工具相关的权利、承担相应的义务。</w:t>
      </w:r>
    </w:p>
    <w:p>
      <w:pPr>
        <w:pStyle w:val="8"/>
        <w:spacing w:before="0" w:beforeAutospacing="0" w:after="0" w:afterAutospacing="0" w:line="276" w:lineRule="auto"/>
        <w:ind w:firstLine="360"/>
        <w:rPr>
          <w:rFonts w:ascii="Times New Roman" w:hAnsi="Times New Roman" w:eastAsia="等线" w:cs="Times New Roman"/>
          <w:sz w:val="21"/>
          <w:szCs w:val="21"/>
        </w:rPr>
      </w:pPr>
      <w:r>
        <w:rPr>
          <w:rFonts w:ascii="Times New Roman" w:hAnsi="Times New Roman" w:cs="Times New Roman"/>
          <w:sz w:val="18"/>
          <w:szCs w:val="18"/>
        </w:rPr>
        <w:t>本集团以市场风险和信用风险的净敞口为基础管理金融资产和金融负债的，以计量日市场参与者在当前市场条件下有序交易中出售净多头（即资产）或者转移净空头（即负债）的价格为基础，计量该金融资产和金融负债组合的公允价值。</w:t>
      </w:r>
    </w:p>
    <w:p>
      <w:pPr>
        <w:pStyle w:val="2"/>
        <w:spacing w:before="300" w:after="300" w:line="320" w:lineRule="exact"/>
        <w:rPr>
          <w:rFonts w:ascii="Times New Roman" w:hAnsi="Times New Roman" w:eastAsia="宋体" w:cs="Times New Roman"/>
          <w:b/>
          <w:bCs/>
          <w:sz w:val="24"/>
          <w:szCs w:val="24"/>
        </w:rPr>
      </w:pPr>
      <w:bookmarkStart w:id="182" w:name="_Toc989067"/>
      <w:r>
        <w:rPr>
          <w:rFonts w:ascii="Times New Roman" w:hAnsi="Times New Roman" w:eastAsia="宋体" w:cs="Times New Roman"/>
          <w:b/>
          <w:bCs/>
          <w:sz w:val="24"/>
          <w:szCs w:val="24"/>
        </w:rPr>
        <w:t>六、税项</w:t>
      </w:r>
      <w:bookmarkEnd w:id="182"/>
    </w:p>
    <w:p>
      <w:pPr>
        <w:pStyle w:val="3"/>
        <w:spacing w:line="280" w:lineRule="exact"/>
        <w:jc w:val="left"/>
        <w:rPr>
          <w:rFonts w:ascii="Times New Roman" w:hAnsi="Times New Roman" w:cs="Times New Roman"/>
          <w:b/>
          <w:bCs/>
        </w:rPr>
      </w:pPr>
      <w:bookmarkStart w:id="183" w:name="_Toc989068"/>
      <w:r>
        <w:rPr>
          <w:rFonts w:ascii="Times New Roman" w:hAnsi="Times New Roman" w:cs="Times New Roman"/>
          <w:b/>
          <w:bCs/>
        </w:rPr>
        <w:t>1、主要税种及税率</w:t>
      </w:r>
      <w:bookmarkEnd w:id="183"/>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税种</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计税依据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税率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增值税</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销售货物或提供应税劳务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应税收入按相应的税率计算销项税，并按扣除当期允许抵扣的进项税额后的差额计缴增值税：</w:t>
            </w:r>
          </w:p>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生猪养殖及符合条件的饲料生产、技术开发、技术咨询、技术转让及技术服务免征增值税；部分鲜活肉蛋产品免征流通环节增值税；从中央或地方财政取得的利息补贴收入和价差补贴收入免征增值税；初加工产品执行9%税率；深加工产品执行13%税率；利息收入执行6%税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消费税</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应纳流转税额</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城市维护建设税</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应纳流转税额</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按实际缴纳的流转税的7%、5%计缴。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企业所得税</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应纳流转税额</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详见下表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教育费附加</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应纳流转税额</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按实际缴纳的流转税的3%计缴。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地方教育附加</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应纳流转税额</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按实际缴纳的流转税的2%计缴。</w:t>
            </w:r>
          </w:p>
        </w:tc>
      </w:tr>
    </w:tbl>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存在不同企业所得税税率纳税主体的，披露情况说明</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1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纳税主体名称</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所得税税率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山东龙大美食股份有限公司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自产肉类初加工产品项目所得，免征企业所得税，深加工产品等其他项目所得税率为 25%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烟台龙大养殖有限公司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从事牲畜、家禽的饲养项目所得税，免征企业所得税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烟台龙大饲料有限公司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河南龙大牧原肉食品有限公司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自产肉类初加工产品项目所得，免征企业所得税，深加工产品等其他项目所得税率为 25%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聊城龙大肉食品有限公司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自产肉类初加工产品项目所得，免征企业所得税，深加工产品等其他项目所得税率为 25%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烟台杰科检测服务有限公司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小型微利企业所得税率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莒南龙大肉食品有限公司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自产肉类初加工产品项目所得，免征企业所得税，深加工产品等其他项目所得税率为 25%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蓬莱富龙肉食品有限公司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自产肉类初加工产品项目所得，免征企业所得税，深加工产品等其他项目所得税率为 25%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北京快厨帮科技有限公司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小型微利企业所得税率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山东龙大生猪产品工程技术研究有限公司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小型微利企业所得税率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莱阳龙瑞食品有限公司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泰麟食品（烟台） 有限责任公司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四川龙炸餐饮管理有限公司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小型微利企业所得税率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青岛中和盛杰食品有限公司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青岛新胜锦食品商贸有限公司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小型微利企业所得税率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乳山中和盛杰食品有限公司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小型微利企业所得税率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潍坊振祥食品有限公司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自产肉类初加工产品项目所得，免征企业所得税，深加工产品等其他项目所得税率为 25%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云南福照食品有限公司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自产肉类初加工产品项目所得，免征企业所得税，深加工产品等其他项目所得税率为 25%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香港龙大发展有限公司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企业首 200 万港元的利润利得税税率 8.25%，其后的利润 16.5%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山东龙大美食贸易有限公司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黑龙江龙大养殖有限公司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从事牲畜、家禽的饲养项目所得税，免征企业所得税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安丘龙大养殖有限公司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从事牲畜、家禽的饲养项目所得税，免征企业所得税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莱阳龙大养殖有限公司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从事牲畜、家禽的饲养项目所得税，免征企业所得税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莱州龙大养殖有限公司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从事牲畜、家禽的饲养项目所得税，免征企业所得税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乳山龙大养殖有限公司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从事牲畜、家禽的饲养项目所得税，免征企业所得税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青岛龙大管理咨询服务有限公司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小型微利企业所得税率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江苏龙大沁侬食品有限公司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自产肉类初加工产品项目所得，免征企业所得税，深加工产品等其他项目所得税率为 25%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通辽金泉食品有限责任公司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自产肉类初加工产品项目所得，免征企业所得税，深加工产品等其他项目所得税率为 25%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湖北龙大肉食品有限公司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自产肉类初加工产品项目所得 ，免征企业所得税，深加工产品等其他项目所得税率为 25%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成都龙大肉食品有限公司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自产肉类初加工产品项目所得，免征企业所得税，深加工产品等其他项目所得税率为 25%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黑龙江龙大肉食品有限公司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自产肉类初加工产品项目所得，免征企业所得税，深加工产品等其他项目所得税率为 25%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海南龙大美食有限责任公司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符合海南省自贸区鼓励类行业，主营业务达到百分之六十 以上，享受企业所得税 15%的优惠税率。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巴中龙大肉食品有限公司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自产肉类初加工产品项目所得，免征企业所得税， 深加工产品等其他项目所得税率为 25%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山东龙鲜生供应链管理有限公司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小型微利企业所得税率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青岛龙大鲜生供应链有限公司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小型微利企业所得税率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四川龙鲜活供应链管理有限公司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小型微利企业所得税率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潍坊振祥食品销售有限公司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小型微利企业所得税率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成都逸享潮代供应链管理有限公司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北京晓食探科技有限公司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小型微利企业所得税率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龙大美食（北京）食品科技有限公司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龙大美食（上海）食品科技有限公司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25%</w:t>
            </w:r>
          </w:p>
        </w:tc>
      </w:tr>
    </w:tbl>
    <w:p>
      <w:pPr>
        <w:pStyle w:val="3"/>
        <w:spacing w:line="280" w:lineRule="exact"/>
        <w:jc w:val="left"/>
        <w:rPr>
          <w:rFonts w:ascii="Times New Roman" w:hAnsi="Times New Roman" w:cs="Times New Roman"/>
          <w:b/>
          <w:bCs/>
        </w:rPr>
      </w:pPr>
      <w:bookmarkStart w:id="184" w:name="_Toc989069"/>
      <w:r>
        <w:rPr>
          <w:rFonts w:ascii="Times New Roman" w:hAnsi="Times New Roman" w:cs="Times New Roman"/>
          <w:b/>
          <w:bCs/>
        </w:rPr>
        <w:t>2、税收优惠</w:t>
      </w:r>
      <w:bookmarkEnd w:id="184"/>
    </w:p>
    <w:p>
      <w:pPr>
        <w:pStyle w:val="8"/>
        <w:spacing w:before="58" w:beforeAutospacing="0" w:after="0" w:afterAutospacing="0" w:line="276" w:lineRule="auto"/>
        <w:ind w:left="402"/>
        <w:textAlignment w:val="baseline"/>
        <w:rPr>
          <w:rFonts w:ascii="Times New Roman" w:hAnsi="Times New Roman" w:cs="Times New Roman"/>
          <w:color w:val="000000"/>
          <w:sz w:val="21"/>
          <w:szCs w:val="21"/>
        </w:rPr>
      </w:pPr>
      <w:r>
        <w:rPr>
          <w:rFonts w:ascii="Times New Roman" w:hAnsi="Times New Roman" w:cs="Times New Roman"/>
          <w:color w:val="000000"/>
          <w:spacing w:val="-1"/>
          <w:sz w:val="18"/>
          <w:szCs w:val="18"/>
        </w:rPr>
        <w:t>（1）企业所得税优惠</w:t>
      </w:r>
    </w:p>
    <w:p>
      <w:pPr>
        <w:pStyle w:val="8"/>
        <w:spacing w:before="0" w:beforeAutospacing="0" w:after="0" w:afterAutospacing="0" w:line="276" w:lineRule="auto"/>
        <w:ind w:left="395"/>
        <w:textAlignment w:val="baseline"/>
        <w:rPr>
          <w:rFonts w:ascii="Times New Roman" w:hAnsi="Times New Roman" w:cs="Times New Roman"/>
          <w:color w:val="000000"/>
          <w:sz w:val="21"/>
          <w:szCs w:val="21"/>
        </w:rPr>
      </w:pPr>
      <w:r>
        <w:rPr>
          <w:rFonts w:hint="eastAsia"/>
          <w:color w:val="000000"/>
          <w:spacing w:val="-1"/>
          <w:sz w:val="18"/>
          <w:szCs w:val="18"/>
        </w:rPr>
        <w:t>①</w:t>
      </w:r>
      <w:r>
        <w:rPr>
          <w:rFonts w:ascii="Times New Roman" w:hAnsi="Times New Roman" w:cs="Times New Roman"/>
          <w:color w:val="000000"/>
          <w:spacing w:val="-1"/>
          <w:sz w:val="18"/>
          <w:szCs w:val="18"/>
        </w:rPr>
        <w:t>初级农产品加工</w:t>
      </w:r>
    </w:p>
    <w:p>
      <w:pPr>
        <w:pStyle w:val="8"/>
        <w:spacing w:before="0" w:beforeAutospacing="0" w:after="0" w:afterAutospacing="0" w:line="276" w:lineRule="auto"/>
        <w:ind w:firstLine="348" w:firstLineChars="200"/>
        <w:textAlignment w:val="baseline"/>
        <w:rPr>
          <w:rFonts w:ascii="Times New Roman" w:hAnsi="Times New Roman" w:cs="Times New Roman"/>
          <w:color w:val="000000"/>
          <w:sz w:val="21"/>
          <w:szCs w:val="21"/>
        </w:rPr>
      </w:pPr>
      <w:r>
        <w:rPr>
          <w:rFonts w:ascii="Times New Roman" w:hAnsi="Times New Roman" w:cs="Times New Roman"/>
          <w:color w:val="000000"/>
          <w:spacing w:val="-3"/>
          <w:sz w:val="18"/>
          <w:szCs w:val="18"/>
        </w:rPr>
        <w:t>根据《中华人民共和国企业所得税法》及其实施条例、2008 年11 月20</w:t>
      </w:r>
      <w:r>
        <w:rPr>
          <w:rFonts w:ascii="Times New Roman" w:hAnsi="Times New Roman" w:cs="Times New Roman"/>
          <w:color w:val="000000"/>
          <w:spacing w:val="32"/>
          <w:sz w:val="18"/>
          <w:szCs w:val="18"/>
        </w:rPr>
        <w:t> </w:t>
      </w:r>
      <w:r>
        <w:rPr>
          <w:rFonts w:ascii="Times New Roman" w:hAnsi="Times New Roman" w:cs="Times New Roman"/>
          <w:color w:val="000000"/>
          <w:spacing w:val="-3"/>
          <w:sz w:val="18"/>
          <w:szCs w:val="18"/>
        </w:rPr>
        <w:t>日《财政部国家税务总局关于发布享受企业所得</w:t>
      </w:r>
      <w:r>
        <w:rPr>
          <w:rFonts w:ascii="Times New Roman" w:hAnsi="Times New Roman" w:cs="Times New Roman"/>
          <w:color w:val="000000"/>
          <w:spacing w:val="-2"/>
          <w:sz w:val="18"/>
          <w:szCs w:val="18"/>
        </w:rPr>
        <w:t>税优惠政策的农产品初加工范围（试行）的通知》（财税〔20</w:t>
      </w:r>
      <w:r>
        <w:rPr>
          <w:rFonts w:ascii="Times New Roman" w:hAnsi="Times New Roman" w:cs="Times New Roman"/>
          <w:color w:val="000000"/>
          <w:spacing w:val="-3"/>
          <w:sz w:val="18"/>
          <w:szCs w:val="18"/>
        </w:rPr>
        <w:t>08〕149 号</w:t>
      </w:r>
      <w:r>
        <w:rPr>
          <w:rFonts w:ascii="Times New Roman" w:hAnsi="Times New Roman" w:cs="Times New Roman"/>
          <w:color w:val="000000"/>
          <w:spacing w:val="-27"/>
          <w:sz w:val="18"/>
          <w:szCs w:val="18"/>
        </w:rPr>
        <w:t>），</w:t>
      </w:r>
      <w:r>
        <w:rPr>
          <w:rFonts w:ascii="Times New Roman" w:hAnsi="Times New Roman" w:cs="Times New Roman"/>
          <w:color w:val="000000"/>
          <w:spacing w:val="-3"/>
          <w:sz w:val="18"/>
          <w:szCs w:val="18"/>
        </w:rPr>
        <w:t>报告期内本公司及下属子公司从事肉类初加工（冷鲜肉、冷冻肉）所实现的利润，免征企业所得税。</w:t>
      </w:r>
    </w:p>
    <w:p>
      <w:pPr>
        <w:pStyle w:val="8"/>
        <w:spacing w:before="143" w:beforeAutospacing="0" w:after="0" w:afterAutospacing="0" w:line="276" w:lineRule="auto"/>
        <w:ind w:left="394"/>
        <w:textAlignment w:val="baseline"/>
        <w:rPr>
          <w:rFonts w:ascii="Times New Roman" w:hAnsi="Times New Roman" w:cs="Times New Roman"/>
          <w:color w:val="000000"/>
          <w:sz w:val="21"/>
          <w:szCs w:val="21"/>
        </w:rPr>
      </w:pPr>
      <w:r>
        <w:rPr>
          <w:rFonts w:hint="eastAsia"/>
          <w:color w:val="000000"/>
          <w:spacing w:val="-1"/>
          <w:sz w:val="18"/>
          <w:szCs w:val="18"/>
        </w:rPr>
        <w:t>②</w:t>
      </w:r>
      <w:r>
        <w:rPr>
          <w:rFonts w:ascii="Times New Roman" w:hAnsi="Times New Roman" w:cs="Times New Roman"/>
          <w:color w:val="000000"/>
          <w:spacing w:val="-1"/>
          <w:sz w:val="18"/>
          <w:szCs w:val="18"/>
        </w:rPr>
        <w:t>牲畜、家禽的饲养</w:t>
      </w:r>
    </w:p>
    <w:p>
      <w:pPr>
        <w:pStyle w:val="8"/>
        <w:spacing w:before="0" w:beforeAutospacing="0" w:after="0" w:afterAutospacing="0" w:line="276" w:lineRule="auto"/>
        <w:ind w:firstLine="360" w:firstLineChars="200"/>
        <w:textAlignment w:val="baseline"/>
        <w:rPr>
          <w:rFonts w:ascii="Times New Roman" w:hAnsi="Times New Roman" w:cs="Times New Roman"/>
          <w:color w:val="000000"/>
          <w:sz w:val="21"/>
          <w:szCs w:val="21"/>
        </w:rPr>
      </w:pPr>
      <w:r>
        <w:rPr>
          <w:rFonts w:ascii="Times New Roman" w:hAnsi="Times New Roman" w:cs="Times New Roman"/>
          <w:color w:val="000000"/>
          <w:sz w:val="18"/>
          <w:szCs w:val="18"/>
        </w:rPr>
        <w:t>根据《中华人民共和国企业所得税法》及其实施条例第八十六条的规定，报告期内本公司下属子公司从事</w:t>
      </w:r>
      <w:r>
        <w:rPr>
          <w:rFonts w:ascii="Times New Roman" w:hAnsi="Times New Roman" w:cs="Times New Roman"/>
          <w:color w:val="000000"/>
          <w:spacing w:val="-1"/>
          <w:sz w:val="18"/>
          <w:szCs w:val="18"/>
        </w:rPr>
        <w:t>生猪饲养项目的所得，免征企业所得税。</w:t>
      </w:r>
    </w:p>
    <w:p>
      <w:pPr>
        <w:pStyle w:val="8"/>
        <w:spacing w:before="156" w:beforeLines="50" w:beforeAutospacing="0" w:after="0" w:afterAutospacing="0" w:line="276" w:lineRule="auto"/>
        <w:ind w:firstLine="356" w:firstLineChars="200"/>
        <w:textAlignment w:val="baseline"/>
        <w:rPr>
          <w:color w:val="000000"/>
          <w:spacing w:val="-1"/>
          <w:sz w:val="18"/>
          <w:szCs w:val="18"/>
        </w:rPr>
      </w:pPr>
      <w:r>
        <w:rPr>
          <w:rFonts w:ascii="Times New Roman" w:hAnsi="Times New Roman" w:cs="Times New Roman"/>
          <w:color w:val="000000"/>
          <w:spacing w:val="-1"/>
          <w:sz w:val="18"/>
          <w:szCs w:val="18"/>
        </w:rPr>
        <w:t> </w:t>
      </w:r>
      <w:r>
        <w:rPr>
          <w:rFonts w:hint="eastAsia"/>
          <w:color w:val="000000"/>
          <w:spacing w:val="-1"/>
          <w:sz w:val="18"/>
          <w:szCs w:val="18"/>
        </w:rPr>
        <w:t>③</w:t>
      </w:r>
      <w:r>
        <w:rPr>
          <w:color w:val="000000"/>
          <w:spacing w:val="-1"/>
          <w:sz w:val="18"/>
          <w:szCs w:val="18"/>
        </w:rPr>
        <w:t>小微企业</w:t>
      </w:r>
    </w:p>
    <w:p>
      <w:pPr>
        <w:pStyle w:val="8"/>
        <w:spacing w:before="0" w:beforeAutospacing="0" w:after="0" w:afterAutospacing="0" w:line="276" w:lineRule="auto"/>
        <w:textAlignment w:val="baseline"/>
        <w:rPr>
          <w:rFonts w:ascii="Times New Roman" w:hAnsi="Times New Roman" w:cs="Times New Roman"/>
          <w:color w:val="000000"/>
          <w:spacing w:val="-2"/>
          <w:sz w:val="18"/>
          <w:szCs w:val="18"/>
        </w:rPr>
      </w:pPr>
      <w:r>
        <w:rPr>
          <w:rFonts w:ascii="Times New Roman" w:hAnsi="Times New Roman" w:cs="Times New Roman"/>
          <w:color w:val="000000"/>
          <w:spacing w:val="-2"/>
          <w:sz w:val="18"/>
          <w:szCs w:val="18"/>
        </w:rPr>
        <w:t>根据《财政部 税务总局关于进一步支持小微企业和个体工商户发展有关税费政策的公告》（2023 年第 12 号），对小型微利企业减按25%计算应纳税所得额，按20%的税率缴纳企业所得税政策，延续执行至2027年12月31日。</w:t>
      </w:r>
    </w:p>
    <w:p>
      <w:pPr>
        <w:pStyle w:val="8"/>
        <w:spacing w:before="0" w:beforeAutospacing="0" w:after="0" w:afterAutospacing="0" w:line="276" w:lineRule="auto"/>
        <w:textAlignment w:val="baseline"/>
        <w:rPr>
          <w:rFonts w:ascii="Times New Roman" w:hAnsi="Times New Roman" w:cs="Times New Roman"/>
          <w:color w:val="000000"/>
          <w:spacing w:val="-2"/>
          <w:sz w:val="18"/>
          <w:szCs w:val="18"/>
        </w:rPr>
      </w:pPr>
    </w:p>
    <w:p>
      <w:pPr>
        <w:pStyle w:val="8"/>
        <w:spacing w:before="0" w:beforeAutospacing="0" w:after="0" w:afterAutospacing="0" w:line="276" w:lineRule="auto"/>
        <w:textAlignment w:val="baseline"/>
        <w:rPr>
          <w:rFonts w:ascii="Times New Roman" w:hAnsi="Times New Roman" w:cs="Times New Roman"/>
          <w:color w:val="000000"/>
          <w:sz w:val="21"/>
          <w:szCs w:val="21"/>
        </w:rPr>
      </w:pPr>
    </w:p>
    <w:p>
      <w:pPr>
        <w:pStyle w:val="8"/>
        <w:spacing w:after="0" w:afterAutospacing="0" w:line="276" w:lineRule="auto"/>
        <w:ind w:left="391"/>
        <w:textAlignment w:val="baseline"/>
        <w:rPr>
          <w:rFonts w:ascii="Times New Roman" w:hAnsi="Times New Roman" w:cs="Times New Roman"/>
          <w:color w:val="000000"/>
          <w:sz w:val="21"/>
          <w:szCs w:val="21"/>
        </w:rPr>
      </w:pPr>
      <w:r>
        <w:rPr>
          <w:rFonts w:hint="eastAsia"/>
          <w:color w:val="000000"/>
          <w:spacing w:val="-1"/>
          <w:sz w:val="18"/>
          <w:szCs w:val="18"/>
        </w:rPr>
        <w:t>④</w:t>
      </w:r>
      <w:r>
        <w:rPr>
          <w:rFonts w:ascii="Times New Roman" w:hAnsi="Times New Roman" w:cs="Times New Roman"/>
          <w:color w:val="000000"/>
          <w:spacing w:val="-1"/>
          <w:sz w:val="18"/>
          <w:szCs w:val="18"/>
        </w:rPr>
        <w:t>高新技术企业</w:t>
      </w:r>
    </w:p>
    <w:p>
      <w:pPr>
        <w:pStyle w:val="8"/>
        <w:spacing w:before="0" w:beforeAutospacing="0" w:after="0" w:afterAutospacing="0" w:line="276" w:lineRule="auto"/>
        <w:ind w:left="40" w:right="102" w:firstLine="352"/>
        <w:textAlignment w:val="baseline"/>
        <w:rPr>
          <w:rFonts w:ascii="Times New Roman" w:hAnsi="Times New Roman" w:cs="Times New Roman"/>
          <w:color w:val="000000"/>
          <w:sz w:val="18"/>
          <w:szCs w:val="18"/>
        </w:rPr>
      </w:pPr>
      <w:r>
        <w:rPr>
          <w:rFonts w:ascii="Times New Roman" w:hAnsi="Times New Roman" w:cs="Times New Roman"/>
          <w:color w:val="000000"/>
          <w:sz w:val="18"/>
          <w:szCs w:val="18"/>
        </w:rPr>
        <w:t>2022 年 12 月 12 日本公司之子公司烟台杰科检测服务有限公司取得由山东省科学技术厅、山东省财政厅、国家税务总局山东省税务局批准的“GR202237001965”号《高新技术企业证书》，有效期为三年，2022 年1 月 1 日至 2024 年12 月31日烟台杰科检测服务有限公司适用的所得税率为 15%。</w:t>
      </w:r>
    </w:p>
    <w:p>
      <w:pPr>
        <w:pStyle w:val="8"/>
        <w:spacing w:before="144" w:beforeAutospacing="0" w:after="0" w:afterAutospacing="0" w:line="276" w:lineRule="auto"/>
        <w:ind w:left="394"/>
        <w:textAlignment w:val="baseline"/>
        <w:rPr>
          <w:rFonts w:ascii="Times New Roman" w:hAnsi="Times New Roman" w:cs="Times New Roman"/>
          <w:color w:val="000000"/>
          <w:sz w:val="21"/>
          <w:szCs w:val="21"/>
        </w:rPr>
      </w:pPr>
      <w:r>
        <w:rPr>
          <w:rFonts w:hint="eastAsia"/>
          <w:color w:val="000000"/>
          <w:sz w:val="18"/>
          <w:szCs w:val="18"/>
        </w:rPr>
        <w:t>⑤</w:t>
      </w:r>
      <w:r>
        <w:rPr>
          <w:rFonts w:ascii="Times New Roman" w:hAnsi="Times New Roman" w:cs="Times New Roman"/>
          <w:color w:val="000000"/>
          <w:sz w:val="18"/>
          <w:szCs w:val="18"/>
        </w:rPr>
        <w:t>海南自由贸易港(“海南自贸港”)企业所得税优惠政策</w:t>
      </w:r>
    </w:p>
    <w:p>
      <w:pPr>
        <w:pStyle w:val="8"/>
        <w:spacing w:before="151" w:beforeAutospacing="0" w:after="0" w:afterAutospacing="0" w:line="276" w:lineRule="auto"/>
        <w:ind w:left="32" w:right="86" w:firstLine="363"/>
        <w:textAlignment w:val="baseline"/>
        <w:rPr>
          <w:rFonts w:ascii="Times New Roman" w:hAnsi="Times New Roman" w:cs="Times New Roman"/>
          <w:color w:val="000000"/>
          <w:sz w:val="21"/>
          <w:szCs w:val="21"/>
        </w:rPr>
      </w:pPr>
      <w:r>
        <w:rPr>
          <w:rFonts w:ascii="Times New Roman" w:hAnsi="Times New Roman" w:cs="Times New Roman"/>
          <w:color w:val="000000"/>
          <w:spacing w:val="-2"/>
          <w:sz w:val="18"/>
          <w:szCs w:val="18"/>
        </w:rPr>
        <w:t>根据《财政部税务总局关于海南自由贸易港企业所得税优惠政策的通知》(财税〔2</w:t>
      </w:r>
      <w:r>
        <w:rPr>
          <w:rFonts w:ascii="Times New Roman" w:hAnsi="Times New Roman" w:cs="Times New Roman"/>
          <w:color w:val="000000"/>
          <w:spacing w:val="-3"/>
          <w:sz w:val="18"/>
          <w:szCs w:val="18"/>
        </w:rPr>
        <w:t>020〕31 号)，自 2020 年1 月1日至</w:t>
      </w:r>
      <w:r>
        <w:rPr>
          <w:rFonts w:ascii="Times New Roman" w:hAnsi="Times New Roman" w:cs="Times New Roman"/>
          <w:color w:val="000000"/>
          <w:sz w:val="18"/>
          <w:szCs w:val="18"/>
        </w:rPr>
        <w:t> </w:t>
      </w:r>
      <w:r>
        <w:rPr>
          <w:rFonts w:ascii="Times New Roman" w:hAnsi="Times New Roman" w:cs="Times New Roman"/>
          <w:color w:val="000000"/>
          <w:spacing w:val="-2"/>
          <w:sz w:val="18"/>
          <w:szCs w:val="18"/>
        </w:rPr>
        <w:t>2024 年12 月31</w:t>
      </w:r>
      <w:r>
        <w:rPr>
          <w:rFonts w:ascii="Times New Roman" w:hAnsi="Times New Roman" w:cs="Times New Roman"/>
          <w:color w:val="000000"/>
          <w:spacing w:val="32"/>
          <w:sz w:val="18"/>
          <w:szCs w:val="18"/>
        </w:rPr>
        <w:t> </w:t>
      </w:r>
      <w:r>
        <w:rPr>
          <w:rFonts w:ascii="Times New Roman" w:hAnsi="Times New Roman" w:cs="Times New Roman"/>
          <w:color w:val="000000"/>
          <w:spacing w:val="-2"/>
          <w:sz w:val="18"/>
          <w:szCs w:val="18"/>
        </w:rPr>
        <w:t>日，对注册在海南自贸港并实质性运营的鼓励类产业企业减按</w:t>
      </w:r>
      <w:r>
        <w:rPr>
          <w:rFonts w:ascii="Times New Roman" w:hAnsi="Times New Roman" w:cs="Times New Roman"/>
          <w:color w:val="000000"/>
          <w:spacing w:val="-24"/>
          <w:sz w:val="18"/>
          <w:szCs w:val="18"/>
        </w:rPr>
        <w:t> </w:t>
      </w:r>
      <w:r>
        <w:rPr>
          <w:rFonts w:ascii="Times New Roman" w:hAnsi="Times New Roman" w:cs="Times New Roman"/>
          <w:color w:val="000000"/>
          <w:spacing w:val="-2"/>
          <w:sz w:val="18"/>
          <w:szCs w:val="18"/>
        </w:rPr>
        <w:t>15%的税率征收企业所得税。上述鼓励类产</w:t>
      </w:r>
      <w:r>
        <w:rPr>
          <w:rFonts w:ascii="Times New Roman" w:hAnsi="Times New Roman" w:cs="Times New Roman"/>
          <w:color w:val="000000"/>
          <w:sz w:val="18"/>
          <w:szCs w:val="18"/>
        </w:rPr>
        <w:t> </w:t>
      </w:r>
      <w:r>
        <w:rPr>
          <w:rFonts w:ascii="Times New Roman" w:hAnsi="Times New Roman" w:cs="Times New Roman"/>
          <w:color w:val="000000"/>
          <w:spacing w:val="-3"/>
          <w:sz w:val="18"/>
          <w:szCs w:val="18"/>
        </w:rPr>
        <w:t>业企业是指以《产业结构调整指导目录(2019 年本)》、《鼓励外商投资产业目录(2019 年版)》和</w:t>
      </w:r>
      <w:r>
        <w:rPr>
          <w:rFonts w:ascii="Times New Roman" w:hAnsi="Times New Roman" w:cs="Times New Roman"/>
          <w:color w:val="000000"/>
          <w:spacing w:val="-4"/>
          <w:sz w:val="18"/>
          <w:szCs w:val="18"/>
        </w:rPr>
        <w:t>海南自由贸易港新增鼓励类</w:t>
      </w:r>
      <w:r>
        <w:rPr>
          <w:rFonts w:ascii="Times New Roman" w:hAnsi="Times New Roman" w:cs="Times New Roman"/>
          <w:color w:val="000000"/>
          <w:spacing w:val="-1"/>
          <w:sz w:val="18"/>
          <w:szCs w:val="18"/>
        </w:rPr>
        <w:t>产业目录中规定的产业项目为主营业务，且其主营业务收入占企业收入总</w:t>
      </w:r>
      <w:r>
        <w:rPr>
          <w:rFonts w:ascii="Times New Roman" w:hAnsi="Times New Roman" w:cs="Times New Roman"/>
          <w:color w:val="000000"/>
          <w:spacing w:val="-2"/>
          <w:sz w:val="18"/>
          <w:szCs w:val="18"/>
        </w:rPr>
        <w:t>额</w:t>
      </w:r>
      <w:r>
        <w:rPr>
          <w:rFonts w:ascii="Times New Roman" w:hAnsi="Times New Roman" w:cs="Times New Roman"/>
          <w:color w:val="000000"/>
          <w:spacing w:val="-38"/>
          <w:sz w:val="18"/>
          <w:szCs w:val="18"/>
        </w:rPr>
        <w:t> </w:t>
      </w:r>
      <w:r>
        <w:rPr>
          <w:rFonts w:ascii="Times New Roman" w:hAnsi="Times New Roman" w:cs="Times New Roman"/>
          <w:color w:val="000000"/>
          <w:spacing w:val="-2"/>
          <w:sz w:val="18"/>
          <w:szCs w:val="18"/>
        </w:rPr>
        <w:t>60%以上的企业。运营公司海南分公司符合于</w:t>
      </w:r>
      <w:r>
        <w:rPr>
          <w:rFonts w:ascii="Times New Roman" w:hAnsi="Times New Roman" w:cs="Times New Roman"/>
          <w:color w:val="000000"/>
          <w:sz w:val="18"/>
          <w:szCs w:val="18"/>
        </w:rPr>
        <w:t>海南自贸港注册并实际运营，以国家规定的鼓励类产业项目为主营业务，且预计满足当年主营业务收入占企业</w:t>
      </w:r>
      <w:r>
        <w:rPr>
          <w:rFonts w:ascii="Times New Roman" w:hAnsi="Times New Roman" w:cs="Times New Roman"/>
          <w:color w:val="000000"/>
          <w:spacing w:val="-1"/>
          <w:sz w:val="18"/>
          <w:szCs w:val="18"/>
        </w:rPr>
        <w:t>总收入的</w:t>
      </w:r>
      <w:r>
        <w:rPr>
          <w:rFonts w:ascii="Times New Roman" w:hAnsi="Times New Roman" w:cs="Times New Roman"/>
          <w:color w:val="000000"/>
          <w:spacing w:val="-4"/>
          <w:sz w:val="18"/>
          <w:szCs w:val="18"/>
        </w:rPr>
        <w:t>60%以上的条件，</w:t>
      </w:r>
      <w:r>
        <w:rPr>
          <w:rFonts w:ascii="Times New Roman" w:hAnsi="Times New Roman" w:cs="Times New Roman"/>
          <w:color w:val="000000"/>
          <w:spacing w:val="-23"/>
          <w:sz w:val="18"/>
          <w:szCs w:val="18"/>
        </w:rPr>
        <w:t> </w:t>
      </w:r>
      <w:r>
        <w:rPr>
          <w:rFonts w:ascii="Times New Roman" w:hAnsi="Times New Roman" w:cs="Times New Roman"/>
          <w:color w:val="000000"/>
          <w:spacing w:val="-4"/>
          <w:sz w:val="18"/>
          <w:szCs w:val="18"/>
        </w:rPr>
        <w:t>适用海南自贸港税收优惠</w:t>
      </w:r>
      <w:r>
        <w:rPr>
          <w:rFonts w:ascii="Times New Roman" w:hAnsi="Times New Roman" w:cs="Times New Roman"/>
          <w:color w:val="000000"/>
          <w:spacing w:val="-5"/>
          <w:sz w:val="18"/>
          <w:szCs w:val="18"/>
        </w:rPr>
        <w:t>政策，适用于15%的所得税税率。</w:t>
      </w:r>
    </w:p>
    <w:p>
      <w:pPr>
        <w:pStyle w:val="8"/>
        <w:spacing w:before="139" w:beforeAutospacing="0" w:after="0" w:afterAutospacing="0" w:line="276" w:lineRule="auto"/>
        <w:ind w:left="402"/>
        <w:textAlignment w:val="baseline"/>
        <w:rPr>
          <w:rFonts w:ascii="Times New Roman" w:hAnsi="Times New Roman" w:cs="Times New Roman"/>
          <w:color w:val="000000"/>
          <w:sz w:val="21"/>
          <w:szCs w:val="21"/>
        </w:rPr>
      </w:pPr>
      <w:r>
        <w:rPr>
          <w:rFonts w:ascii="Times New Roman" w:hAnsi="Times New Roman" w:cs="Times New Roman"/>
          <w:color w:val="000000"/>
          <w:spacing w:val="-1"/>
          <w:sz w:val="18"/>
          <w:szCs w:val="18"/>
        </w:rPr>
        <w:t>（2）增值税优惠</w:t>
      </w:r>
    </w:p>
    <w:p>
      <w:pPr>
        <w:pStyle w:val="8"/>
        <w:spacing w:before="143" w:beforeAutospacing="0" w:after="0" w:afterAutospacing="0" w:line="276" w:lineRule="auto"/>
        <w:ind w:left="395"/>
        <w:textAlignment w:val="baseline"/>
        <w:rPr>
          <w:rFonts w:ascii="Times New Roman" w:hAnsi="Times New Roman" w:cs="Times New Roman"/>
          <w:color w:val="000000"/>
          <w:sz w:val="21"/>
          <w:szCs w:val="21"/>
        </w:rPr>
      </w:pPr>
      <w:r>
        <w:rPr>
          <w:rFonts w:hint="eastAsia"/>
          <w:color w:val="000000"/>
          <w:spacing w:val="-1"/>
          <w:sz w:val="18"/>
          <w:szCs w:val="18"/>
        </w:rPr>
        <w:t>①</w:t>
      </w:r>
      <w:r>
        <w:rPr>
          <w:rFonts w:ascii="Times New Roman" w:hAnsi="Times New Roman" w:cs="Times New Roman"/>
          <w:color w:val="000000"/>
          <w:spacing w:val="-1"/>
          <w:sz w:val="18"/>
          <w:szCs w:val="18"/>
        </w:rPr>
        <w:t>农业生产者销售自产农产品</w:t>
      </w:r>
    </w:p>
    <w:p>
      <w:pPr>
        <w:pStyle w:val="8"/>
        <w:spacing w:before="146" w:beforeAutospacing="0" w:after="0" w:afterAutospacing="0" w:line="276" w:lineRule="auto"/>
        <w:ind w:left="36" w:right="52" w:firstLine="359"/>
        <w:textAlignment w:val="baseline"/>
        <w:rPr>
          <w:rFonts w:ascii="Times New Roman" w:hAnsi="Times New Roman" w:cs="Times New Roman"/>
          <w:color w:val="000000"/>
          <w:sz w:val="21"/>
          <w:szCs w:val="21"/>
        </w:rPr>
      </w:pPr>
      <w:r>
        <w:rPr>
          <w:rFonts w:ascii="Times New Roman" w:hAnsi="Times New Roman" w:cs="Times New Roman"/>
          <w:color w:val="000000"/>
          <w:spacing w:val="-2"/>
          <w:sz w:val="18"/>
          <w:szCs w:val="18"/>
        </w:rPr>
        <w:t>根据《中华人民共和国增值税暂行条例》（中华人民共和国国务院令第</w:t>
      </w:r>
      <w:r>
        <w:rPr>
          <w:rFonts w:ascii="Times New Roman" w:hAnsi="Times New Roman" w:cs="Times New Roman"/>
          <w:color w:val="000000"/>
          <w:spacing w:val="-36"/>
          <w:sz w:val="18"/>
          <w:szCs w:val="18"/>
        </w:rPr>
        <w:t> </w:t>
      </w:r>
      <w:r>
        <w:rPr>
          <w:rFonts w:ascii="Times New Roman" w:hAnsi="Times New Roman" w:cs="Times New Roman"/>
          <w:color w:val="000000"/>
          <w:spacing w:val="-2"/>
          <w:sz w:val="18"/>
          <w:szCs w:val="18"/>
        </w:rPr>
        <w:t>538 号）第十五条第（</w:t>
      </w:r>
      <w:r>
        <w:rPr>
          <w:rFonts w:ascii="Times New Roman" w:hAnsi="Times New Roman" w:cs="Times New Roman"/>
          <w:color w:val="000000"/>
          <w:spacing w:val="-3"/>
          <w:sz w:val="18"/>
          <w:szCs w:val="18"/>
        </w:rPr>
        <w:t>一）项规定，农业生产者</w:t>
      </w:r>
      <w:r>
        <w:rPr>
          <w:rFonts w:ascii="Times New Roman" w:hAnsi="Times New Roman" w:cs="Times New Roman"/>
          <w:color w:val="000000"/>
          <w:sz w:val="18"/>
          <w:szCs w:val="18"/>
        </w:rPr>
        <w:t>销售自产农产品免征增值税，报告期内本公司下属子公司烟台龙大养殖有限公司、安丘龙大养殖有限公司、莱</w:t>
      </w:r>
      <w:r>
        <w:rPr>
          <w:rFonts w:ascii="Times New Roman" w:hAnsi="Times New Roman" w:cs="Times New Roman"/>
          <w:color w:val="000000"/>
          <w:spacing w:val="-1"/>
          <w:sz w:val="18"/>
          <w:szCs w:val="18"/>
        </w:rPr>
        <w:t>阳龙大养殖</w:t>
      </w:r>
      <w:r>
        <w:rPr>
          <w:rFonts w:ascii="Times New Roman" w:hAnsi="Times New Roman" w:cs="Times New Roman"/>
          <w:color w:val="000000"/>
          <w:spacing w:val="-3"/>
          <w:sz w:val="18"/>
          <w:szCs w:val="18"/>
        </w:rPr>
        <w:t>有限公司、莱州龙大养殖有限公司销售自产生猪，免征增值税。</w:t>
      </w:r>
    </w:p>
    <w:p>
      <w:pPr>
        <w:pStyle w:val="8"/>
        <w:spacing w:before="144" w:beforeAutospacing="0" w:after="0" w:afterAutospacing="0" w:line="276" w:lineRule="auto"/>
        <w:ind w:left="394"/>
        <w:textAlignment w:val="baseline"/>
        <w:rPr>
          <w:rFonts w:ascii="Times New Roman" w:hAnsi="Times New Roman" w:cs="Times New Roman"/>
          <w:color w:val="000000"/>
          <w:sz w:val="21"/>
          <w:szCs w:val="21"/>
        </w:rPr>
      </w:pPr>
      <w:r>
        <w:rPr>
          <w:rFonts w:hint="eastAsia"/>
          <w:color w:val="000000"/>
          <w:spacing w:val="-1"/>
          <w:sz w:val="18"/>
          <w:szCs w:val="18"/>
        </w:rPr>
        <w:t>②</w:t>
      </w:r>
      <w:r>
        <w:rPr>
          <w:rFonts w:ascii="Times New Roman" w:hAnsi="Times New Roman" w:cs="Times New Roman"/>
          <w:color w:val="000000"/>
          <w:spacing w:val="-1"/>
          <w:sz w:val="18"/>
          <w:szCs w:val="18"/>
        </w:rPr>
        <w:t>符合条件的饲料产品</w:t>
      </w:r>
    </w:p>
    <w:p>
      <w:pPr>
        <w:pStyle w:val="8"/>
        <w:spacing w:before="146" w:beforeAutospacing="0" w:after="0" w:afterAutospacing="0" w:line="276" w:lineRule="auto"/>
        <w:ind w:left="395"/>
        <w:textAlignment w:val="baseline"/>
        <w:rPr>
          <w:rFonts w:ascii="Times New Roman" w:hAnsi="Times New Roman" w:cs="Times New Roman"/>
          <w:color w:val="000000"/>
          <w:sz w:val="21"/>
          <w:szCs w:val="21"/>
        </w:rPr>
      </w:pPr>
      <w:r>
        <w:rPr>
          <w:rFonts w:ascii="Times New Roman" w:hAnsi="Times New Roman" w:cs="Times New Roman"/>
          <w:color w:val="000000"/>
          <w:spacing w:val="-3"/>
          <w:sz w:val="18"/>
          <w:szCs w:val="18"/>
        </w:rPr>
        <w:t>根据《财政部国家税务总局关于饲料产品免征增值税问题的通知》（财税〔2001〕121 号）规定，报告期内本</w:t>
      </w:r>
      <w:r>
        <w:rPr>
          <w:rFonts w:ascii="Times New Roman" w:hAnsi="Times New Roman" w:cs="Times New Roman"/>
          <w:color w:val="000000"/>
          <w:spacing w:val="-4"/>
          <w:sz w:val="18"/>
          <w:szCs w:val="18"/>
        </w:rPr>
        <w:t>公司下属子</w:t>
      </w:r>
      <w:r>
        <w:rPr>
          <w:rFonts w:ascii="Times New Roman" w:hAnsi="Times New Roman" w:cs="Times New Roman"/>
          <w:color w:val="000000"/>
          <w:spacing w:val="-1"/>
          <w:sz w:val="18"/>
          <w:szCs w:val="18"/>
        </w:rPr>
        <w:t>公司烟台龙大饲料有限公司生产销售符合条件的饲料产品，免征增值税。</w:t>
      </w:r>
    </w:p>
    <w:p>
      <w:pPr>
        <w:pStyle w:val="8"/>
        <w:spacing w:before="146" w:beforeAutospacing="0" w:after="0" w:afterAutospacing="0" w:line="276" w:lineRule="auto"/>
        <w:ind w:left="395"/>
        <w:textAlignment w:val="baseline"/>
        <w:rPr>
          <w:rFonts w:ascii="Times New Roman" w:hAnsi="Times New Roman" w:cs="Times New Roman"/>
          <w:color w:val="000000"/>
          <w:sz w:val="21"/>
          <w:szCs w:val="21"/>
        </w:rPr>
      </w:pPr>
      <w:r>
        <w:rPr>
          <w:rFonts w:hint="eastAsia"/>
          <w:color w:val="000000"/>
          <w:spacing w:val="-1"/>
          <w:sz w:val="18"/>
          <w:szCs w:val="18"/>
        </w:rPr>
        <w:t>③</w:t>
      </w:r>
      <w:r>
        <w:rPr>
          <w:rFonts w:ascii="Times New Roman" w:hAnsi="Times New Roman" w:cs="Times New Roman"/>
          <w:color w:val="000000"/>
          <w:spacing w:val="-1"/>
          <w:sz w:val="18"/>
          <w:szCs w:val="18"/>
        </w:rPr>
        <w:t>流通环节的鲜活肉蛋产品</w:t>
      </w:r>
    </w:p>
    <w:p>
      <w:pPr>
        <w:pStyle w:val="8"/>
        <w:spacing w:before="146" w:beforeAutospacing="0" w:after="0" w:afterAutospacing="0" w:line="276" w:lineRule="auto"/>
        <w:ind w:left="395"/>
        <w:textAlignment w:val="baseline"/>
        <w:rPr>
          <w:rFonts w:ascii="Times New Roman" w:hAnsi="Times New Roman" w:cs="Times New Roman"/>
          <w:color w:val="000000"/>
          <w:sz w:val="21"/>
          <w:szCs w:val="21"/>
        </w:rPr>
      </w:pPr>
      <w:r>
        <w:rPr>
          <w:rFonts w:ascii="Times New Roman" w:hAnsi="Times New Roman" w:cs="Times New Roman"/>
          <w:color w:val="000000"/>
          <w:spacing w:val="-3"/>
          <w:sz w:val="18"/>
          <w:szCs w:val="18"/>
        </w:rPr>
        <w:t>根据《财政部国家税务总局关于免征部分鲜活肉蛋产品流通环节增值税政策的通知》（财税〔2012〕75 号）规定，报告</w:t>
      </w:r>
      <w:r>
        <w:rPr>
          <w:rFonts w:ascii="Times New Roman" w:hAnsi="Times New Roman" w:cs="Times New Roman"/>
          <w:color w:val="000000"/>
          <w:spacing w:val="-2"/>
          <w:sz w:val="18"/>
          <w:szCs w:val="18"/>
        </w:rPr>
        <w:t>期内本公司下属子公司青岛新胜锦食品商贸有限公司销售的鲜活肉产品，免</w:t>
      </w:r>
      <w:r>
        <w:rPr>
          <w:rFonts w:ascii="Times New Roman" w:hAnsi="Times New Roman" w:cs="Times New Roman"/>
          <w:color w:val="000000"/>
          <w:spacing w:val="-3"/>
          <w:sz w:val="18"/>
          <w:szCs w:val="18"/>
        </w:rPr>
        <w:t>征流通环节增值税。</w:t>
      </w:r>
    </w:p>
    <w:p>
      <w:pPr>
        <w:pStyle w:val="8"/>
        <w:spacing w:before="59" w:beforeAutospacing="0" w:after="0" w:afterAutospacing="0" w:line="276" w:lineRule="auto"/>
        <w:ind w:left="394"/>
        <w:textAlignment w:val="baseline"/>
        <w:rPr>
          <w:rFonts w:ascii="Times New Roman" w:hAnsi="Times New Roman" w:cs="Times New Roman"/>
          <w:color w:val="000000"/>
          <w:sz w:val="21"/>
          <w:szCs w:val="21"/>
        </w:rPr>
      </w:pPr>
      <w:r>
        <w:rPr>
          <w:rFonts w:hint="eastAsia"/>
          <w:color w:val="000000"/>
          <w:spacing w:val="-1"/>
          <w:sz w:val="18"/>
          <w:szCs w:val="18"/>
        </w:rPr>
        <w:t>④</w:t>
      </w:r>
      <w:r>
        <w:rPr>
          <w:rFonts w:ascii="Times New Roman" w:hAnsi="Times New Roman" w:cs="Times New Roman"/>
          <w:color w:val="000000"/>
          <w:spacing w:val="-1"/>
          <w:sz w:val="18"/>
          <w:szCs w:val="18"/>
        </w:rPr>
        <w:t>技术转让、技术开发等</w:t>
      </w:r>
    </w:p>
    <w:p>
      <w:pPr>
        <w:pStyle w:val="8"/>
        <w:spacing w:before="145" w:beforeAutospacing="0" w:after="0" w:afterAutospacing="0" w:line="276" w:lineRule="auto"/>
        <w:ind w:left="36" w:right="208" w:firstLine="359"/>
        <w:textAlignment w:val="baseline"/>
        <w:rPr>
          <w:rFonts w:ascii="Times New Roman" w:hAnsi="Times New Roman" w:cs="Times New Roman"/>
          <w:color w:val="000000"/>
          <w:sz w:val="21"/>
          <w:szCs w:val="21"/>
        </w:rPr>
      </w:pPr>
      <w:r>
        <w:rPr>
          <w:rFonts w:ascii="Times New Roman" w:hAnsi="Times New Roman" w:cs="Times New Roman"/>
          <w:color w:val="000000"/>
          <w:spacing w:val="-3"/>
          <w:sz w:val="18"/>
          <w:szCs w:val="18"/>
        </w:rPr>
        <w:t>根据《财政部、国家税务总局关于全面推开营业税改征增值税试点的通知》（财税〔2016〕36 号）</w:t>
      </w:r>
      <w:r>
        <w:rPr>
          <w:rFonts w:ascii="Times New Roman" w:hAnsi="Times New Roman" w:cs="Times New Roman"/>
          <w:color w:val="000000"/>
          <w:spacing w:val="-26"/>
          <w:sz w:val="18"/>
          <w:szCs w:val="18"/>
        </w:rPr>
        <w:t> </w:t>
      </w:r>
      <w:r>
        <w:rPr>
          <w:rFonts w:ascii="Times New Roman" w:hAnsi="Times New Roman" w:cs="Times New Roman"/>
          <w:color w:val="000000"/>
          <w:spacing w:val="-3"/>
          <w:sz w:val="18"/>
          <w:szCs w:val="18"/>
        </w:rPr>
        <w:t>规定，纳税人提供</w:t>
      </w:r>
      <w:r>
        <w:rPr>
          <w:rFonts w:ascii="Times New Roman" w:hAnsi="Times New Roman" w:cs="Times New Roman"/>
          <w:color w:val="000000"/>
          <w:sz w:val="18"/>
          <w:szCs w:val="18"/>
        </w:rPr>
        <w:t>技术转让、技术开发和与之相关的技术咨询、技术服务免征增值税。报告期内本公司下属子公司山东龙大生猪</w:t>
      </w:r>
      <w:r>
        <w:rPr>
          <w:rFonts w:ascii="Times New Roman" w:hAnsi="Times New Roman" w:cs="Times New Roman"/>
          <w:color w:val="000000"/>
          <w:spacing w:val="-1"/>
          <w:sz w:val="18"/>
          <w:szCs w:val="18"/>
        </w:rPr>
        <w:t>产品工程技</w:t>
      </w:r>
      <w:r>
        <w:rPr>
          <w:rFonts w:ascii="Times New Roman" w:hAnsi="Times New Roman" w:cs="Times New Roman"/>
          <w:color w:val="000000"/>
          <w:sz w:val="18"/>
          <w:szCs w:val="18"/>
        </w:rPr>
        <w:t>术研究有限公司业务范围内的畜禽领域内的技术开发、技术咨询、技术转让及技术服务</w:t>
      </w:r>
      <w:r>
        <w:rPr>
          <w:rFonts w:ascii="Times New Roman" w:hAnsi="Times New Roman" w:cs="Times New Roman"/>
          <w:color w:val="000000"/>
          <w:spacing w:val="-1"/>
          <w:sz w:val="18"/>
          <w:szCs w:val="18"/>
        </w:rPr>
        <w:t>免征增值税。</w:t>
      </w:r>
    </w:p>
    <w:p>
      <w:pPr>
        <w:pStyle w:val="8"/>
        <w:spacing w:before="151" w:beforeAutospacing="0" w:after="0" w:afterAutospacing="0" w:line="367" w:lineRule="auto"/>
        <w:ind w:left="32" w:right="86" w:firstLine="363"/>
        <w:textAlignment w:val="baseline"/>
        <w:rPr>
          <w:rFonts w:ascii="Times New Roman" w:hAnsi="Times New Roman" w:cs="Times New Roman"/>
          <w:color w:val="000000"/>
          <w:sz w:val="21"/>
          <w:szCs w:val="21"/>
        </w:rPr>
      </w:pPr>
      <w:r>
        <w:rPr>
          <w:rFonts w:ascii="Times New Roman" w:hAnsi="Times New Roman" w:cs="Times New Roman"/>
          <w:color w:val="000000"/>
          <w:sz w:val="21"/>
          <w:szCs w:val="21"/>
        </w:rPr>
        <w:t> </w:t>
      </w:r>
    </w:p>
    <w:p>
      <w:pPr>
        <w:pStyle w:val="3"/>
        <w:spacing w:line="280" w:lineRule="exact"/>
        <w:jc w:val="left"/>
        <w:rPr>
          <w:rFonts w:ascii="Times New Roman" w:hAnsi="Times New Roman" w:cs="Times New Roman"/>
          <w:b/>
          <w:bCs/>
        </w:rPr>
      </w:pPr>
      <w:bookmarkStart w:id="185" w:name="_Toc989070"/>
      <w:r>
        <w:rPr>
          <w:rFonts w:ascii="Times New Roman" w:hAnsi="Times New Roman" w:cs="Times New Roman"/>
          <w:b/>
          <w:bCs/>
        </w:rPr>
        <w:t>3、其他</w:t>
      </w:r>
      <w:bookmarkEnd w:id="185"/>
    </w:p>
    <w:p>
      <w:pPr>
        <w:pStyle w:val="8"/>
        <w:spacing w:before="58" w:beforeAutospacing="0" w:after="0" w:afterAutospacing="0" w:line="276" w:lineRule="auto"/>
        <w:ind w:left="50" w:right="178" w:firstLine="345"/>
        <w:jc w:val="both"/>
        <w:textAlignment w:val="baseline"/>
        <w:rPr>
          <w:rFonts w:ascii="Times New Roman" w:hAnsi="Times New Roman" w:cs="Times New Roman"/>
          <w:color w:val="000000"/>
          <w:sz w:val="21"/>
          <w:szCs w:val="21"/>
        </w:rPr>
      </w:pPr>
      <w:r>
        <w:rPr>
          <w:rFonts w:ascii="Times New Roman" w:hAnsi="Times New Roman" w:cs="Times New Roman"/>
          <w:color w:val="000000"/>
          <w:spacing w:val="-3"/>
          <w:sz w:val="18"/>
          <w:szCs w:val="18"/>
        </w:rPr>
        <w:t>根据《财政部税务总局关于设备、器具扣除有关企业所得税政策的通知》（财税〔201</w:t>
      </w:r>
      <w:r>
        <w:rPr>
          <w:rFonts w:ascii="Times New Roman" w:hAnsi="Times New Roman" w:cs="Times New Roman"/>
          <w:color w:val="000000"/>
          <w:spacing w:val="-4"/>
          <w:sz w:val="18"/>
          <w:szCs w:val="18"/>
        </w:rPr>
        <w:t>8〕54 号）规定，企业在</w:t>
      </w:r>
      <w:r>
        <w:rPr>
          <w:rFonts w:ascii="Times New Roman" w:hAnsi="Times New Roman" w:cs="Times New Roman"/>
          <w:color w:val="000000"/>
          <w:spacing w:val="-47"/>
          <w:sz w:val="18"/>
          <w:szCs w:val="18"/>
        </w:rPr>
        <w:t> </w:t>
      </w:r>
      <w:r>
        <w:rPr>
          <w:rFonts w:ascii="Times New Roman" w:hAnsi="Times New Roman" w:cs="Times New Roman"/>
          <w:color w:val="000000"/>
          <w:spacing w:val="-4"/>
          <w:sz w:val="18"/>
          <w:szCs w:val="18"/>
        </w:rPr>
        <w:t>2018 年1 月1</w:t>
      </w:r>
      <w:r>
        <w:rPr>
          <w:rFonts w:ascii="Times New Roman" w:hAnsi="Times New Roman" w:cs="Times New Roman"/>
          <w:color w:val="000000"/>
          <w:spacing w:val="32"/>
          <w:sz w:val="18"/>
          <w:szCs w:val="18"/>
        </w:rPr>
        <w:t> </w:t>
      </w:r>
      <w:r>
        <w:rPr>
          <w:rFonts w:ascii="Times New Roman" w:hAnsi="Times New Roman" w:cs="Times New Roman"/>
          <w:color w:val="000000"/>
          <w:spacing w:val="-4"/>
          <w:sz w:val="18"/>
          <w:szCs w:val="18"/>
        </w:rPr>
        <w:t>日至</w:t>
      </w:r>
      <w:r>
        <w:rPr>
          <w:rFonts w:ascii="Times New Roman" w:hAnsi="Times New Roman" w:cs="Times New Roman"/>
          <w:color w:val="000000"/>
          <w:spacing w:val="-43"/>
          <w:sz w:val="18"/>
          <w:szCs w:val="18"/>
        </w:rPr>
        <w:t> </w:t>
      </w:r>
      <w:r>
        <w:rPr>
          <w:rFonts w:ascii="Times New Roman" w:hAnsi="Times New Roman" w:cs="Times New Roman"/>
          <w:color w:val="000000"/>
          <w:spacing w:val="-4"/>
          <w:sz w:val="18"/>
          <w:szCs w:val="18"/>
        </w:rPr>
        <w:t>2020 年12 月31 日期间新购进的设备、器</w:t>
      </w:r>
      <w:r>
        <w:rPr>
          <w:rFonts w:ascii="Times New Roman" w:hAnsi="Times New Roman" w:cs="Times New Roman"/>
          <w:color w:val="000000"/>
          <w:spacing w:val="-5"/>
          <w:sz w:val="18"/>
          <w:szCs w:val="18"/>
        </w:rPr>
        <w:t>具，单位价值不超过</w:t>
      </w:r>
      <w:r>
        <w:rPr>
          <w:rFonts w:ascii="Times New Roman" w:hAnsi="Times New Roman" w:cs="Times New Roman"/>
          <w:color w:val="000000"/>
          <w:spacing w:val="-38"/>
          <w:sz w:val="18"/>
          <w:szCs w:val="18"/>
        </w:rPr>
        <w:t> </w:t>
      </w:r>
      <w:r>
        <w:rPr>
          <w:rFonts w:ascii="Times New Roman" w:hAnsi="Times New Roman" w:cs="Times New Roman"/>
          <w:color w:val="000000"/>
          <w:spacing w:val="-5"/>
          <w:sz w:val="18"/>
          <w:szCs w:val="18"/>
        </w:rPr>
        <w:t>500 万元的，允许一次性计入当期成本费用在计</w:t>
      </w:r>
      <w:r>
        <w:rPr>
          <w:rFonts w:ascii="Times New Roman" w:hAnsi="Times New Roman" w:cs="Times New Roman"/>
          <w:color w:val="000000"/>
          <w:spacing w:val="-1"/>
          <w:sz w:val="18"/>
          <w:szCs w:val="18"/>
        </w:rPr>
        <w:t>算应纳税所得额时扣除，不再分年度计算折旧。</w:t>
      </w:r>
    </w:p>
    <w:p>
      <w:pPr>
        <w:pStyle w:val="8"/>
        <w:spacing w:before="143" w:beforeAutospacing="0" w:after="0" w:afterAutospacing="0" w:line="276" w:lineRule="auto"/>
        <w:ind w:left="40" w:right="226" w:firstLine="355"/>
        <w:jc w:val="both"/>
        <w:textAlignment w:val="baseline"/>
        <w:rPr>
          <w:rFonts w:ascii="Times New Roman" w:hAnsi="Times New Roman" w:cs="Times New Roman"/>
          <w:color w:val="000000"/>
          <w:sz w:val="21"/>
          <w:szCs w:val="21"/>
        </w:rPr>
      </w:pPr>
      <w:r>
        <w:rPr>
          <w:rFonts w:ascii="Times New Roman" w:hAnsi="Times New Roman" w:cs="Times New Roman"/>
          <w:color w:val="000000"/>
          <w:spacing w:val="-2"/>
          <w:sz w:val="18"/>
          <w:szCs w:val="18"/>
        </w:rPr>
        <w:t>根据《财政部税务总局关于延长部分税收优惠政策执行期限的公告》（财政部税务总局公告</w:t>
      </w:r>
      <w:r>
        <w:rPr>
          <w:rFonts w:ascii="Times New Roman" w:hAnsi="Times New Roman" w:cs="Times New Roman"/>
          <w:color w:val="000000"/>
          <w:spacing w:val="-42"/>
          <w:sz w:val="18"/>
          <w:szCs w:val="18"/>
        </w:rPr>
        <w:t> </w:t>
      </w:r>
      <w:r>
        <w:rPr>
          <w:rFonts w:ascii="Times New Roman" w:hAnsi="Times New Roman" w:cs="Times New Roman"/>
          <w:color w:val="000000"/>
          <w:spacing w:val="-2"/>
          <w:sz w:val="18"/>
          <w:szCs w:val="18"/>
        </w:rPr>
        <w:t>2021 年第</w:t>
      </w:r>
      <w:r>
        <w:rPr>
          <w:rFonts w:ascii="Times New Roman" w:hAnsi="Times New Roman" w:cs="Times New Roman"/>
          <w:color w:val="000000"/>
          <w:spacing w:val="-43"/>
          <w:sz w:val="18"/>
          <w:szCs w:val="18"/>
        </w:rPr>
        <w:t> </w:t>
      </w:r>
      <w:r>
        <w:rPr>
          <w:rFonts w:ascii="Times New Roman" w:hAnsi="Times New Roman" w:cs="Times New Roman"/>
          <w:color w:val="000000"/>
          <w:spacing w:val="-2"/>
          <w:sz w:val="18"/>
          <w:szCs w:val="18"/>
        </w:rPr>
        <w:t>6</w:t>
      </w:r>
      <w:r>
        <w:rPr>
          <w:rFonts w:ascii="Times New Roman" w:hAnsi="Times New Roman" w:cs="Times New Roman"/>
          <w:color w:val="000000"/>
          <w:spacing w:val="-3"/>
          <w:sz w:val="18"/>
          <w:szCs w:val="18"/>
        </w:rPr>
        <w:t> 号）第一条规</w:t>
      </w:r>
      <w:r>
        <w:rPr>
          <w:rFonts w:ascii="Times New Roman" w:hAnsi="Times New Roman" w:cs="Times New Roman"/>
          <w:color w:val="000000"/>
          <w:spacing w:val="-4"/>
          <w:sz w:val="18"/>
          <w:szCs w:val="18"/>
        </w:rPr>
        <w:t>定，《财政部税务总局关于设备、器具扣除有关企业所得税政策的通知》（财税〔2018〕54 号）等16 个文件规定的税收优</w:t>
      </w:r>
      <w:r>
        <w:rPr>
          <w:rFonts w:ascii="Times New Roman" w:hAnsi="Times New Roman" w:cs="Times New Roman"/>
          <w:color w:val="000000"/>
          <w:spacing w:val="-5"/>
          <w:sz w:val="18"/>
          <w:szCs w:val="18"/>
        </w:rPr>
        <w:t>惠政策凡已经到期的，执行期限延长至2023 年12 月31</w:t>
      </w:r>
      <w:r>
        <w:rPr>
          <w:rFonts w:ascii="Times New Roman" w:hAnsi="Times New Roman" w:cs="Times New Roman"/>
          <w:color w:val="000000"/>
          <w:spacing w:val="32"/>
          <w:sz w:val="18"/>
          <w:szCs w:val="18"/>
        </w:rPr>
        <w:t> </w:t>
      </w:r>
      <w:r>
        <w:rPr>
          <w:rFonts w:ascii="Times New Roman" w:hAnsi="Times New Roman" w:cs="Times New Roman"/>
          <w:color w:val="000000"/>
          <w:spacing w:val="-6"/>
          <w:sz w:val="18"/>
          <w:szCs w:val="18"/>
        </w:rPr>
        <w:t>日。</w:t>
      </w:r>
    </w:p>
    <w:p>
      <w:pPr>
        <w:pStyle w:val="2"/>
        <w:spacing w:before="300" w:after="300" w:line="320" w:lineRule="exact"/>
        <w:rPr>
          <w:rFonts w:ascii="Times New Roman" w:hAnsi="Times New Roman" w:eastAsia="宋体" w:cs="Times New Roman"/>
          <w:b/>
          <w:bCs/>
          <w:sz w:val="24"/>
          <w:szCs w:val="24"/>
        </w:rPr>
      </w:pPr>
      <w:bookmarkStart w:id="186" w:name="_Toc989071"/>
      <w:r>
        <w:rPr>
          <w:rFonts w:ascii="Times New Roman" w:hAnsi="Times New Roman" w:eastAsia="宋体" w:cs="Times New Roman"/>
          <w:b/>
          <w:bCs/>
          <w:sz w:val="24"/>
          <w:szCs w:val="24"/>
        </w:rPr>
        <w:t>七、合并财务报表项目注释</w:t>
      </w:r>
      <w:bookmarkEnd w:id="186"/>
    </w:p>
    <w:p>
      <w:pPr>
        <w:pStyle w:val="3"/>
        <w:spacing w:line="280" w:lineRule="exact"/>
        <w:jc w:val="left"/>
        <w:rPr>
          <w:rFonts w:ascii="Times New Roman" w:hAnsi="Times New Roman" w:cs="Times New Roman"/>
          <w:b/>
          <w:bCs/>
        </w:rPr>
      </w:pPr>
      <w:bookmarkStart w:id="187" w:name="_Toc989072"/>
      <w:r>
        <w:rPr>
          <w:rFonts w:ascii="Times New Roman" w:hAnsi="Times New Roman" w:cs="Times New Roman"/>
          <w:b/>
          <w:bCs/>
        </w:rPr>
        <w:t>1、货币资金</w:t>
      </w:r>
      <w:bookmarkEnd w:id="187"/>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库存现金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271,573.38</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216,936.47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银行存款</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844,794,941.19</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1,362,350,958.74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其他货币资金</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376,187,353.47</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493,353,140.49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1,221,253,868.04</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1,855,921,035.70</w:t>
            </w:r>
          </w:p>
        </w:tc>
      </w:tr>
    </w:tbl>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其他说明</w:t>
      </w:r>
    </w:p>
    <w:p>
      <w:pPr>
        <w:rPr>
          <w:rFonts w:ascii="Times New Roman" w:hAnsi="Times New Roman" w:cs="Times New Roman"/>
        </w:rPr>
      </w:pP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酒制造企业应详细披露是否存在与相关方建立资金共管账户等特殊利益安排的情形</w:t>
      </w:r>
    </w:p>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□适用 □不适用</w:t>
      </w:r>
    </w:p>
    <w:p>
      <w:pPr>
        <w:pStyle w:val="3"/>
        <w:spacing w:line="280" w:lineRule="exact"/>
        <w:jc w:val="left"/>
        <w:rPr>
          <w:rFonts w:ascii="Times New Roman" w:hAnsi="Times New Roman" w:cs="Times New Roman"/>
          <w:b/>
          <w:bCs/>
        </w:rPr>
      </w:pPr>
      <w:bookmarkStart w:id="188" w:name="_Toc989073"/>
      <w:r>
        <w:rPr>
          <w:rFonts w:ascii="Times New Roman" w:hAnsi="Times New Roman" w:cs="Times New Roman"/>
          <w:b/>
          <w:bCs/>
        </w:rPr>
        <w:t>2、交易性金融资产</w:t>
      </w:r>
      <w:bookmarkEnd w:id="188"/>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rPr>
                <w:rFonts w:ascii="Times New Roman" w:hAnsi="Times New Roman" w:eastAsia="宋体" w:cs="Times New Roman"/>
                <w:sz w:val="18"/>
                <w:szCs w:val="18"/>
              </w:rPr>
            </w:pPr>
            <w:r>
              <w:rPr>
                <w:rFonts w:ascii="Times New Roman" w:hAnsi="Times New Roman" w:eastAsia="宋体" w:cs="Times New Roman"/>
                <w:sz w:val="18"/>
                <w:szCs w:val="18"/>
              </w:rPr>
              <w:t>其中：</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rPr>
                <w:rFonts w:ascii="Times New Roman" w:hAnsi="Times New Roman" w:eastAsia="宋体" w:cs="Times New Roman"/>
                <w:sz w:val="18"/>
                <w:szCs w:val="18"/>
              </w:rPr>
            </w:pPr>
            <w:r>
              <w:rPr>
                <w:rFonts w:ascii="Times New Roman" w:hAnsi="Times New Roman" w:eastAsia="宋体" w:cs="Times New Roman"/>
                <w:sz w:val="18"/>
                <w:szCs w:val="18"/>
              </w:rPr>
              <w:t>其中：</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r>
    </w:tbl>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其他说明</w:t>
      </w:r>
    </w:p>
    <w:p>
      <w:pPr>
        <w:pStyle w:val="8"/>
        <w:rPr>
          <w:rFonts w:ascii="Times New Roman" w:hAnsi="Times New Roman" w:cs="Times New Roman"/>
          <w:sz w:val="18"/>
          <w:szCs w:val="18"/>
        </w:rPr>
      </w:pPr>
      <w:r>
        <w:rPr>
          <w:rFonts w:ascii="Times New Roman" w:hAnsi="Times New Roman" w:cs="Times New Roman"/>
          <w:sz w:val="18"/>
          <w:szCs w:val="18"/>
        </w:rPr>
        <w:t>无</w:t>
      </w:r>
    </w:p>
    <w:p>
      <w:pPr>
        <w:pStyle w:val="3"/>
        <w:spacing w:line="280" w:lineRule="exact"/>
        <w:jc w:val="left"/>
        <w:rPr>
          <w:rFonts w:ascii="Times New Roman" w:hAnsi="Times New Roman" w:cs="Times New Roman"/>
          <w:b/>
          <w:bCs/>
        </w:rPr>
      </w:pPr>
      <w:bookmarkStart w:id="189" w:name="_Toc989074"/>
      <w:r>
        <w:rPr>
          <w:rFonts w:ascii="Times New Roman" w:hAnsi="Times New Roman" w:cs="Times New Roman"/>
          <w:b/>
          <w:bCs/>
        </w:rPr>
        <w:t>3、衍生金融资产</w:t>
      </w:r>
      <w:bookmarkEnd w:id="189"/>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期初余额</w:t>
            </w:r>
          </w:p>
        </w:tc>
      </w:tr>
    </w:tbl>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其他说明</w:t>
      </w:r>
    </w:p>
    <w:p>
      <w:pPr>
        <w:rPr>
          <w:rFonts w:ascii="Times New Roman" w:hAnsi="Times New Roman" w:cs="Times New Roman"/>
        </w:rPr>
      </w:pPr>
    </w:p>
    <w:p>
      <w:pPr>
        <w:pStyle w:val="3"/>
        <w:spacing w:line="280" w:lineRule="exact"/>
        <w:jc w:val="left"/>
        <w:rPr>
          <w:rFonts w:ascii="Times New Roman" w:hAnsi="Times New Roman" w:cs="Times New Roman"/>
          <w:b/>
          <w:bCs/>
        </w:rPr>
      </w:pPr>
      <w:bookmarkStart w:id="190" w:name="_Toc989075"/>
      <w:r>
        <w:rPr>
          <w:rFonts w:ascii="Times New Roman" w:hAnsi="Times New Roman" w:cs="Times New Roman"/>
          <w:b/>
          <w:bCs/>
        </w:rPr>
        <w:t>4、应收票据</w:t>
      </w:r>
      <w:bookmarkEnd w:id="190"/>
    </w:p>
    <w:p>
      <w:pPr>
        <w:keepNext/>
        <w:keepLines/>
        <w:spacing w:before="300" w:after="300" w:line="280" w:lineRule="exact"/>
        <w:outlineLvl w:val="3"/>
        <w:rPr>
          <w:rFonts w:ascii="Times New Roman" w:hAnsi="Times New Roman" w:eastAsia="宋体" w:cs="Times New Roman"/>
          <w:b/>
          <w:bCs/>
          <w:szCs w:val="21"/>
        </w:rPr>
      </w:pPr>
      <w:bookmarkStart w:id="191" w:name="_Toc989076"/>
      <w:r>
        <w:rPr>
          <w:rFonts w:ascii="Times New Roman" w:hAnsi="Times New Roman" w:eastAsia="宋体" w:cs="Times New Roman"/>
          <w:b/>
          <w:bCs/>
          <w:szCs w:val="21"/>
        </w:rPr>
        <w:t>（1） 应收票据分类列示</w:t>
      </w:r>
      <w:bookmarkEnd w:id="191"/>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银行承兑票据</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1,092,075.00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6,654,920.50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1,092,075.00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6,654,920.50</w:t>
            </w:r>
          </w:p>
        </w:tc>
      </w:tr>
    </w:tbl>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75"/>
        <w:gridCol w:w="876"/>
        <w:gridCol w:w="877"/>
        <w:gridCol w:w="876"/>
        <w:gridCol w:w="877"/>
        <w:gridCol w:w="876"/>
        <w:gridCol w:w="876"/>
        <w:gridCol w:w="877"/>
        <w:gridCol w:w="876"/>
        <w:gridCol w:w="877"/>
        <w:gridCol w:w="8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类别</w:t>
            </w:r>
          </w:p>
        </w:tc>
        <w:tc>
          <w:tcPr>
            <w:tcW w:w="4381"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期末余额</w:t>
            </w:r>
          </w:p>
        </w:tc>
        <w:tc>
          <w:tcPr>
            <w:tcW w:w="4381"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账面余额</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坏账准备</w:t>
            </w:r>
          </w:p>
        </w:tc>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账面价值</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账面余额</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坏账准备</w:t>
            </w:r>
          </w:p>
        </w:tc>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账面价值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比例</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计提比例</w:t>
            </w:r>
          </w:p>
        </w:tc>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比例</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计提比例</w:t>
            </w:r>
          </w:p>
        </w:tc>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其中：</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其中：</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r>
    </w:tbl>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如是按照预期信用损失一般模型计提应收票据坏账准备，请参照其他应收款的披露方式披露坏账准备的相关信息：</w:t>
      </w:r>
    </w:p>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 xml:space="preserve">□适用 </w:t>
      </w: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不适用</w:t>
      </w:r>
    </w:p>
    <w:p>
      <w:pPr>
        <w:keepNext/>
        <w:keepLines/>
        <w:spacing w:before="300" w:after="300" w:line="280" w:lineRule="exact"/>
        <w:outlineLvl w:val="3"/>
        <w:rPr>
          <w:rFonts w:ascii="Times New Roman" w:hAnsi="Times New Roman" w:eastAsia="宋体" w:cs="Times New Roman"/>
          <w:b/>
          <w:bCs/>
          <w:szCs w:val="21"/>
        </w:rPr>
      </w:pPr>
      <w:bookmarkStart w:id="192" w:name="_Toc989077"/>
      <w:r>
        <w:rPr>
          <w:rFonts w:ascii="Times New Roman" w:hAnsi="Times New Roman" w:eastAsia="宋体" w:cs="Times New Roman"/>
          <w:b/>
          <w:bCs/>
          <w:szCs w:val="21"/>
        </w:rPr>
        <w:t>（2） 本期计提、收回或转回的坏账准备情况</w:t>
      </w:r>
      <w:bookmarkEnd w:id="192"/>
    </w:p>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本期计提坏账准备情况：</w:t>
      </w:r>
    </w:p>
    <w:p>
      <w:pPr>
        <w:spacing w:before="120" w:after="12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类别</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期初余额</w:t>
            </w:r>
          </w:p>
        </w:tc>
        <w:tc>
          <w:tcPr>
            <w:tcW w:w="5508"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本期变动金额</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计提</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收回或转回</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核销</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其他</w:t>
            </w: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r>
    </w:tbl>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其中本期坏账准备收回或转回金额重要的：</w:t>
      </w:r>
    </w:p>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 xml:space="preserve">□适用 </w:t>
      </w: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不适用</w:t>
      </w:r>
    </w:p>
    <w:p>
      <w:pPr>
        <w:keepNext/>
        <w:keepLines/>
        <w:spacing w:before="300" w:after="300" w:line="280" w:lineRule="exact"/>
        <w:outlineLvl w:val="3"/>
        <w:rPr>
          <w:rFonts w:ascii="Times New Roman" w:hAnsi="Times New Roman" w:eastAsia="宋体" w:cs="Times New Roman"/>
          <w:b/>
          <w:bCs/>
          <w:szCs w:val="21"/>
        </w:rPr>
      </w:pPr>
      <w:bookmarkStart w:id="193" w:name="_Toc989078"/>
      <w:r>
        <w:rPr>
          <w:rFonts w:ascii="Times New Roman" w:hAnsi="Times New Roman" w:eastAsia="宋体" w:cs="Times New Roman"/>
          <w:b/>
          <w:bCs/>
          <w:szCs w:val="21"/>
        </w:rPr>
        <w:t>（3） 期末公司已质押的应收票据</w:t>
      </w:r>
      <w:bookmarkEnd w:id="193"/>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1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期末已质押金额</w:t>
            </w:r>
          </w:p>
        </w:tc>
      </w:tr>
    </w:tbl>
    <w:p>
      <w:pPr>
        <w:keepNext/>
        <w:keepLines/>
        <w:spacing w:before="300" w:after="300" w:line="280" w:lineRule="exact"/>
        <w:outlineLvl w:val="3"/>
        <w:rPr>
          <w:rFonts w:ascii="Times New Roman" w:hAnsi="Times New Roman" w:eastAsia="宋体" w:cs="Times New Roman"/>
          <w:b/>
          <w:bCs/>
          <w:szCs w:val="21"/>
        </w:rPr>
      </w:pPr>
      <w:bookmarkStart w:id="194" w:name="_Toc989079"/>
      <w:r>
        <w:rPr>
          <w:rFonts w:ascii="Times New Roman" w:hAnsi="Times New Roman" w:eastAsia="宋体" w:cs="Times New Roman"/>
          <w:b/>
          <w:bCs/>
          <w:szCs w:val="21"/>
        </w:rPr>
        <w:t>（4） 期末公司已背书或贴现且在资产负债表日尚未到期的应收票据</w:t>
      </w:r>
      <w:bookmarkEnd w:id="194"/>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期末终止确认金额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期末未终止确认金额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商业承兑票据</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250,000.00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250,000.00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bl>
    <w:p>
      <w:pPr>
        <w:keepNext/>
        <w:keepLines/>
        <w:spacing w:before="300" w:after="300" w:line="280" w:lineRule="exact"/>
        <w:outlineLvl w:val="3"/>
        <w:rPr>
          <w:rFonts w:ascii="Times New Roman" w:hAnsi="Times New Roman" w:eastAsia="宋体" w:cs="Times New Roman"/>
          <w:b/>
          <w:bCs/>
          <w:szCs w:val="21"/>
        </w:rPr>
      </w:pPr>
      <w:bookmarkStart w:id="195" w:name="_Toc989080"/>
      <w:r>
        <w:rPr>
          <w:rFonts w:ascii="Times New Roman" w:hAnsi="Times New Roman" w:eastAsia="宋体" w:cs="Times New Roman"/>
          <w:b/>
          <w:bCs/>
          <w:szCs w:val="21"/>
        </w:rPr>
        <w:t>（5） 期末公司因出票人未履约而将其转应收账款的票据</w:t>
      </w:r>
      <w:bookmarkEnd w:id="195"/>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1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期末转应收账款金额</w:t>
            </w:r>
          </w:p>
        </w:tc>
      </w:tr>
    </w:tbl>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其他说明：</w:t>
      </w:r>
    </w:p>
    <w:p>
      <w:pPr>
        <w:rPr>
          <w:rFonts w:ascii="Times New Roman" w:hAnsi="Times New Roman" w:cs="Times New Roman"/>
        </w:rPr>
      </w:pPr>
    </w:p>
    <w:p>
      <w:pPr>
        <w:keepNext/>
        <w:keepLines/>
        <w:spacing w:before="300" w:after="300" w:line="280" w:lineRule="exact"/>
        <w:outlineLvl w:val="3"/>
        <w:rPr>
          <w:rFonts w:ascii="Times New Roman" w:hAnsi="Times New Roman" w:eastAsia="宋体" w:cs="Times New Roman"/>
          <w:b/>
          <w:bCs/>
          <w:szCs w:val="21"/>
        </w:rPr>
      </w:pPr>
      <w:bookmarkStart w:id="196" w:name="_Toc989081"/>
      <w:r>
        <w:rPr>
          <w:rFonts w:ascii="Times New Roman" w:hAnsi="Times New Roman" w:eastAsia="宋体" w:cs="Times New Roman"/>
          <w:b/>
          <w:bCs/>
          <w:szCs w:val="21"/>
        </w:rPr>
        <w:t>（6） 本期实际核销的应收票据情况</w:t>
      </w:r>
      <w:bookmarkEnd w:id="196"/>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1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核销金额</w:t>
            </w:r>
          </w:p>
        </w:tc>
      </w:tr>
    </w:tbl>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其中重要的应收票据核销情况：</w:t>
      </w:r>
    </w:p>
    <w:p>
      <w:pPr>
        <w:spacing w:before="120" w:after="12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7"/>
        <w:gridCol w:w="1607"/>
        <w:gridCol w:w="160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单位名称</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应收票据性质</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核销金额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核销原因</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履行的核销程序</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款项是否由关联交易产生</w:t>
            </w:r>
          </w:p>
        </w:tc>
      </w:tr>
    </w:tbl>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应收票据核销说明：</w:t>
      </w:r>
    </w:p>
    <w:p>
      <w:pPr>
        <w:rPr>
          <w:rFonts w:ascii="Times New Roman" w:hAnsi="Times New Roman" w:cs="Times New Roman"/>
        </w:rPr>
      </w:pPr>
    </w:p>
    <w:p>
      <w:pPr>
        <w:pStyle w:val="3"/>
        <w:spacing w:line="280" w:lineRule="exact"/>
        <w:jc w:val="left"/>
        <w:rPr>
          <w:rFonts w:ascii="Times New Roman" w:hAnsi="Times New Roman" w:cs="Times New Roman"/>
          <w:b/>
          <w:bCs/>
        </w:rPr>
      </w:pPr>
      <w:bookmarkStart w:id="197" w:name="_Toc989082"/>
      <w:r>
        <w:rPr>
          <w:rFonts w:ascii="Times New Roman" w:hAnsi="Times New Roman" w:cs="Times New Roman"/>
          <w:b/>
          <w:bCs/>
        </w:rPr>
        <w:t>5、应收账款</w:t>
      </w:r>
      <w:bookmarkEnd w:id="197"/>
    </w:p>
    <w:p>
      <w:pPr>
        <w:keepNext/>
        <w:keepLines/>
        <w:spacing w:before="300" w:after="300" w:line="280" w:lineRule="exact"/>
        <w:outlineLvl w:val="3"/>
        <w:rPr>
          <w:rFonts w:ascii="Times New Roman" w:hAnsi="Times New Roman" w:eastAsia="宋体" w:cs="Times New Roman"/>
          <w:b/>
          <w:bCs/>
          <w:szCs w:val="21"/>
        </w:rPr>
      </w:pPr>
      <w:bookmarkStart w:id="198" w:name="_Toc989083"/>
      <w:r>
        <w:rPr>
          <w:rFonts w:ascii="Times New Roman" w:hAnsi="Times New Roman" w:eastAsia="宋体" w:cs="Times New Roman"/>
          <w:b/>
          <w:bCs/>
          <w:szCs w:val="21"/>
        </w:rPr>
        <w:t>（1） 应收账款分类披露</w:t>
      </w:r>
      <w:bookmarkEnd w:id="198"/>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75"/>
        <w:gridCol w:w="876"/>
        <w:gridCol w:w="877"/>
        <w:gridCol w:w="876"/>
        <w:gridCol w:w="877"/>
        <w:gridCol w:w="876"/>
        <w:gridCol w:w="876"/>
        <w:gridCol w:w="877"/>
        <w:gridCol w:w="876"/>
        <w:gridCol w:w="877"/>
        <w:gridCol w:w="8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类别</w:t>
            </w:r>
          </w:p>
        </w:tc>
        <w:tc>
          <w:tcPr>
            <w:tcW w:w="4381"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期末余额</w:t>
            </w:r>
          </w:p>
        </w:tc>
        <w:tc>
          <w:tcPr>
            <w:tcW w:w="4381"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账面余额</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坏账准备</w:t>
            </w:r>
          </w:p>
        </w:tc>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账面价值</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账面余额</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坏账准备</w:t>
            </w:r>
          </w:p>
        </w:tc>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账面价值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比例</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计提比例</w:t>
            </w:r>
          </w:p>
        </w:tc>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比例</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计提比例</w:t>
            </w:r>
          </w:p>
        </w:tc>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其中：</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按组合计提坏账准备的应收账款</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453,978,576.39</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100.00%</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17,383,099.17</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3.83%</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436,595,477.22</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645,171,779.49</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100.00%</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23,641,164.46</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3.66%</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621,530,615.03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其中：</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账龄组</w:t>
            </w:r>
          </w:p>
          <w:p>
            <w:pPr>
              <w:spacing w:line="240" w:lineRule="exact"/>
              <w:rPr>
                <w:rFonts w:ascii="Times New Roman" w:hAnsi="Times New Roman" w:eastAsia="宋体" w:cs="Times New Roman"/>
                <w:sz w:val="18"/>
                <w:szCs w:val="18"/>
              </w:rPr>
            </w:pPr>
          </w:p>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合</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453,978,576.39</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100.00%</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17,383,099.17</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3.83%</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436,595,477.22</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645,171,779.49</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100.00%</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23,641,164.46</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3.66%</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621,530,615.03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合计</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453,978,576.39</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100.00%</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17,383,099.17</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3.83%</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436,595,477.22</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645,171,779.49</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100.00%</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23,641,164.46</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3.66%</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621,530,615.03</w:t>
            </w:r>
          </w:p>
        </w:tc>
      </w:tr>
    </w:tbl>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按组合计提坏账准备：1</w:t>
      </w:r>
    </w:p>
    <w:p>
      <w:pPr>
        <w:spacing w:before="120" w:after="12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09"/>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名称</w:t>
            </w:r>
          </w:p>
        </w:tc>
        <w:tc>
          <w:tcPr>
            <w:tcW w:w="7229"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账面余额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坏账准备</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计提比例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1-3月</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344,867,591.54</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7,673,632.90</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2.23%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4-6月</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20,054,104.42</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446,791.71</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2.23%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7-9月</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24,974,347.76</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539,014.48</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2.16%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10-12月</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36,386,139.57</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738,844.53</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2.03%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1-2年</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23,453,523.88</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5,863,380.93</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25.00%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2-3年</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4,242,869.22</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2,121,434.62</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合计</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453,978,576.39</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17,383,099.17</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r>
    </w:tbl>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确定该组合依据的说明：</w:t>
      </w:r>
    </w:p>
    <w:p>
      <w:pPr>
        <w:rPr>
          <w:rFonts w:ascii="Times New Roman" w:hAnsi="Times New Roman" w:cs="Times New Roman"/>
        </w:rPr>
      </w:pP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如是按照预期信用损失一般模型计提应收账款坏账准备，请参照其他应收款的披露方式披露坏账准备的相关信息：</w:t>
      </w:r>
    </w:p>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 xml:space="preserve">□适用 </w:t>
      </w: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不适用</w:t>
      </w: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按账龄披露</w:t>
      </w:r>
    </w:p>
    <w:p>
      <w:pPr>
        <w:spacing w:before="120" w:after="12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1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账龄</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1年以内（含1年）</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426,282,183.29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1-3月</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344,867,591.54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4-6月</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20,054,104.42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7-9月</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24,974,347.76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10-12月</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36,386,139.57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1至2年</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23,453,523.88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2至3年</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4,242,869.22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合计</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453,978,576.39</w:t>
            </w:r>
          </w:p>
        </w:tc>
      </w:tr>
    </w:tbl>
    <w:p>
      <w:pPr>
        <w:keepNext/>
        <w:keepLines/>
        <w:spacing w:before="300" w:after="300" w:line="280" w:lineRule="exact"/>
        <w:outlineLvl w:val="3"/>
        <w:rPr>
          <w:rFonts w:ascii="Times New Roman" w:hAnsi="Times New Roman" w:eastAsia="宋体" w:cs="Times New Roman"/>
          <w:b/>
          <w:bCs/>
          <w:szCs w:val="21"/>
        </w:rPr>
      </w:pPr>
      <w:bookmarkStart w:id="199" w:name="_Toc989084"/>
      <w:r>
        <w:rPr>
          <w:rFonts w:ascii="Times New Roman" w:hAnsi="Times New Roman" w:eastAsia="宋体" w:cs="Times New Roman"/>
          <w:b/>
          <w:bCs/>
          <w:szCs w:val="21"/>
        </w:rPr>
        <w:t>（2） 本期计提、收回或转回的坏账准备情况</w:t>
      </w:r>
      <w:bookmarkEnd w:id="199"/>
    </w:p>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本期计提坏账准备情况：</w:t>
      </w:r>
    </w:p>
    <w:p>
      <w:pPr>
        <w:spacing w:before="120" w:after="12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类别</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期初余额</w:t>
            </w:r>
          </w:p>
        </w:tc>
        <w:tc>
          <w:tcPr>
            <w:tcW w:w="5508"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本期变动金额</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计提</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收回或转回</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核销</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其他</w:t>
            </w: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应收账款</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23,641,164.46</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-6,258,065.29</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17,383,099.17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合计</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23,641,164.46</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-6,258,065.29</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17,383,099.17</w:t>
            </w:r>
          </w:p>
        </w:tc>
      </w:tr>
    </w:tbl>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其中本期坏账准备收回或转回金额重要的：</w:t>
      </w:r>
    </w:p>
    <w:p>
      <w:pPr>
        <w:spacing w:before="120" w:after="12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单位名称</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收回或转回金额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收回方式</w:t>
            </w:r>
          </w:p>
        </w:tc>
      </w:tr>
    </w:tbl>
    <w:p>
      <w:pPr>
        <w:spacing w:before="100" w:after="100" w:line="0" w:lineRule="atLeast"/>
        <w:rPr>
          <w:rFonts w:ascii="Times New Roman" w:hAnsi="Times New Roman" w:cs="Times New Roman"/>
        </w:rPr>
      </w:pPr>
    </w:p>
    <w:p>
      <w:pPr>
        <w:rPr>
          <w:rFonts w:ascii="Times New Roman" w:hAnsi="Times New Roman" w:cs="Times New Roman"/>
        </w:rPr>
      </w:pPr>
    </w:p>
    <w:p>
      <w:pPr>
        <w:keepNext/>
        <w:keepLines/>
        <w:spacing w:before="300" w:after="300" w:line="280" w:lineRule="exact"/>
        <w:outlineLvl w:val="3"/>
        <w:rPr>
          <w:rFonts w:ascii="Times New Roman" w:hAnsi="Times New Roman" w:eastAsia="宋体" w:cs="Times New Roman"/>
          <w:b/>
          <w:bCs/>
          <w:szCs w:val="21"/>
        </w:rPr>
      </w:pPr>
      <w:bookmarkStart w:id="200" w:name="_Toc989085"/>
      <w:r>
        <w:rPr>
          <w:rFonts w:ascii="Times New Roman" w:hAnsi="Times New Roman" w:eastAsia="宋体" w:cs="Times New Roman"/>
          <w:b/>
          <w:bCs/>
          <w:szCs w:val="21"/>
        </w:rPr>
        <w:t>（3） 本期实际核销的应收账款情况</w:t>
      </w:r>
      <w:bookmarkEnd w:id="200"/>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1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核销金额</w:t>
            </w:r>
          </w:p>
        </w:tc>
      </w:tr>
    </w:tbl>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其中重要的应收账款核销情况：</w:t>
      </w:r>
    </w:p>
    <w:p>
      <w:pPr>
        <w:spacing w:before="120" w:after="12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7"/>
        <w:gridCol w:w="1607"/>
        <w:gridCol w:w="160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单位名称</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应收账款性质</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核销金额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核销原因</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履行的核销程序</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款项是否由关联交易产生</w:t>
            </w:r>
          </w:p>
        </w:tc>
      </w:tr>
    </w:tbl>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应收账款核销说明：</w:t>
      </w:r>
    </w:p>
    <w:p>
      <w:pPr>
        <w:rPr>
          <w:rFonts w:ascii="Times New Roman" w:hAnsi="Times New Roman" w:cs="Times New Roman"/>
        </w:rPr>
      </w:pPr>
    </w:p>
    <w:p>
      <w:pPr>
        <w:keepNext/>
        <w:keepLines/>
        <w:spacing w:before="300" w:after="300" w:line="280" w:lineRule="exact"/>
        <w:outlineLvl w:val="3"/>
        <w:rPr>
          <w:rFonts w:ascii="Times New Roman" w:hAnsi="Times New Roman" w:eastAsia="宋体" w:cs="Times New Roman"/>
          <w:b/>
          <w:bCs/>
          <w:szCs w:val="21"/>
        </w:rPr>
      </w:pPr>
      <w:bookmarkStart w:id="201" w:name="_Toc989086"/>
      <w:r>
        <w:rPr>
          <w:rFonts w:ascii="Times New Roman" w:hAnsi="Times New Roman" w:eastAsia="宋体" w:cs="Times New Roman"/>
          <w:b/>
          <w:bCs/>
          <w:szCs w:val="21"/>
        </w:rPr>
        <w:t>（4） 按欠款方归集的期末余额前五名的应收账款情况</w:t>
      </w:r>
      <w:bookmarkEnd w:id="201"/>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09"/>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单位名称</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应收账款期末余额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占应收账款期末余额合计数的比例</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坏账准备期末余额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客户A</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34,475,943.87</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7.59%</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909,176.22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客户B</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29,230,036.41</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6.44%</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657,675.82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客户C</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26,933,086.91</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5.93%</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786,438.94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客户D</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22,812,018.01</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5.02%</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513,270.41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客户E</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15,040,162.30</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3.31%</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300,803.25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合计</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128,491,247.50</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28.29%</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r>
    </w:tbl>
    <w:p>
      <w:pPr>
        <w:keepNext/>
        <w:keepLines/>
        <w:spacing w:before="300" w:after="300" w:line="280" w:lineRule="exact"/>
        <w:outlineLvl w:val="3"/>
        <w:rPr>
          <w:rFonts w:ascii="Times New Roman" w:hAnsi="Times New Roman" w:eastAsia="宋体" w:cs="Times New Roman"/>
          <w:b/>
          <w:bCs/>
          <w:szCs w:val="21"/>
        </w:rPr>
      </w:pPr>
      <w:bookmarkStart w:id="202" w:name="_Toc989087"/>
      <w:r>
        <w:rPr>
          <w:rFonts w:ascii="Times New Roman" w:hAnsi="Times New Roman" w:eastAsia="宋体" w:cs="Times New Roman"/>
          <w:b/>
          <w:bCs/>
          <w:szCs w:val="21"/>
        </w:rPr>
        <w:t>（5） 因金融资产转移而终止确认的应收账款</w:t>
      </w:r>
      <w:bookmarkEnd w:id="202"/>
    </w:p>
    <w:p>
      <w:pPr>
        <w:rPr>
          <w:rFonts w:ascii="Times New Roman" w:hAnsi="Times New Roman" w:cs="Times New Roman"/>
        </w:rPr>
      </w:pPr>
    </w:p>
    <w:p>
      <w:pPr>
        <w:keepNext/>
        <w:keepLines/>
        <w:spacing w:before="300" w:after="300" w:line="280" w:lineRule="exact"/>
        <w:outlineLvl w:val="3"/>
        <w:rPr>
          <w:rFonts w:ascii="Times New Roman" w:hAnsi="Times New Roman" w:eastAsia="宋体" w:cs="Times New Roman"/>
          <w:b/>
          <w:bCs/>
          <w:szCs w:val="21"/>
        </w:rPr>
      </w:pPr>
      <w:bookmarkStart w:id="203" w:name="_Toc989088"/>
      <w:r>
        <w:rPr>
          <w:rFonts w:ascii="Times New Roman" w:hAnsi="Times New Roman" w:eastAsia="宋体" w:cs="Times New Roman"/>
          <w:b/>
          <w:bCs/>
          <w:szCs w:val="21"/>
        </w:rPr>
        <w:t>（6） 转移应收账款且继续涉入形成的资产、负债金额</w:t>
      </w:r>
      <w:bookmarkEnd w:id="203"/>
    </w:p>
    <w:p>
      <w:pPr>
        <w:rPr>
          <w:rFonts w:ascii="Times New Roman" w:hAnsi="Times New Roman" w:cs="Times New Roman"/>
        </w:rPr>
      </w:pP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其他说明：</w:t>
      </w:r>
    </w:p>
    <w:p>
      <w:pPr>
        <w:rPr>
          <w:rFonts w:ascii="Times New Roman" w:hAnsi="Times New Roman" w:cs="Times New Roman"/>
        </w:rPr>
      </w:pPr>
    </w:p>
    <w:p>
      <w:pPr>
        <w:pStyle w:val="3"/>
        <w:spacing w:line="280" w:lineRule="exact"/>
        <w:jc w:val="left"/>
        <w:rPr>
          <w:rFonts w:ascii="Times New Roman" w:hAnsi="Times New Roman" w:cs="Times New Roman"/>
          <w:b/>
          <w:bCs/>
        </w:rPr>
      </w:pPr>
      <w:bookmarkStart w:id="204" w:name="_Toc989089"/>
      <w:r>
        <w:rPr>
          <w:rFonts w:ascii="Times New Roman" w:hAnsi="Times New Roman" w:cs="Times New Roman"/>
          <w:b/>
          <w:bCs/>
        </w:rPr>
        <w:t>6、应收款项融资</w:t>
      </w:r>
      <w:bookmarkEnd w:id="204"/>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r>
    </w:tbl>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应收款项融资本期增减变动及公允价值变动情况</w:t>
      </w:r>
    </w:p>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 xml:space="preserve">□适用 </w:t>
      </w: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不适用</w:t>
      </w: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如是按照预期信用损失一般模型计提应收款项融资减值准备，请参照其他应收款的披露方式披露减值准备的相关信息：</w:t>
      </w:r>
    </w:p>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 xml:space="preserve">□适用 </w:t>
      </w: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不适用</w:t>
      </w: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其他说明：</w:t>
      </w:r>
    </w:p>
    <w:p>
      <w:pPr>
        <w:rPr>
          <w:rFonts w:ascii="Times New Roman" w:hAnsi="Times New Roman" w:cs="Times New Roman"/>
        </w:rPr>
      </w:pPr>
    </w:p>
    <w:p>
      <w:pPr>
        <w:pStyle w:val="3"/>
        <w:spacing w:line="280" w:lineRule="exact"/>
        <w:jc w:val="left"/>
        <w:rPr>
          <w:rFonts w:ascii="Times New Roman" w:hAnsi="Times New Roman" w:cs="Times New Roman"/>
          <w:b/>
          <w:bCs/>
        </w:rPr>
      </w:pPr>
      <w:bookmarkStart w:id="205" w:name="_Toc989090"/>
      <w:r>
        <w:rPr>
          <w:rFonts w:ascii="Times New Roman" w:hAnsi="Times New Roman" w:cs="Times New Roman"/>
          <w:b/>
          <w:bCs/>
        </w:rPr>
        <w:t>7、预付款项</w:t>
      </w:r>
      <w:bookmarkEnd w:id="205"/>
    </w:p>
    <w:p>
      <w:pPr>
        <w:keepNext/>
        <w:keepLines/>
        <w:spacing w:before="300" w:after="300" w:line="280" w:lineRule="exact"/>
        <w:outlineLvl w:val="3"/>
        <w:rPr>
          <w:rFonts w:ascii="Times New Roman" w:hAnsi="Times New Roman" w:eastAsia="宋体" w:cs="Times New Roman"/>
          <w:b/>
          <w:bCs/>
          <w:szCs w:val="21"/>
        </w:rPr>
      </w:pPr>
      <w:bookmarkStart w:id="206" w:name="_Toc989091"/>
      <w:r>
        <w:rPr>
          <w:rFonts w:ascii="Times New Roman" w:hAnsi="Times New Roman" w:eastAsia="宋体" w:cs="Times New Roman"/>
          <w:b/>
          <w:bCs/>
          <w:szCs w:val="21"/>
        </w:rPr>
        <w:t>（1） 预付款项按账龄列示</w:t>
      </w:r>
      <w:bookmarkEnd w:id="206"/>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7"/>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账龄</w:t>
            </w:r>
          </w:p>
        </w:tc>
        <w:tc>
          <w:tcPr>
            <w:tcW w:w="385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期末余额</w:t>
            </w:r>
          </w:p>
        </w:tc>
        <w:tc>
          <w:tcPr>
            <w:tcW w:w="385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金额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比例</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金额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比例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1年以内</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167,141,311.60</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97.87%</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195,831,037.89</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98.26%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1至2年</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3,436,557.09</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2.01%</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3,464,899.70</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1.74%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2至3年</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200,291.78</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0.12%</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7,817.00</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3年以上</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7,817.00</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合计</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170,785,977.47</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199,303,754.59</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r>
    </w:tbl>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账龄超过1年且金额重要的预付款项未及时结算原因的说明：</w:t>
      </w:r>
    </w:p>
    <w:p>
      <w:pPr>
        <w:rPr>
          <w:rFonts w:ascii="Times New Roman" w:hAnsi="Times New Roman" w:cs="Times New Roman"/>
        </w:rPr>
      </w:pPr>
    </w:p>
    <w:p>
      <w:pPr>
        <w:keepNext/>
        <w:keepLines/>
        <w:spacing w:before="300" w:after="300" w:line="280" w:lineRule="exact"/>
        <w:outlineLvl w:val="3"/>
        <w:rPr>
          <w:rFonts w:ascii="Times New Roman" w:hAnsi="Times New Roman" w:eastAsia="宋体" w:cs="Times New Roman"/>
          <w:b/>
          <w:bCs/>
          <w:szCs w:val="21"/>
        </w:rPr>
      </w:pPr>
      <w:bookmarkStart w:id="207" w:name="_Toc989092"/>
      <w:r>
        <w:rPr>
          <w:rFonts w:ascii="Times New Roman" w:hAnsi="Times New Roman" w:eastAsia="宋体" w:cs="Times New Roman"/>
          <w:b/>
          <w:bCs/>
          <w:szCs w:val="21"/>
        </w:rPr>
        <w:t>（2） 按预付对象归集的期末余额前五名的预付款情况</w:t>
      </w:r>
      <w:bookmarkEnd w:id="207"/>
    </w:p>
    <w:p>
      <w:pPr>
        <w:pStyle w:val="8"/>
        <w:spacing w:before="58" w:beforeAutospacing="0" w:after="0" w:afterAutospacing="0" w:line="361" w:lineRule="atLeast"/>
        <w:ind w:left="396"/>
        <w:textAlignment w:val="baseline"/>
        <w:rPr>
          <w:rFonts w:ascii="Times New Roman" w:hAnsi="Times New Roman" w:cs="Times New Roman"/>
          <w:color w:val="000000"/>
          <w:sz w:val="21"/>
          <w:szCs w:val="21"/>
        </w:rPr>
      </w:pPr>
      <w:r>
        <w:rPr>
          <w:rFonts w:ascii="Times New Roman" w:hAnsi="Times New Roman" w:cs="Times New Roman"/>
          <w:color w:val="000000"/>
          <w:spacing w:val="-2"/>
          <w:sz w:val="18"/>
          <w:szCs w:val="18"/>
        </w:rPr>
        <w:t>本集团按预付对象归集的年末余额前五名预付账款汇总金额为99,959,201.82元， 占预付账款年末余额合计数的比例为58.53%。</w:t>
      </w: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其他说明：</w:t>
      </w:r>
    </w:p>
    <w:p>
      <w:pPr>
        <w:rPr>
          <w:rFonts w:ascii="Times New Roman" w:hAnsi="Times New Roman" w:cs="Times New Roman"/>
        </w:rPr>
      </w:pPr>
    </w:p>
    <w:p>
      <w:pPr>
        <w:pStyle w:val="3"/>
        <w:spacing w:line="280" w:lineRule="exact"/>
        <w:jc w:val="left"/>
        <w:rPr>
          <w:rFonts w:ascii="Times New Roman" w:hAnsi="Times New Roman" w:cs="Times New Roman"/>
          <w:b/>
          <w:bCs/>
        </w:rPr>
      </w:pPr>
      <w:bookmarkStart w:id="208" w:name="_Toc989093"/>
      <w:r>
        <w:rPr>
          <w:rFonts w:ascii="Times New Roman" w:hAnsi="Times New Roman" w:cs="Times New Roman"/>
          <w:b/>
          <w:bCs/>
        </w:rPr>
        <w:t>8、其他应收款</w:t>
      </w:r>
      <w:bookmarkEnd w:id="208"/>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其他应收款</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60,402,894.87</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66,688,523.57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60,402,894.87</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66,688,523.57</w:t>
            </w:r>
          </w:p>
        </w:tc>
      </w:tr>
    </w:tbl>
    <w:p>
      <w:pPr>
        <w:keepNext/>
        <w:keepLines/>
        <w:spacing w:before="300" w:after="300" w:line="280" w:lineRule="exact"/>
        <w:outlineLvl w:val="3"/>
        <w:rPr>
          <w:rFonts w:ascii="Times New Roman" w:hAnsi="Times New Roman" w:eastAsia="宋体" w:cs="Times New Roman"/>
          <w:b/>
          <w:bCs/>
          <w:szCs w:val="21"/>
        </w:rPr>
      </w:pPr>
      <w:bookmarkStart w:id="209" w:name="_Toc989094"/>
      <w:r>
        <w:rPr>
          <w:rFonts w:ascii="Times New Roman" w:hAnsi="Times New Roman" w:eastAsia="宋体" w:cs="Times New Roman"/>
          <w:b/>
          <w:bCs/>
          <w:szCs w:val="21"/>
        </w:rPr>
        <w:t>（1） 应收利息</w:t>
      </w:r>
      <w:bookmarkEnd w:id="209"/>
    </w:p>
    <w:p>
      <w:pPr>
        <w:keepNext/>
        <w:keepLines/>
        <w:spacing w:before="300" w:after="300" w:line="280" w:lineRule="exact"/>
        <w:outlineLvl w:val="4"/>
        <w:rPr>
          <w:rFonts w:ascii="Times New Roman" w:hAnsi="Times New Roman" w:eastAsia="宋体" w:cs="Times New Roman"/>
          <w:b/>
          <w:bCs/>
          <w:szCs w:val="21"/>
        </w:rPr>
      </w:pPr>
      <w:bookmarkStart w:id="210" w:name="_Toc989095"/>
      <w:r>
        <w:rPr>
          <w:rFonts w:ascii="Times New Roman" w:hAnsi="Times New Roman" w:eastAsia="宋体" w:cs="Times New Roman"/>
          <w:b/>
          <w:bCs/>
          <w:szCs w:val="21"/>
        </w:rPr>
        <w:t>1） 应收利息分类</w:t>
      </w:r>
      <w:bookmarkEnd w:id="210"/>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期初余额</w:t>
            </w:r>
          </w:p>
        </w:tc>
      </w:tr>
    </w:tbl>
    <w:p>
      <w:pPr>
        <w:keepNext/>
        <w:keepLines/>
        <w:spacing w:before="300" w:after="300" w:line="280" w:lineRule="exact"/>
        <w:outlineLvl w:val="4"/>
        <w:rPr>
          <w:rFonts w:ascii="Times New Roman" w:hAnsi="Times New Roman" w:eastAsia="宋体" w:cs="Times New Roman"/>
          <w:b/>
          <w:bCs/>
          <w:szCs w:val="21"/>
        </w:rPr>
      </w:pPr>
      <w:bookmarkStart w:id="211" w:name="_Toc989096"/>
      <w:r>
        <w:rPr>
          <w:rFonts w:ascii="Times New Roman" w:hAnsi="Times New Roman" w:eastAsia="宋体" w:cs="Times New Roman"/>
          <w:b/>
          <w:bCs/>
          <w:szCs w:val="21"/>
        </w:rPr>
        <w:t>2） 重要逾期利息</w:t>
      </w:r>
      <w:bookmarkEnd w:id="211"/>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7"/>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借款单位</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期末余额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逾期时间</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逾期原因</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是否发生减值及其判断依据</w:t>
            </w:r>
          </w:p>
        </w:tc>
      </w:tr>
    </w:tbl>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其他说明：</w:t>
      </w:r>
    </w:p>
    <w:p>
      <w:pPr>
        <w:rPr>
          <w:rFonts w:ascii="Times New Roman" w:hAnsi="Times New Roman" w:cs="Times New Roman"/>
        </w:rPr>
      </w:pPr>
    </w:p>
    <w:p>
      <w:pPr>
        <w:keepNext/>
        <w:keepLines/>
        <w:spacing w:before="300" w:after="300" w:line="280" w:lineRule="exact"/>
        <w:outlineLvl w:val="4"/>
        <w:rPr>
          <w:rFonts w:ascii="Times New Roman" w:hAnsi="Times New Roman" w:eastAsia="宋体" w:cs="Times New Roman"/>
          <w:b/>
          <w:bCs/>
          <w:szCs w:val="21"/>
        </w:rPr>
      </w:pPr>
      <w:bookmarkStart w:id="212" w:name="_Toc989097"/>
      <w:r>
        <w:rPr>
          <w:rFonts w:ascii="Times New Roman" w:hAnsi="Times New Roman" w:eastAsia="宋体" w:cs="Times New Roman"/>
          <w:b/>
          <w:bCs/>
          <w:szCs w:val="21"/>
        </w:rPr>
        <w:t>3） 坏账准备计提情况</w:t>
      </w:r>
      <w:bookmarkEnd w:id="212"/>
    </w:p>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 xml:space="preserve">□适用 </w:t>
      </w: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不适用</w:t>
      </w:r>
    </w:p>
    <w:p>
      <w:pPr>
        <w:keepNext/>
        <w:keepLines/>
        <w:spacing w:before="300" w:after="300" w:line="280" w:lineRule="exact"/>
        <w:outlineLvl w:val="3"/>
        <w:rPr>
          <w:rFonts w:ascii="Times New Roman" w:hAnsi="Times New Roman" w:eastAsia="宋体" w:cs="Times New Roman"/>
          <w:b/>
          <w:bCs/>
          <w:szCs w:val="21"/>
        </w:rPr>
      </w:pPr>
      <w:bookmarkStart w:id="213" w:name="_Toc989098"/>
      <w:r>
        <w:rPr>
          <w:rFonts w:ascii="Times New Roman" w:hAnsi="Times New Roman" w:eastAsia="宋体" w:cs="Times New Roman"/>
          <w:b/>
          <w:bCs/>
          <w:szCs w:val="21"/>
        </w:rPr>
        <w:t>（2） 应收股利</w:t>
      </w:r>
      <w:bookmarkEnd w:id="213"/>
    </w:p>
    <w:p>
      <w:pPr>
        <w:keepNext/>
        <w:keepLines/>
        <w:spacing w:before="300" w:after="300" w:line="280" w:lineRule="exact"/>
        <w:outlineLvl w:val="4"/>
        <w:rPr>
          <w:rFonts w:ascii="Times New Roman" w:hAnsi="Times New Roman" w:eastAsia="宋体" w:cs="Times New Roman"/>
          <w:b/>
          <w:bCs/>
          <w:szCs w:val="21"/>
        </w:rPr>
      </w:pPr>
      <w:bookmarkStart w:id="214" w:name="_Toc989099"/>
      <w:r>
        <w:rPr>
          <w:rFonts w:ascii="Times New Roman" w:hAnsi="Times New Roman" w:eastAsia="宋体" w:cs="Times New Roman"/>
          <w:b/>
          <w:bCs/>
          <w:szCs w:val="21"/>
        </w:rPr>
        <w:t>1） 应收股利分类</w:t>
      </w:r>
      <w:bookmarkEnd w:id="214"/>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项目（或被投资单位）</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期初余额</w:t>
            </w:r>
          </w:p>
        </w:tc>
      </w:tr>
    </w:tbl>
    <w:p>
      <w:pPr>
        <w:keepNext/>
        <w:keepLines/>
        <w:spacing w:before="300" w:after="300" w:line="280" w:lineRule="exact"/>
        <w:outlineLvl w:val="4"/>
        <w:rPr>
          <w:rFonts w:ascii="Times New Roman" w:hAnsi="Times New Roman" w:eastAsia="宋体" w:cs="Times New Roman"/>
          <w:b/>
          <w:bCs/>
          <w:szCs w:val="21"/>
        </w:rPr>
      </w:pPr>
      <w:bookmarkStart w:id="215" w:name="_Toc989100"/>
      <w:r>
        <w:rPr>
          <w:rFonts w:ascii="Times New Roman" w:hAnsi="Times New Roman" w:eastAsia="宋体" w:cs="Times New Roman"/>
          <w:b/>
          <w:bCs/>
          <w:szCs w:val="21"/>
        </w:rPr>
        <w:t>2） 重要的账龄超过1年的应收股利</w:t>
      </w:r>
      <w:bookmarkEnd w:id="215"/>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7"/>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项目（或被投资单位）</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期末余额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账龄</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未收回的原因</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是否发生减值及其判断依据</w:t>
            </w:r>
          </w:p>
        </w:tc>
      </w:tr>
    </w:tbl>
    <w:p>
      <w:pPr>
        <w:keepNext/>
        <w:keepLines/>
        <w:spacing w:before="300" w:after="300" w:line="280" w:lineRule="exact"/>
        <w:outlineLvl w:val="4"/>
        <w:rPr>
          <w:rFonts w:ascii="Times New Roman" w:hAnsi="Times New Roman" w:eastAsia="宋体" w:cs="Times New Roman"/>
          <w:b/>
          <w:bCs/>
          <w:szCs w:val="21"/>
        </w:rPr>
      </w:pPr>
      <w:bookmarkStart w:id="216" w:name="_Toc989101"/>
      <w:r>
        <w:rPr>
          <w:rFonts w:ascii="Times New Roman" w:hAnsi="Times New Roman" w:eastAsia="宋体" w:cs="Times New Roman"/>
          <w:b/>
          <w:bCs/>
          <w:szCs w:val="21"/>
        </w:rPr>
        <w:t>3） 坏账准备计提情况</w:t>
      </w:r>
      <w:bookmarkEnd w:id="216"/>
    </w:p>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 xml:space="preserve">□适用 </w:t>
      </w: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不适用</w:t>
      </w: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其他说明：</w:t>
      </w:r>
    </w:p>
    <w:p>
      <w:pPr>
        <w:rPr>
          <w:rFonts w:ascii="Times New Roman" w:hAnsi="Times New Roman" w:cs="Times New Roman"/>
        </w:rPr>
      </w:pPr>
    </w:p>
    <w:p>
      <w:pPr>
        <w:keepNext/>
        <w:keepLines/>
        <w:spacing w:before="300" w:after="300" w:line="280" w:lineRule="exact"/>
        <w:outlineLvl w:val="3"/>
        <w:rPr>
          <w:rFonts w:ascii="Times New Roman" w:hAnsi="Times New Roman" w:eastAsia="宋体" w:cs="Times New Roman"/>
          <w:b/>
          <w:bCs/>
          <w:szCs w:val="21"/>
        </w:rPr>
      </w:pPr>
      <w:bookmarkStart w:id="217" w:name="_Toc989102"/>
      <w:r>
        <w:rPr>
          <w:rFonts w:ascii="Times New Roman" w:hAnsi="Times New Roman" w:eastAsia="宋体" w:cs="Times New Roman"/>
          <w:b/>
          <w:bCs/>
          <w:szCs w:val="21"/>
        </w:rPr>
        <w:t>（3） 其他应收款</w:t>
      </w:r>
      <w:bookmarkEnd w:id="217"/>
    </w:p>
    <w:p>
      <w:pPr>
        <w:keepNext/>
        <w:keepLines/>
        <w:spacing w:before="300" w:after="300" w:line="280" w:lineRule="exact"/>
        <w:outlineLvl w:val="4"/>
        <w:rPr>
          <w:rFonts w:ascii="Times New Roman" w:hAnsi="Times New Roman" w:eastAsia="宋体" w:cs="Times New Roman"/>
          <w:b/>
          <w:bCs/>
          <w:szCs w:val="21"/>
        </w:rPr>
      </w:pPr>
      <w:bookmarkStart w:id="218" w:name="_Toc989103"/>
      <w:r>
        <w:rPr>
          <w:rFonts w:ascii="Times New Roman" w:hAnsi="Times New Roman" w:eastAsia="宋体" w:cs="Times New Roman"/>
          <w:b/>
          <w:bCs/>
          <w:szCs w:val="21"/>
        </w:rPr>
        <w:t>1） 其他应收款按款项性质分类情况</w:t>
      </w:r>
      <w:bookmarkEnd w:id="218"/>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款项性质</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期末账面余额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期初账面余额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备用金借支</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4,832,352.40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3,877,914.65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保证金、押金</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48,397,291.92</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49,408,032.48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利息收入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11,599,901.29</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11,599,901.29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7,910,786.04</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10,284,730.51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减： 坏账准备</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-12,337,436.78</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-8,482,055.36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60,402,894.87</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66,688,523.57</w:t>
            </w:r>
          </w:p>
        </w:tc>
      </w:tr>
    </w:tbl>
    <w:p>
      <w:pPr>
        <w:keepNext/>
        <w:keepLines/>
        <w:spacing w:before="300" w:after="300" w:line="280" w:lineRule="exact"/>
        <w:outlineLvl w:val="4"/>
        <w:rPr>
          <w:rFonts w:ascii="Times New Roman" w:hAnsi="Times New Roman" w:eastAsia="宋体" w:cs="Times New Roman"/>
          <w:b/>
          <w:bCs/>
          <w:szCs w:val="21"/>
        </w:rPr>
      </w:pPr>
      <w:bookmarkStart w:id="219" w:name="_Toc989104"/>
      <w:r>
        <w:rPr>
          <w:rFonts w:ascii="Times New Roman" w:hAnsi="Times New Roman" w:eastAsia="宋体" w:cs="Times New Roman"/>
          <w:b/>
          <w:bCs/>
          <w:szCs w:val="21"/>
        </w:rPr>
        <w:t>2） 坏账准备计提情况</w:t>
      </w:r>
      <w:bookmarkEnd w:id="219"/>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7"/>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坏账准备</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第一阶段</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第二阶段</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第三阶段</w:t>
            </w:r>
          </w:p>
        </w:tc>
        <w:tc>
          <w:tcPr>
            <w:tcW w:w="19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未来12个月预期信用损失</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整个存续期预期信用损失(未发生信用减值)</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整个存续期预期信用损失(已发生信用减值)</w:t>
            </w:r>
          </w:p>
        </w:tc>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2023年1月1日余额</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5,708,375.48</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2,773,679.88</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8,482,055.36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2023年1月1日余额在本期</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本期计提</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3,855,381.42</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3,855,381.42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2023年6月30日余额</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9,563,756.90</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2,773,679.88</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12,337,436.78</w:t>
            </w:r>
          </w:p>
        </w:tc>
      </w:tr>
    </w:tbl>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损失准备本期变动金额重大的账面余额变动情况</w:t>
      </w:r>
    </w:p>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 xml:space="preserve">□适用 </w:t>
      </w: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不适用</w:t>
      </w: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按账龄披露</w:t>
      </w:r>
    </w:p>
    <w:p>
      <w:pPr>
        <w:spacing w:before="120" w:after="12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1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账龄</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1年以内（含1年）</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43,689,446.71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1-3 月</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11,109,038.43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4-6 月</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4,054,439.28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7-9 月</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16,347,836.04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10-12 月</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12,178,132.96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1至2年</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23,856,247.85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2至3年</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601,238.57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3年以上</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4,593,398.52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3至4年</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3,055,912.50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4至5年</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349,726.02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5年以上</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1,187,760.00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合计</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72,740,331.65</w:t>
            </w:r>
          </w:p>
        </w:tc>
      </w:tr>
    </w:tbl>
    <w:p>
      <w:pPr>
        <w:keepNext/>
        <w:keepLines/>
        <w:spacing w:before="300" w:after="300" w:line="280" w:lineRule="exact"/>
        <w:outlineLvl w:val="4"/>
        <w:rPr>
          <w:rFonts w:ascii="Times New Roman" w:hAnsi="Times New Roman" w:eastAsia="宋体" w:cs="Times New Roman"/>
          <w:b/>
          <w:bCs/>
          <w:szCs w:val="21"/>
        </w:rPr>
      </w:pPr>
      <w:bookmarkStart w:id="220" w:name="_Toc989105"/>
      <w:r>
        <w:rPr>
          <w:rFonts w:ascii="Times New Roman" w:hAnsi="Times New Roman" w:eastAsia="宋体" w:cs="Times New Roman"/>
          <w:b/>
          <w:bCs/>
          <w:szCs w:val="21"/>
        </w:rPr>
        <w:t>3） 本期计提、收回或转回的坏账准备情况</w:t>
      </w:r>
      <w:bookmarkEnd w:id="220"/>
    </w:p>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本期计提坏账准备情况：</w:t>
      </w:r>
    </w:p>
    <w:p>
      <w:pPr>
        <w:spacing w:before="120" w:after="12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类别</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期初余额</w:t>
            </w:r>
          </w:p>
        </w:tc>
        <w:tc>
          <w:tcPr>
            <w:tcW w:w="5508"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本期变动金额</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计提</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收回或转回</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核销</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其他</w:t>
            </w: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其他应收款坏账</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8,482,055.36</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3,855,381.42</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12,337,436.78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合计</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8,482,055.36</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3,855,381.42</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12,337,436.78</w:t>
            </w:r>
          </w:p>
        </w:tc>
      </w:tr>
    </w:tbl>
    <w:p>
      <w:pPr>
        <w:spacing w:before="100" w:after="100" w:line="0" w:lineRule="atLeast"/>
        <w:rPr>
          <w:rFonts w:ascii="Times New Roman" w:hAnsi="Times New Roman" w:cs="Times New Roman"/>
        </w:rPr>
      </w:pPr>
    </w:p>
    <w:p>
      <w:pPr>
        <w:rPr>
          <w:rFonts w:ascii="Times New Roman" w:hAnsi="Times New Roman" w:cs="Times New Roman"/>
        </w:rPr>
      </w:pP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其中本期坏账准备转回或收回金额重要的：</w:t>
      </w:r>
    </w:p>
    <w:p>
      <w:pPr>
        <w:spacing w:before="120" w:after="12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单位名称</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转回或收回金额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收回方式</w:t>
            </w:r>
          </w:p>
        </w:tc>
      </w:tr>
    </w:tbl>
    <w:p>
      <w:pPr>
        <w:spacing w:before="100" w:after="100" w:line="0" w:lineRule="atLeast"/>
        <w:rPr>
          <w:rFonts w:ascii="Times New Roman" w:hAnsi="Times New Roman" w:cs="Times New Roman"/>
        </w:rPr>
      </w:pPr>
    </w:p>
    <w:p>
      <w:pPr>
        <w:rPr>
          <w:rFonts w:ascii="Times New Roman" w:hAnsi="Times New Roman" w:cs="Times New Roman"/>
        </w:rPr>
      </w:pPr>
    </w:p>
    <w:p>
      <w:pPr>
        <w:keepNext/>
        <w:keepLines/>
        <w:spacing w:before="300" w:after="300" w:line="280" w:lineRule="exact"/>
        <w:outlineLvl w:val="4"/>
        <w:rPr>
          <w:rFonts w:ascii="Times New Roman" w:hAnsi="Times New Roman" w:eastAsia="宋体" w:cs="Times New Roman"/>
          <w:b/>
          <w:bCs/>
          <w:szCs w:val="21"/>
        </w:rPr>
      </w:pPr>
      <w:bookmarkStart w:id="221" w:name="_Toc989106"/>
      <w:r>
        <w:rPr>
          <w:rFonts w:ascii="Times New Roman" w:hAnsi="Times New Roman" w:eastAsia="宋体" w:cs="Times New Roman"/>
          <w:b/>
          <w:bCs/>
          <w:szCs w:val="21"/>
        </w:rPr>
        <w:t>4） 本期实际核销的其他应收款情况</w:t>
      </w:r>
      <w:bookmarkEnd w:id="221"/>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1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核销金额</w:t>
            </w:r>
          </w:p>
        </w:tc>
      </w:tr>
    </w:tbl>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其中重要的其他应收款核销情况：</w:t>
      </w:r>
    </w:p>
    <w:p>
      <w:pPr>
        <w:spacing w:before="120" w:after="12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7"/>
        <w:gridCol w:w="1607"/>
        <w:gridCol w:w="160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单位名称</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其他应收款性质</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核销金额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核销原因</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履行的核销程序</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款项是否由关联交易产生</w:t>
            </w:r>
          </w:p>
        </w:tc>
      </w:tr>
    </w:tbl>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其他应收款核销说明：</w:t>
      </w:r>
    </w:p>
    <w:p>
      <w:pPr>
        <w:rPr>
          <w:rFonts w:ascii="Times New Roman" w:hAnsi="Times New Roman" w:cs="Times New Roman"/>
        </w:rPr>
      </w:pPr>
    </w:p>
    <w:p>
      <w:pPr>
        <w:keepNext/>
        <w:keepLines/>
        <w:spacing w:before="300" w:after="300" w:line="280" w:lineRule="exact"/>
        <w:outlineLvl w:val="4"/>
        <w:rPr>
          <w:rFonts w:ascii="Times New Roman" w:hAnsi="Times New Roman" w:eastAsia="宋体" w:cs="Times New Roman"/>
          <w:b/>
          <w:bCs/>
          <w:szCs w:val="21"/>
        </w:rPr>
      </w:pPr>
      <w:bookmarkStart w:id="222" w:name="_Toc989107"/>
      <w:r>
        <w:rPr>
          <w:rFonts w:ascii="Times New Roman" w:hAnsi="Times New Roman" w:eastAsia="宋体" w:cs="Times New Roman"/>
          <w:b/>
          <w:bCs/>
          <w:szCs w:val="21"/>
        </w:rPr>
        <w:t>5） 按欠款方归集的期末余额前五名的其他应收款情况</w:t>
      </w:r>
      <w:bookmarkEnd w:id="222"/>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7"/>
        <w:gridCol w:w="1607"/>
        <w:gridCol w:w="160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单位名称</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款项的性质</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期末余额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账龄</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占其他应收款期末余额合计数的比例</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坏账准备期末余额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客户 A</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保证金、押金</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14,000,000.00</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一年以内</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19.25%</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172,658.00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客户 B</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利息补贴</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11,599,901.29</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一年以内、1年以上</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15.95%</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1,909,351.89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客户 C</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保证金、押金</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7,514,940.00</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一年以内、1年以上</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10.33%</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411,694.25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客户 D</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保证金、押金</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5,500,000.00</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1年以上</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7.56%</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1,260,253.29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客户 E</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保证金、押金</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5,000,000.00</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一年以内</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6.87%</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61,663.57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合计</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43,614,841.29</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59.96%</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3,815,621.00</w:t>
            </w:r>
          </w:p>
        </w:tc>
      </w:tr>
    </w:tbl>
    <w:p>
      <w:pPr>
        <w:keepNext/>
        <w:keepLines/>
        <w:spacing w:before="300" w:after="300" w:line="280" w:lineRule="exact"/>
        <w:outlineLvl w:val="4"/>
        <w:rPr>
          <w:rFonts w:ascii="Times New Roman" w:hAnsi="Times New Roman" w:eastAsia="宋体" w:cs="Times New Roman"/>
          <w:b/>
          <w:bCs/>
          <w:szCs w:val="21"/>
        </w:rPr>
      </w:pPr>
      <w:bookmarkStart w:id="223" w:name="_Toc989108"/>
      <w:r>
        <w:rPr>
          <w:rFonts w:ascii="Times New Roman" w:hAnsi="Times New Roman" w:eastAsia="宋体" w:cs="Times New Roman"/>
          <w:b/>
          <w:bCs/>
          <w:szCs w:val="21"/>
        </w:rPr>
        <w:t>6） 涉及政府补助的应收款项</w:t>
      </w:r>
      <w:bookmarkEnd w:id="223"/>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7"/>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单位名称</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政府补助项目名称</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期末余额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期末账龄</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预计收取的时间、金额及依据</w:t>
            </w:r>
          </w:p>
        </w:tc>
      </w:tr>
    </w:tbl>
    <w:p>
      <w:pPr>
        <w:rPr>
          <w:rFonts w:ascii="Times New Roman" w:hAnsi="Times New Roman" w:cs="Times New Roman"/>
        </w:rPr>
      </w:pPr>
    </w:p>
    <w:p>
      <w:pPr>
        <w:keepNext/>
        <w:keepLines/>
        <w:spacing w:before="300" w:after="300" w:line="280" w:lineRule="exact"/>
        <w:outlineLvl w:val="4"/>
        <w:rPr>
          <w:rFonts w:ascii="Times New Roman" w:hAnsi="Times New Roman" w:eastAsia="宋体" w:cs="Times New Roman"/>
          <w:b/>
          <w:bCs/>
          <w:szCs w:val="21"/>
        </w:rPr>
      </w:pPr>
      <w:bookmarkStart w:id="224" w:name="_Toc989109"/>
      <w:r>
        <w:rPr>
          <w:rFonts w:ascii="Times New Roman" w:hAnsi="Times New Roman" w:eastAsia="宋体" w:cs="Times New Roman"/>
          <w:b/>
          <w:bCs/>
          <w:szCs w:val="21"/>
        </w:rPr>
        <w:t>7） 因金融资产转移而终止确认的其他应收款</w:t>
      </w:r>
      <w:bookmarkEnd w:id="224"/>
    </w:p>
    <w:p>
      <w:pPr>
        <w:rPr>
          <w:rFonts w:ascii="Times New Roman" w:hAnsi="Times New Roman" w:cs="Times New Roman"/>
        </w:rPr>
      </w:pPr>
    </w:p>
    <w:p>
      <w:pPr>
        <w:keepNext/>
        <w:keepLines/>
        <w:spacing w:before="300" w:after="300" w:line="280" w:lineRule="exact"/>
        <w:outlineLvl w:val="4"/>
        <w:rPr>
          <w:rFonts w:ascii="Times New Roman" w:hAnsi="Times New Roman" w:eastAsia="宋体" w:cs="Times New Roman"/>
          <w:b/>
          <w:bCs/>
          <w:szCs w:val="21"/>
        </w:rPr>
      </w:pPr>
      <w:bookmarkStart w:id="225" w:name="_Toc989110"/>
      <w:r>
        <w:rPr>
          <w:rFonts w:ascii="Times New Roman" w:hAnsi="Times New Roman" w:eastAsia="宋体" w:cs="Times New Roman"/>
          <w:b/>
          <w:bCs/>
          <w:szCs w:val="21"/>
        </w:rPr>
        <w:t>8） 转移其他应收款且继续涉入形成的资产、负债金额</w:t>
      </w:r>
      <w:bookmarkEnd w:id="225"/>
    </w:p>
    <w:p>
      <w:pPr>
        <w:rPr>
          <w:rFonts w:ascii="Times New Roman" w:hAnsi="Times New Roman" w:cs="Times New Roman"/>
        </w:rPr>
      </w:pP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其他说明：</w:t>
      </w:r>
    </w:p>
    <w:p>
      <w:pPr>
        <w:rPr>
          <w:rFonts w:ascii="Times New Roman" w:hAnsi="Times New Roman" w:cs="Times New Roman"/>
        </w:rPr>
      </w:pPr>
    </w:p>
    <w:p>
      <w:pPr>
        <w:pStyle w:val="3"/>
        <w:spacing w:line="280" w:lineRule="exact"/>
        <w:jc w:val="left"/>
        <w:rPr>
          <w:rFonts w:ascii="Times New Roman" w:hAnsi="Times New Roman" w:cs="Times New Roman"/>
          <w:b/>
          <w:bCs/>
        </w:rPr>
      </w:pPr>
      <w:bookmarkStart w:id="226" w:name="_Toc989111"/>
      <w:r>
        <w:rPr>
          <w:rFonts w:ascii="Times New Roman" w:hAnsi="Times New Roman" w:cs="Times New Roman"/>
          <w:b/>
          <w:bCs/>
        </w:rPr>
        <w:t>9、存货</w:t>
      </w:r>
      <w:bookmarkEnd w:id="226"/>
    </w:p>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公司是否需要遵守房地产行业的披露要求</w:t>
      </w:r>
    </w:p>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否</w:t>
      </w:r>
    </w:p>
    <w:p>
      <w:pPr>
        <w:keepNext/>
        <w:keepLines/>
        <w:spacing w:before="300" w:after="300" w:line="280" w:lineRule="exact"/>
        <w:outlineLvl w:val="3"/>
        <w:rPr>
          <w:rFonts w:ascii="Times New Roman" w:hAnsi="Times New Roman" w:eastAsia="宋体" w:cs="Times New Roman"/>
          <w:b/>
          <w:bCs/>
          <w:szCs w:val="21"/>
        </w:rPr>
      </w:pPr>
      <w:bookmarkStart w:id="227" w:name="_Toc989112"/>
      <w:r>
        <w:rPr>
          <w:rFonts w:ascii="Times New Roman" w:hAnsi="Times New Roman" w:eastAsia="宋体" w:cs="Times New Roman"/>
          <w:b/>
          <w:bCs/>
          <w:szCs w:val="21"/>
        </w:rPr>
        <w:t>（1） 存货分类</w:t>
      </w:r>
      <w:bookmarkEnd w:id="227"/>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期末余额</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存货跌价准备或合同履约成本减值准备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账面价值</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存货跌价准备或合同履约成本减值准备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账面价值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原材料</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258,768,443.26</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3,889,915.00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254,878,528.26</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260,665,711.56</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116,914.06</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260,548,797.50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在产品</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125,721,850.95</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125,721,850.95</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136,456,465.62</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1,576,318.71</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134,880,146.91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库存商品</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1,396,280,203.17</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107,569,238.27</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1,288,710,964.90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867,855,833.27</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52,563,519.15</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815,292,314.12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消耗性生物资产</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332,103,804.02</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54,905,850.65</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277,197,953.37</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505,440,276.87</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644,600.04</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504,795,676.83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合计</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2,112,874,301.40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166,365,003.92</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1,946,509,297.48</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1,770,418,287.32</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54,901,351.96</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1,715,516,935.36</w:t>
            </w:r>
          </w:p>
        </w:tc>
      </w:tr>
    </w:tbl>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公司需遵守《深圳证券交易所上市公司自律监管指引第3号——行业信息披露》中的“食品及酒制造相关业务”的披露要求</w:t>
      </w:r>
    </w:p>
    <w:p>
      <w:pPr>
        <w:pStyle w:val="8"/>
        <w:rPr>
          <w:rFonts w:ascii="Times New Roman" w:hAnsi="Times New Roman" w:cs="Times New Roman"/>
          <w:sz w:val="18"/>
          <w:szCs w:val="18"/>
        </w:rPr>
      </w:pPr>
      <w:r>
        <w:rPr>
          <w:rFonts w:ascii="Times New Roman" w:hAnsi="Times New Roman" w:cs="Times New Roman"/>
          <w:sz w:val="18"/>
          <w:szCs w:val="18"/>
        </w:rPr>
        <w:t>无</w:t>
      </w:r>
    </w:p>
    <w:p>
      <w:pPr>
        <w:pStyle w:val="8"/>
        <w:rPr>
          <w:rFonts w:ascii="Times New Roman" w:hAnsi="Times New Roman" w:cs="Times New Roman"/>
          <w:sz w:val="18"/>
          <w:szCs w:val="18"/>
        </w:rPr>
      </w:pPr>
    </w:p>
    <w:p>
      <w:pPr>
        <w:keepNext/>
        <w:keepLines/>
        <w:spacing w:before="300" w:after="300" w:line="280" w:lineRule="exact"/>
        <w:outlineLvl w:val="3"/>
        <w:rPr>
          <w:rFonts w:ascii="Times New Roman" w:hAnsi="Times New Roman" w:eastAsia="宋体" w:cs="Times New Roman"/>
          <w:b/>
          <w:bCs/>
          <w:szCs w:val="21"/>
        </w:rPr>
      </w:pPr>
      <w:bookmarkStart w:id="228" w:name="_Toc989113"/>
      <w:r>
        <w:rPr>
          <w:rFonts w:ascii="Times New Roman" w:hAnsi="Times New Roman" w:eastAsia="宋体" w:cs="Times New Roman"/>
          <w:b/>
          <w:bCs/>
          <w:szCs w:val="21"/>
        </w:rPr>
        <w:t>（2） 存货跌价准备和合同履约成本减值准备</w:t>
      </w:r>
      <w:bookmarkEnd w:id="228"/>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期初余额</w:t>
            </w:r>
          </w:p>
        </w:tc>
        <w:tc>
          <w:tcPr>
            <w:tcW w:w="275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本期增加金额</w:t>
            </w:r>
          </w:p>
        </w:tc>
        <w:tc>
          <w:tcPr>
            <w:tcW w:w="275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本期减少金额</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计提</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其他</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转回或转销</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其他</w:t>
            </w: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原材料</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116,914.06</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5,482,952.93</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1,709,951.99</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3,889,915.00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在产品</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1,576,318.71</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1,576,318.71</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库存商品</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52,563,519.15</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139,620,121.48</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84,614,402.36</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107,569,238.27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周转材料</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消耗性生物资产</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644,600.04</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54,905,850.65</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644,600.04</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54,905,850.65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合计</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54,901,351.96</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200,008,925.06</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88,545,273.10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166,365,003.92</w:t>
            </w:r>
          </w:p>
        </w:tc>
      </w:tr>
    </w:tbl>
    <w:p>
      <w:pPr>
        <w:spacing w:before="60" w:after="60" w:line="0" w:lineRule="atLeast"/>
        <w:rPr>
          <w:rFonts w:ascii="Times New Roman" w:hAnsi="Times New Roman" w:cs="Times New Roman"/>
        </w:rPr>
      </w:pPr>
    </w:p>
    <w:p>
      <w:pPr>
        <w:rPr>
          <w:rFonts w:ascii="Times New Roman" w:hAnsi="Times New Roman" w:cs="Times New Roman"/>
        </w:rPr>
      </w:pPr>
    </w:p>
    <w:p>
      <w:pPr>
        <w:keepNext/>
        <w:keepLines/>
        <w:spacing w:before="300" w:after="300" w:line="280" w:lineRule="exact"/>
        <w:outlineLvl w:val="3"/>
        <w:rPr>
          <w:rFonts w:ascii="Times New Roman" w:hAnsi="Times New Roman" w:eastAsia="宋体" w:cs="Times New Roman"/>
          <w:b/>
          <w:bCs/>
          <w:szCs w:val="21"/>
        </w:rPr>
      </w:pPr>
      <w:bookmarkStart w:id="229" w:name="_Toc989114"/>
      <w:r>
        <w:rPr>
          <w:rFonts w:ascii="Times New Roman" w:hAnsi="Times New Roman" w:eastAsia="宋体" w:cs="Times New Roman"/>
          <w:b/>
          <w:bCs/>
          <w:szCs w:val="21"/>
        </w:rPr>
        <w:t>（3） 存货期末余额含有借款费用资本化金额的说明</w:t>
      </w:r>
      <w:bookmarkEnd w:id="229"/>
    </w:p>
    <w:p>
      <w:pPr>
        <w:rPr>
          <w:rFonts w:ascii="Times New Roman" w:hAnsi="Times New Roman" w:cs="Times New Roman"/>
        </w:rPr>
      </w:pPr>
    </w:p>
    <w:p>
      <w:pPr>
        <w:keepNext/>
        <w:keepLines/>
        <w:spacing w:before="300" w:after="300" w:line="280" w:lineRule="exact"/>
        <w:outlineLvl w:val="3"/>
        <w:rPr>
          <w:rFonts w:ascii="Times New Roman" w:hAnsi="Times New Roman" w:eastAsia="宋体" w:cs="Times New Roman"/>
          <w:b/>
          <w:bCs/>
          <w:szCs w:val="21"/>
        </w:rPr>
      </w:pPr>
      <w:bookmarkStart w:id="230" w:name="_Toc989115"/>
      <w:r>
        <w:rPr>
          <w:rFonts w:ascii="Times New Roman" w:hAnsi="Times New Roman" w:eastAsia="宋体" w:cs="Times New Roman"/>
          <w:b/>
          <w:bCs/>
          <w:szCs w:val="21"/>
        </w:rPr>
        <w:t>（4） 合同履约成本本期摊销金额的说明</w:t>
      </w:r>
      <w:bookmarkEnd w:id="230"/>
    </w:p>
    <w:p>
      <w:pPr>
        <w:rPr>
          <w:rFonts w:ascii="Times New Roman" w:hAnsi="Times New Roman" w:cs="Times New Roman"/>
        </w:rPr>
      </w:pPr>
    </w:p>
    <w:p>
      <w:pPr>
        <w:pStyle w:val="3"/>
        <w:spacing w:line="280" w:lineRule="exact"/>
        <w:jc w:val="left"/>
        <w:rPr>
          <w:rFonts w:ascii="Times New Roman" w:hAnsi="Times New Roman" w:cs="Times New Roman"/>
          <w:b/>
          <w:bCs/>
        </w:rPr>
      </w:pPr>
      <w:bookmarkStart w:id="231" w:name="_Toc989116"/>
      <w:r>
        <w:rPr>
          <w:rFonts w:ascii="Times New Roman" w:hAnsi="Times New Roman" w:cs="Times New Roman"/>
          <w:b/>
          <w:bCs/>
        </w:rPr>
        <w:t>10、合同资产</w:t>
      </w:r>
      <w:bookmarkEnd w:id="231"/>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期末余额</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vAlign w:val="center"/>
          </w:tcPr>
          <w:p>
            <w:pPr>
              <w:rPr>
                <w:rFonts w:ascii="Times New Roman" w:hAnsi="Times New Roman" w:cs="Times New Roman"/>
              </w:rPr>
            </w:p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减值准备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账面价值</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减值准备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账面价值</w:t>
            </w:r>
          </w:p>
        </w:tc>
      </w:tr>
    </w:tbl>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合同资产的账面价值在本期内发生的重大变动金额和原因：</w:t>
      </w:r>
    </w:p>
    <w:p>
      <w:pPr>
        <w:spacing w:before="120" w:after="12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变动金额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变动原因</w:t>
            </w:r>
          </w:p>
        </w:tc>
      </w:tr>
    </w:tbl>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如是按照预期信用损失一般模型计提合同资产减值准备，请参照其他应收款的披露方式披露减值准备的相关信息：</w:t>
      </w:r>
    </w:p>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 xml:space="preserve">□适用 </w:t>
      </w: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不适用</w:t>
      </w: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本期合同资产计提减值准备情况：</w:t>
      </w:r>
    </w:p>
    <w:p>
      <w:pPr>
        <w:spacing w:before="120" w:after="12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7"/>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本期计提</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本期转回</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本期转销/核销</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原因</w:t>
            </w:r>
          </w:p>
        </w:tc>
      </w:tr>
    </w:tbl>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其他说明</w:t>
      </w:r>
    </w:p>
    <w:p>
      <w:pPr>
        <w:rPr>
          <w:rFonts w:ascii="Times New Roman" w:hAnsi="Times New Roman" w:cs="Times New Roman"/>
        </w:rPr>
      </w:pPr>
    </w:p>
    <w:p>
      <w:pPr>
        <w:pStyle w:val="3"/>
        <w:spacing w:line="280" w:lineRule="exact"/>
        <w:jc w:val="left"/>
        <w:rPr>
          <w:rFonts w:ascii="Times New Roman" w:hAnsi="Times New Roman" w:cs="Times New Roman"/>
          <w:b/>
          <w:bCs/>
        </w:rPr>
      </w:pPr>
      <w:bookmarkStart w:id="232" w:name="_Toc989117"/>
      <w:r>
        <w:rPr>
          <w:rFonts w:ascii="Times New Roman" w:hAnsi="Times New Roman" w:cs="Times New Roman"/>
          <w:b/>
          <w:bCs/>
        </w:rPr>
        <w:t>11、持有待售资产</w:t>
      </w:r>
      <w:bookmarkEnd w:id="232"/>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期末账面余额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减值准备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期末账面价值</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公允价值</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预计处置费用</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预计处置时间</w:t>
            </w:r>
          </w:p>
        </w:tc>
      </w:tr>
    </w:tbl>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其他说明</w:t>
      </w:r>
    </w:p>
    <w:p>
      <w:pPr>
        <w:rPr>
          <w:rFonts w:ascii="Times New Roman" w:hAnsi="Times New Roman" w:cs="Times New Roman"/>
        </w:rPr>
      </w:pPr>
    </w:p>
    <w:p>
      <w:pPr>
        <w:pStyle w:val="3"/>
        <w:spacing w:line="280" w:lineRule="exact"/>
        <w:jc w:val="left"/>
        <w:rPr>
          <w:rFonts w:ascii="Times New Roman" w:hAnsi="Times New Roman" w:cs="Times New Roman"/>
          <w:b/>
          <w:bCs/>
        </w:rPr>
      </w:pPr>
      <w:bookmarkStart w:id="233" w:name="_Toc989118"/>
      <w:r>
        <w:rPr>
          <w:rFonts w:ascii="Times New Roman" w:hAnsi="Times New Roman" w:cs="Times New Roman"/>
          <w:b/>
          <w:bCs/>
        </w:rPr>
        <w:t>12、一年内到期的非流动资产</w:t>
      </w:r>
      <w:bookmarkEnd w:id="233"/>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期初余额</w:t>
            </w:r>
          </w:p>
        </w:tc>
      </w:tr>
    </w:tbl>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重要的债权投资/其他债权投资</w:t>
      </w:r>
    </w:p>
    <w:p>
      <w:pPr>
        <w:spacing w:before="120" w:after="12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71"/>
        <w:gridCol w:w="1071"/>
        <w:gridCol w:w="1071"/>
        <w:gridCol w:w="1071"/>
        <w:gridCol w:w="1071"/>
        <w:gridCol w:w="1071"/>
        <w:gridCol w:w="1071"/>
        <w:gridCol w:w="1071"/>
        <w:gridCol w:w="107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债权项目</w:t>
            </w:r>
          </w:p>
        </w:tc>
        <w:tc>
          <w:tcPr>
            <w:tcW w:w="4284"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期末余额</w:t>
            </w:r>
          </w:p>
        </w:tc>
        <w:tc>
          <w:tcPr>
            <w:tcW w:w="4284"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面值</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票面利率</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实际利率</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到期日</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面值</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票面利率</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实际利率</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到期日</w:t>
            </w:r>
          </w:p>
        </w:tc>
      </w:tr>
    </w:tbl>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其他说明：</w:t>
      </w:r>
    </w:p>
    <w:p>
      <w:pPr>
        <w:rPr>
          <w:rFonts w:ascii="Times New Roman" w:hAnsi="Times New Roman" w:cs="Times New Roman"/>
        </w:rPr>
      </w:pPr>
    </w:p>
    <w:p>
      <w:pPr>
        <w:pStyle w:val="3"/>
        <w:spacing w:line="280" w:lineRule="exact"/>
        <w:jc w:val="left"/>
        <w:rPr>
          <w:rFonts w:ascii="Times New Roman" w:hAnsi="Times New Roman" w:cs="Times New Roman"/>
          <w:b/>
          <w:bCs/>
        </w:rPr>
      </w:pPr>
      <w:bookmarkStart w:id="234" w:name="_Toc989119"/>
      <w:r>
        <w:rPr>
          <w:rFonts w:ascii="Times New Roman" w:hAnsi="Times New Roman" w:cs="Times New Roman"/>
          <w:b/>
          <w:bCs/>
        </w:rPr>
        <w:t>13、其他流动资产</w:t>
      </w:r>
      <w:bookmarkEnd w:id="234"/>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预缴所得税</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1,659.79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待抵扣/认证/留抵进项税</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55,265.67</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49,910.31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55,265.67</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51,570.10</w:t>
            </w:r>
          </w:p>
        </w:tc>
      </w:tr>
    </w:tbl>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其他说明：</w:t>
      </w:r>
    </w:p>
    <w:p>
      <w:pPr>
        <w:rPr>
          <w:rFonts w:ascii="Times New Roman" w:hAnsi="Times New Roman" w:cs="Times New Roman"/>
        </w:rPr>
      </w:pPr>
    </w:p>
    <w:p>
      <w:pPr>
        <w:pStyle w:val="3"/>
        <w:spacing w:line="280" w:lineRule="exact"/>
        <w:jc w:val="left"/>
        <w:rPr>
          <w:rFonts w:ascii="Times New Roman" w:hAnsi="Times New Roman" w:cs="Times New Roman"/>
          <w:b/>
          <w:bCs/>
        </w:rPr>
      </w:pPr>
      <w:bookmarkStart w:id="235" w:name="_Toc989120"/>
      <w:r>
        <w:rPr>
          <w:rFonts w:ascii="Times New Roman" w:hAnsi="Times New Roman" w:cs="Times New Roman"/>
          <w:b/>
          <w:bCs/>
        </w:rPr>
        <w:t>14、债权投资</w:t>
      </w:r>
      <w:bookmarkEnd w:id="235"/>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期末余额</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减值准备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账面价值</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减值准备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账面价值</w:t>
            </w:r>
          </w:p>
        </w:tc>
      </w:tr>
    </w:tbl>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重要的债权投资</w:t>
      </w:r>
    </w:p>
    <w:p>
      <w:pPr>
        <w:spacing w:before="120" w:after="12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71"/>
        <w:gridCol w:w="1071"/>
        <w:gridCol w:w="1071"/>
        <w:gridCol w:w="1071"/>
        <w:gridCol w:w="1071"/>
        <w:gridCol w:w="1071"/>
        <w:gridCol w:w="1071"/>
        <w:gridCol w:w="1071"/>
        <w:gridCol w:w="107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债权项目</w:t>
            </w:r>
          </w:p>
        </w:tc>
        <w:tc>
          <w:tcPr>
            <w:tcW w:w="4284"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期末余额</w:t>
            </w:r>
          </w:p>
        </w:tc>
        <w:tc>
          <w:tcPr>
            <w:tcW w:w="4284"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面值</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票面利率</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实际利率</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到期日</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面值</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票面利率</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实际利率</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到期日</w:t>
            </w:r>
          </w:p>
        </w:tc>
      </w:tr>
    </w:tbl>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减值准备计提情况</w:t>
      </w:r>
    </w:p>
    <w:p>
      <w:pPr>
        <w:spacing w:before="120" w:after="12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7"/>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坏账准备</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第一阶段</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第二阶段</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第三阶段</w:t>
            </w:r>
          </w:p>
        </w:tc>
        <w:tc>
          <w:tcPr>
            <w:tcW w:w="19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未来12个月预期信用损失</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整个存续期预期信用损失(未发生信用减值)</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整个存续期预期信用损失(已发生信用减值)</w:t>
            </w:r>
          </w:p>
        </w:tc>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2023年1月1日余额在本期</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r>
    </w:tbl>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损失准备本期变动金额重大的账面余额变动情况</w:t>
      </w:r>
    </w:p>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 xml:space="preserve">□适用 </w:t>
      </w: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不适用</w:t>
      </w: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其他说明：</w:t>
      </w:r>
    </w:p>
    <w:p>
      <w:pPr>
        <w:rPr>
          <w:rFonts w:ascii="Times New Roman" w:hAnsi="Times New Roman" w:cs="Times New Roman"/>
        </w:rPr>
      </w:pPr>
    </w:p>
    <w:p>
      <w:pPr>
        <w:pStyle w:val="3"/>
        <w:spacing w:line="280" w:lineRule="exact"/>
        <w:jc w:val="left"/>
        <w:rPr>
          <w:rFonts w:ascii="Times New Roman" w:hAnsi="Times New Roman" w:cs="Times New Roman"/>
          <w:b/>
          <w:bCs/>
        </w:rPr>
      </w:pPr>
      <w:bookmarkStart w:id="236" w:name="_Toc989121"/>
      <w:r>
        <w:rPr>
          <w:rFonts w:ascii="Times New Roman" w:hAnsi="Times New Roman" w:cs="Times New Roman"/>
          <w:b/>
          <w:bCs/>
        </w:rPr>
        <w:t>15、其他债权投资</w:t>
      </w:r>
      <w:bookmarkEnd w:id="236"/>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71"/>
        <w:gridCol w:w="1071"/>
        <w:gridCol w:w="1071"/>
        <w:gridCol w:w="1071"/>
        <w:gridCol w:w="1071"/>
        <w:gridCol w:w="1071"/>
        <w:gridCol w:w="1071"/>
        <w:gridCol w:w="1071"/>
        <w:gridCol w:w="107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期初余额</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应计利息</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本期公允价值变动</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期末余额</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成本</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累计公允价值变动</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累计在其他综合收益中确认的损失准备</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备注</w:t>
            </w:r>
          </w:p>
        </w:tc>
      </w:tr>
    </w:tbl>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重要的其他债权投资</w:t>
      </w:r>
    </w:p>
    <w:p>
      <w:pPr>
        <w:spacing w:before="120" w:after="12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71"/>
        <w:gridCol w:w="1071"/>
        <w:gridCol w:w="1071"/>
        <w:gridCol w:w="1071"/>
        <w:gridCol w:w="1071"/>
        <w:gridCol w:w="1071"/>
        <w:gridCol w:w="1071"/>
        <w:gridCol w:w="1071"/>
        <w:gridCol w:w="107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其他债权项目</w:t>
            </w:r>
          </w:p>
        </w:tc>
        <w:tc>
          <w:tcPr>
            <w:tcW w:w="4284"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期末余额</w:t>
            </w:r>
          </w:p>
        </w:tc>
        <w:tc>
          <w:tcPr>
            <w:tcW w:w="4284"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面值</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票面利率</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实际利率</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到期日</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面值</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票面利率</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实际利率</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到期日</w:t>
            </w:r>
          </w:p>
        </w:tc>
      </w:tr>
    </w:tbl>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减值准备计提情况</w:t>
      </w:r>
    </w:p>
    <w:p>
      <w:pPr>
        <w:spacing w:before="120" w:after="12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7"/>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坏账准备</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第一阶段</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第二阶段</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第三阶段</w:t>
            </w:r>
          </w:p>
        </w:tc>
        <w:tc>
          <w:tcPr>
            <w:tcW w:w="19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未来12个月预期信用损失</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整个存续期预期信用损失(未发生信用减值)</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整个存续期预期信用损失(已发生信用减值)</w:t>
            </w:r>
          </w:p>
        </w:tc>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2023年1月1日余额在本期</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r>
    </w:tbl>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损失准备本期变动金额重大的账面余额变动情况</w:t>
      </w:r>
    </w:p>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 xml:space="preserve">□适用 </w:t>
      </w: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不适用</w:t>
      </w: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其他说明：</w:t>
      </w:r>
    </w:p>
    <w:p>
      <w:pPr>
        <w:rPr>
          <w:rFonts w:ascii="Times New Roman" w:hAnsi="Times New Roman" w:cs="Times New Roman"/>
        </w:rPr>
      </w:pPr>
    </w:p>
    <w:p>
      <w:pPr>
        <w:pStyle w:val="3"/>
        <w:spacing w:line="280" w:lineRule="exact"/>
        <w:jc w:val="left"/>
        <w:rPr>
          <w:rFonts w:ascii="Times New Roman" w:hAnsi="Times New Roman" w:cs="Times New Roman"/>
          <w:b/>
          <w:bCs/>
        </w:rPr>
      </w:pPr>
      <w:bookmarkStart w:id="237" w:name="_Toc989122"/>
      <w:r>
        <w:rPr>
          <w:rFonts w:ascii="Times New Roman" w:hAnsi="Times New Roman" w:cs="Times New Roman"/>
          <w:b/>
          <w:bCs/>
        </w:rPr>
        <w:t>16、长期应收款</w:t>
      </w:r>
      <w:bookmarkEnd w:id="237"/>
    </w:p>
    <w:p>
      <w:pPr>
        <w:keepNext/>
        <w:keepLines/>
        <w:spacing w:before="300" w:after="300" w:line="280" w:lineRule="exact"/>
        <w:outlineLvl w:val="3"/>
        <w:rPr>
          <w:rFonts w:ascii="Times New Roman" w:hAnsi="Times New Roman" w:eastAsia="宋体" w:cs="Times New Roman"/>
          <w:b/>
          <w:bCs/>
          <w:szCs w:val="21"/>
        </w:rPr>
      </w:pPr>
      <w:bookmarkStart w:id="238" w:name="_Toc989123"/>
      <w:r>
        <w:rPr>
          <w:rFonts w:ascii="Times New Roman" w:hAnsi="Times New Roman" w:eastAsia="宋体" w:cs="Times New Roman"/>
          <w:b/>
          <w:bCs/>
          <w:szCs w:val="21"/>
        </w:rPr>
        <w:t>（1） 长期应收款情况</w:t>
      </w:r>
      <w:bookmarkEnd w:id="238"/>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204"/>
        <w:gridCol w:w="1205"/>
        <w:gridCol w:w="1205"/>
        <w:gridCol w:w="1205"/>
        <w:gridCol w:w="1205"/>
        <w:gridCol w:w="1205"/>
        <w:gridCol w:w="1205"/>
        <w:gridCol w:w="120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w:t>
            </w:r>
          </w:p>
        </w:tc>
        <w:tc>
          <w:tcPr>
            <w:tcW w:w="3615"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期末余额</w:t>
            </w:r>
          </w:p>
        </w:tc>
        <w:tc>
          <w:tcPr>
            <w:tcW w:w="3615"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期初余额</w:t>
            </w:r>
          </w:p>
        </w:tc>
        <w:tc>
          <w:tcPr>
            <w:tcW w:w="120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折现率区间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账面余额</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坏账准备</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账面价值</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账面余额</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坏账准备</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账面价值</w:t>
            </w:r>
          </w:p>
        </w:tc>
        <w:tc>
          <w:tcPr>
            <w:tcW w:w="1205"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r>
    </w:tbl>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坏账准备减值情况</w:t>
      </w:r>
    </w:p>
    <w:p>
      <w:pPr>
        <w:spacing w:before="120" w:after="12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7"/>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坏账准备</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第一阶段</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第二阶段</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第三阶段</w:t>
            </w:r>
          </w:p>
        </w:tc>
        <w:tc>
          <w:tcPr>
            <w:tcW w:w="19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未来12个月预期信用损失</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整个存续期预期信用损失(未发生信用减值)</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整个存续期预期信用损失(已发生信用减值)</w:t>
            </w:r>
          </w:p>
        </w:tc>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2023年1月1日余额在本期</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r>
    </w:tbl>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损失准备本期变动金额重大的账面余额变动情况</w:t>
      </w:r>
    </w:p>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 xml:space="preserve">□适用 </w:t>
      </w: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不适用</w:t>
      </w:r>
    </w:p>
    <w:p>
      <w:pPr>
        <w:rPr>
          <w:rFonts w:ascii="Times New Roman" w:hAnsi="Times New Roman" w:cs="Times New Roman"/>
        </w:rPr>
      </w:pPr>
    </w:p>
    <w:p>
      <w:pPr>
        <w:keepNext/>
        <w:keepLines/>
        <w:spacing w:before="300" w:after="300" w:line="280" w:lineRule="exact"/>
        <w:outlineLvl w:val="3"/>
        <w:rPr>
          <w:rFonts w:ascii="Times New Roman" w:hAnsi="Times New Roman" w:eastAsia="宋体" w:cs="Times New Roman"/>
          <w:b/>
          <w:bCs/>
          <w:szCs w:val="21"/>
        </w:rPr>
      </w:pPr>
      <w:bookmarkStart w:id="239" w:name="_Toc989124"/>
      <w:r>
        <w:rPr>
          <w:rFonts w:ascii="Times New Roman" w:hAnsi="Times New Roman" w:eastAsia="宋体" w:cs="Times New Roman"/>
          <w:b/>
          <w:bCs/>
          <w:szCs w:val="21"/>
        </w:rPr>
        <w:t>（2） 因金融资产转移而终止确认的长期应收款</w:t>
      </w:r>
      <w:bookmarkEnd w:id="239"/>
    </w:p>
    <w:p>
      <w:pPr>
        <w:rPr>
          <w:rFonts w:ascii="Times New Roman" w:hAnsi="Times New Roman" w:cs="Times New Roman"/>
        </w:rPr>
      </w:pPr>
    </w:p>
    <w:p>
      <w:pPr>
        <w:keepNext/>
        <w:keepLines/>
        <w:spacing w:before="300" w:after="300" w:line="280" w:lineRule="exact"/>
        <w:outlineLvl w:val="3"/>
        <w:rPr>
          <w:rFonts w:ascii="Times New Roman" w:hAnsi="Times New Roman" w:eastAsia="宋体" w:cs="Times New Roman"/>
          <w:b/>
          <w:bCs/>
          <w:szCs w:val="21"/>
        </w:rPr>
      </w:pPr>
      <w:bookmarkStart w:id="240" w:name="_Toc989125"/>
      <w:r>
        <w:rPr>
          <w:rFonts w:ascii="Times New Roman" w:hAnsi="Times New Roman" w:eastAsia="宋体" w:cs="Times New Roman"/>
          <w:b/>
          <w:bCs/>
          <w:szCs w:val="21"/>
        </w:rPr>
        <w:t>（3） 转移长期应收款且继续涉入形成的资产、负债金额</w:t>
      </w:r>
      <w:bookmarkEnd w:id="240"/>
    </w:p>
    <w:p>
      <w:pPr>
        <w:rPr>
          <w:rFonts w:ascii="Times New Roman" w:hAnsi="Times New Roman" w:cs="Times New Roman"/>
        </w:rPr>
      </w:pP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其他说明</w:t>
      </w:r>
    </w:p>
    <w:p>
      <w:pPr>
        <w:rPr>
          <w:rFonts w:ascii="Times New Roman" w:hAnsi="Times New Roman" w:cs="Times New Roman"/>
        </w:rPr>
      </w:pPr>
    </w:p>
    <w:p>
      <w:pPr>
        <w:pStyle w:val="3"/>
        <w:spacing w:line="280" w:lineRule="exact"/>
        <w:jc w:val="left"/>
        <w:rPr>
          <w:rFonts w:ascii="Times New Roman" w:hAnsi="Times New Roman" w:cs="Times New Roman"/>
          <w:b/>
          <w:bCs/>
        </w:rPr>
      </w:pPr>
      <w:bookmarkStart w:id="241" w:name="_Toc989126"/>
      <w:r>
        <w:rPr>
          <w:rFonts w:ascii="Times New Roman" w:hAnsi="Times New Roman" w:cs="Times New Roman"/>
          <w:b/>
          <w:bCs/>
        </w:rPr>
        <w:t>17、长期股权投资</w:t>
      </w:r>
      <w:bookmarkEnd w:id="241"/>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03"/>
        <w:gridCol w:w="803"/>
        <w:gridCol w:w="803"/>
        <w:gridCol w:w="803"/>
        <w:gridCol w:w="803"/>
        <w:gridCol w:w="803"/>
        <w:gridCol w:w="803"/>
        <w:gridCol w:w="803"/>
        <w:gridCol w:w="803"/>
        <w:gridCol w:w="805"/>
        <w:gridCol w:w="803"/>
        <w:gridCol w:w="80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被投资单位</w:t>
            </w:r>
          </w:p>
        </w:tc>
        <w:tc>
          <w:tcPr>
            <w:tcW w:w="8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期初余额（账面价值）</w:t>
            </w:r>
          </w:p>
        </w:tc>
        <w:tc>
          <w:tcPr>
            <w:tcW w:w="6426" w:type="dxa"/>
            <w:gridSpan w:val="8"/>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本期增减变动</w:t>
            </w:r>
          </w:p>
        </w:tc>
        <w:tc>
          <w:tcPr>
            <w:tcW w:w="8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期末余额（账面价值）</w:t>
            </w:r>
          </w:p>
        </w:tc>
        <w:tc>
          <w:tcPr>
            <w:tcW w:w="8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减值准备期末余额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0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80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追加投资</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减少投资</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权益法下确认的投资损益</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其他综合收益调整</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其他权益变动</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宣告发放现金股利或利润</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计提减值准备</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其他</w:t>
            </w:r>
          </w:p>
        </w:tc>
        <w:tc>
          <w:tcPr>
            <w:tcW w:w="80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80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1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一、合营企业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1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二、联营企业</w:t>
            </w:r>
          </w:p>
        </w:tc>
      </w:tr>
    </w:tbl>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其他说明</w:t>
      </w:r>
    </w:p>
    <w:p>
      <w:pPr>
        <w:rPr>
          <w:rFonts w:ascii="Times New Roman" w:hAnsi="Times New Roman" w:cs="Times New Roman"/>
        </w:rPr>
      </w:pPr>
    </w:p>
    <w:p>
      <w:pPr>
        <w:pStyle w:val="3"/>
        <w:spacing w:line="280" w:lineRule="exact"/>
        <w:jc w:val="left"/>
        <w:rPr>
          <w:rFonts w:ascii="Times New Roman" w:hAnsi="Times New Roman" w:cs="Times New Roman"/>
          <w:b/>
          <w:bCs/>
        </w:rPr>
      </w:pPr>
      <w:bookmarkStart w:id="242" w:name="_Toc989127"/>
      <w:r>
        <w:rPr>
          <w:rFonts w:ascii="Times New Roman" w:hAnsi="Times New Roman" w:cs="Times New Roman"/>
          <w:b/>
          <w:bCs/>
        </w:rPr>
        <w:t>18、其他权益工具投资</w:t>
      </w:r>
      <w:bookmarkEnd w:id="242"/>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北京佰镒通科技有限公司</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322,179.67</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322,179.67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322,179.67</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322,179.67</w:t>
            </w:r>
          </w:p>
        </w:tc>
      </w:tr>
    </w:tbl>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分项披露本期非交易性权益工具投资</w:t>
      </w:r>
    </w:p>
    <w:p>
      <w:pPr>
        <w:spacing w:before="120" w:after="12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项目名称</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确认的股利收入</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累计利得</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累计损失</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其他综合收益转入留存收益的金额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指定为以公允价值计量且其变动计入其他综合收益的原因</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其他综合收益转入留存收益的原因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北京佰镒通科技有限公司股权投资</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11,777,820.33</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基于战略投资的考虑</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p>
        </w:tc>
      </w:tr>
    </w:tbl>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其他说明：</w:t>
      </w:r>
    </w:p>
    <w:p>
      <w:pPr>
        <w:rPr>
          <w:rFonts w:ascii="Times New Roman" w:hAnsi="Times New Roman" w:cs="Times New Roman"/>
        </w:rPr>
      </w:pPr>
    </w:p>
    <w:p>
      <w:pPr>
        <w:pStyle w:val="3"/>
        <w:spacing w:line="280" w:lineRule="exact"/>
        <w:jc w:val="left"/>
        <w:rPr>
          <w:rFonts w:ascii="Times New Roman" w:hAnsi="Times New Roman" w:cs="Times New Roman"/>
          <w:b/>
          <w:bCs/>
        </w:rPr>
      </w:pPr>
      <w:bookmarkStart w:id="243" w:name="_Toc989128"/>
      <w:r>
        <w:rPr>
          <w:rFonts w:ascii="Times New Roman" w:hAnsi="Times New Roman" w:cs="Times New Roman"/>
          <w:b/>
          <w:bCs/>
        </w:rPr>
        <w:t>19、其他非流动金融资产</w:t>
      </w:r>
      <w:bookmarkEnd w:id="243"/>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期初余额</w:t>
            </w:r>
          </w:p>
        </w:tc>
      </w:tr>
    </w:tbl>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其他说明：</w:t>
      </w:r>
    </w:p>
    <w:p>
      <w:pPr>
        <w:rPr>
          <w:rFonts w:ascii="Times New Roman" w:hAnsi="Times New Roman" w:cs="Times New Roman"/>
        </w:rPr>
      </w:pPr>
    </w:p>
    <w:p>
      <w:pPr>
        <w:pStyle w:val="3"/>
        <w:spacing w:line="280" w:lineRule="exact"/>
        <w:jc w:val="left"/>
        <w:rPr>
          <w:rFonts w:ascii="Times New Roman" w:hAnsi="Times New Roman" w:cs="Times New Roman"/>
          <w:b/>
          <w:bCs/>
        </w:rPr>
      </w:pPr>
      <w:bookmarkStart w:id="244" w:name="_Toc989129"/>
      <w:r>
        <w:rPr>
          <w:rFonts w:ascii="Times New Roman" w:hAnsi="Times New Roman" w:cs="Times New Roman"/>
          <w:b/>
          <w:bCs/>
        </w:rPr>
        <w:t>20、投资性房地产</w:t>
      </w:r>
      <w:bookmarkEnd w:id="244"/>
    </w:p>
    <w:p>
      <w:pPr>
        <w:keepNext/>
        <w:keepLines/>
        <w:spacing w:before="300" w:after="300" w:line="280" w:lineRule="exact"/>
        <w:outlineLvl w:val="3"/>
        <w:rPr>
          <w:rFonts w:ascii="Times New Roman" w:hAnsi="Times New Roman" w:eastAsia="宋体" w:cs="Times New Roman"/>
          <w:b/>
          <w:bCs/>
          <w:sz w:val="18"/>
          <w:szCs w:val="18"/>
        </w:rPr>
      </w:pPr>
      <w:bookmarkStart w:id="245" w:name="_Toc989130"/>
      <w:r>
        <w:rPr>
          <w:rFonts w:ascii="Times New Roman" w:hAnsi="Times New Roman" w:eastAsia="宋体" w:cs="Times New Roman"/>
          <w:b/>
          <w:bCs/>
          <w:sz w:val="18"/>
          <w:szCs w:val="18"/>
        </w:rPr>
        <w:t>（1） 采用成本计量模式的投资性房地产</w:t>
      </w:r>
      <w:bookmarkEnd w:id="245"/>
    </w:p>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 xml:space="preserve">□适用 </w:t>
      </w: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不适用</w:t>
      </w:r>
    </w:p>
    <w:p>
      <w:pPr>
        <w:keepNext/>
        <w:keepLines/>
        <w:spacing w:before="300" w:after="300" w:line="280" w:lineRule="exact"/>
        <w:outlineLvl w:val="3"/>
        <w:rPr>
          <w:rFonts w:ascii="Times New Roman" w:hAnsi="Times New Roman" w:eastAsia="宋体" w:cs="Times New Roman"/>
          <w:b/>
          <w:bCs/>
          <w:sz w:val="18"/>
          <w:szCs w:val="18"/>
        </w:rPr>
      </w:pPr>
      <w:bookmarkStart w:id="246" w:name="_Toc989131"/>
      <w:r>
        <w:rPr>
          <w:rFonts w:ascii="Times New Roman" w:hAnsi="Times New Roman" w:eastAsia="宋体" w:cs="Times New Roman"/>
          <w:b/>
          <w:bCs/>
          <w:sz w:val="18"/>
          <w:szCs w:val="18"/>
        </w:rPr>
        <w:t>（2） 采用公允价值计量模式的投资性房地产</w:t>
      </w:r>
      <w:bookmarkEnd w:id="246"/>
    </w:p>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 xml:space="preserve">□适用 </w:t>
      </w: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不适用</w:t>
      </w:r>
    </w:p>
    <w:p>
      <w:pPr>
        <w:keepNext/>
        <w:keepLines/>
        <w:spacing w:before="300" w:after="300" w:line="280" w:lineRule="exact"/>
        <w:outlineLvl w:val="3"/>
        <w:rPr>
          <w:rFonts w:ascii="Times New Roman" w:hAnsi="Times New Roman" w:eastAsia="宋体" w:cs="Times New Roman"/>
          <w:b/>
          <w:bCs/>
          <w:sz w:val="18"/>
          <w:szCs w:val="18"/>
        </w:rPr>
      </w:pPr>
      <w:bookmarkStart w:id="247" w:name="_Toc989132"/>
      <w:r>
        <w:rPr>
          <w:rFonts w:ascii="Times New Roman" w:hAnsi="Times New Roman" w:eastAsia="宋体" w:cs="Times New Roman"/>
          <w:b/>
          <w:bCs/>
          <w:sz w:val="18"/>
          <w:szCs w:val="18"/>
        </w:rPr>
        <w:t>（3） 未办妥产权证书的投资性房地产情况</w:t>
      </w:r>
      <w:bookmarkEnd w:id="247"/>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账面价值</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未办妥产权证书原因</w:t>
            </w:r>
          </w:p>
        </w:tc>
      </w:tr>
    </w:tbl>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其他说明</w:t>
      </w:r>
    </w:p>
    <w:p>
      <w:pPr>
        <w:rPr>
          <w:rFonts w:ascii="Times New Roman" w:hAnsi="Times New Roman" w:cs="Times New Roman"/>
        </w:rPr>
      </w:pPr>
    </w:p>
    <w:p>
      <w:pPr>
        <w:pStyle w:val="3"/>
        <w:spacing w:line="280" w:lineRule="exact"/>
        <w:jc w:val="left"/>
        <w:rPr>
          <w:rFonts w:ascii="Times New Roman" w:hAnsi="Times New Roman" w:cs="Times New Roman"/>
          <w:b/>
          <w:bCs/>
        </w:rPr>
      </w:pPr>
      <w:bookmarkStart w:id="248" w:name="_Toc989133"/>
      <w:r>
        <w:rPr>
          <w:rFonts w:ascii="Times New Roman" w:hAnsi="Times New Roman" w:cs="Times New Roman"/>
          <w:b/>
          <w:bCs/>
        </w:rPr>
        <w:t>21、固定资产</w:t>
      </w:r>
      <w:bookmarkEnd w:id="248"/>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固定资产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1,755,912,427.55</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1,791,086,868.21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1,755,912,427.55</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1,791,086,868.21</w:t>
            </w:r>
          </w:p>
        </w:tc>
      </w:tr>
    </w:tbl>
    <w:p>
      <w:pPr>
        <w:keepNext/>
        <w:keepLines/>
        <w:spacing w:before="300" w:after="300" w:line="280" w:lineRule="exact"/>
        <w:outlineLvl w:val="3"/>
        <w:rPr>
          <w:rFonts w:ascii="Times New Roman" w:hAnsi="Times New Roman" w:eastAsia="宋体" w:cs="Times New Roman"/>
          <w:b/>
          <w:bCs/>
          <w:szCs w:val="21"/>
        </w:rPr>
      </w:pPr>
      <w:bookmarkStart w:id="249" w:name="_Toc989134"/>
      <w:r>
        <w:rPr>
          <w:rFonts w:ascii="Times New Roman" w:hAnsi="Times New Roman" w:eastAsia="宋体" w:cs="Times New Roman"/>
          <w:b/>
          <w:bCs/>
          <w:szCs w:val="21"/>
        </w:rPr>
        <w:t>（1） 固定资产情况</w:t>
      </w:r>
      <w:bookmarkEnd w:id="249"/>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房屋及建筑物</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机器设备</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电子设备</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交通运输设备</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家具等</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一、账面原值：</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rPr>
                <w:rFonts w:ascii="Times New Roman" w:hAnsi="Times New Roman" w:eastAsia="宋体" w:cs="Times New Roman"/>
                <w:sz w:val="18"/>
                <w:szCs w:val="18"/>
              </w:rPr>
            </w:pPr>
            <w:r>
              <w:rPr>
                <w:rFonts w:ascii="Times New Roman" w:hAnsi="Times New Roman" w:eastAsia="宋体" w:cs="Times New Roman"/>
                <w:sz w:val="18"/>
                <w:szCs w:val="18"/>
              </w:rPr>
              <w:t>1.期初余额</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1,545,833,645.66</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866,884,324.68</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46,457,679.98</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36,148,676.30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77,236,371.15</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2,572,560,697.77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rPr>
                <w:rFonts w:ascii="Times New Roman" w:hAnsi="Times New Roman" w:eastAsia="宋体" w:cs="Times New Roman"/>
                <w:sz w:val="18"/>
                <w:szCs w:val="18"/>
              </w:rPr>
            </w:pPr>
            <w:r>
              <w:rPr>
                <w:rFonts w:ascii="Times New Roman" w:hAnsi="Times New Roman" w:eastAsia="宋体" w:cs="Times New Roman"/>
                <w:sz w:val="18"/>
                <w:szCs w:val="18"/>
              </w:rPr>
              <w:t>2.本期增加金额</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23,979,406.08</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16,491,031.52</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2,158,021.34</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2,077,350.21</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2,007,083.77</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46,712,892.92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rPr>
                <w:rFonts w:ascii="Times New Roman" w:hAnsi="Times New Roman" w:eastAsia="宋体" w:cs="Times New Roman"/>
                <w:sz w:val="18"/>
                <w:szCs w:val="18"/>
              </w:rPr>
            </w:pPr>
            <w:r>
              <w:rPr>
                <w:rFonts w:ascii="Times New Roman" w:hAnsi="Times New Roman" w:eastAsia="宋体" w:cs="Times New Roman"/>
                <w:sz w:val="18"/>
                <w:szCs w:val="18"/>
              </w:rPr>
              <w:t>（1）购置</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21,131,788.08</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12,392,152.74</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1,855,546.09</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2,077,350.21</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2,007,083.77</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39,463,920.89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rPr>
                <w:rFonts w:ascii="Times New Roman" w:hAnsi="Times New Roman" w:eastAsia="宋体" w:cs="Times New Roman"/>
                <w:sz w:val="18"/>
                <w:szCs w:val="18"/>
              </w:rPr>
            </w:pPr>
            <w:r>
              <w:rPr>
                <w:rFonts w:ascii="Times New Roman" w:hAnsi="Times New Roman" w:eastAsia="宋体" w:cs="Times New Roman"/>
                <w:sz w:val="18"/>
                <w:szCs w:val="18"/>
              </w:rPr>
              <w:t>（2）在建工程转入</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2,847,618.00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4,098,878.78</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302,475.25</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7,248,972.03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rPr>
                <w:rFonts w:ascii="Times New Roman" w:hAnsi="Times New Roman" w:eastAsia="宋体" w:cs="Times New Roman"/>
                <w:sz w:val="18"/>
                <w:szCs w:val="18"/>
              </w:rPr>
            </w:pPr>
            <w:r>
              <w:rPr>
                <w:rFonts w:ascii="Times New Roman" w:hAnsi="Times New Roman" w:eastAsia="宋体" w:cs="Times New Roman"/>
                <w:sz w:val="18"/>
                <w:szCs w:val="18"/>
              </w:rPr>
              <w:t>（3）企业合并增加</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rPr>
                <w:rFonts w:ascii="Times New Roman" w:hAnsi="Times New Roman" w:eastAsia="宋体" w:cs="Times New Roman"/>
                <w:sz w:val="18"/>
                <w:szCs w:val="18"/>
              </w:rPr>
            </w:pPr>
            <w:r>
              <w:rPr>
                <w:rFonts w:ascii="Times New Roman" w:hAnsi="Times New Roman" w:eastAsia="宋体" w:cs="Times New Roman"/>
                <w:sz w:val="18"/>
                <w:szCs w:val="18"/>
              </w:rPr>
              <w:t>3.本期减少金额</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775,161.60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1,706,280.52</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1,577,782.50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34,927.93</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935,757.84</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5,029,910.39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rPr>
                <w:rFonts w:ascii="Times New Roman" w:hAnsi="Times New Roman" w:eastAsia="宋体" w:cs="Times New Roman"/>
                <w:sz w:val="18"/>
                <w:szCs w:val="18"/>
              </w:rPr>
            </w:pPr>
            <w:r>
              <w:rPr>
                <w:rFonts w:ascii="Times New Roman" w:hAnsi="Times New Roman" w:eastAsia="宋体" w:cs="Times New Roman"/>
                <w:sz w:val="18"/>
                <w:szCs w:val="18"/>
              </w:rPr>
              <w:t>（1）处置或报废</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775,161.60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1,706,280.52</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1,577,782.50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34,927.93</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935,757.84</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5,029,910.39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rPr>
                <w:rFonts w:ascii="Times New Roman" w:hAnsi="Times New Roman" w:eastAsia="宋体" w:cs="Times New Roman"/>
                <w:sz w:val="18"/>
                <w:szCs w:val="18"/>
              </w:rPr>
            </w:pPr>
            <w:r>
              <w:rPr>
                <w:rFonts w:ascii="Times New Roman" w:hAnsi="Times New Roman" w:eastAsia="宋体" w:cs="Times New Roman"/>
                <w:sz w:val="18"/>
                <w:szCs w:val="18"/>
              </w:rPr>
              <w:t>4.期末余额</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1,569,037,890.14</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881,669,075.68</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47,078,184.31</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38,191,098.58</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78,307,697.08</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2,614,283,945.79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二、累计折旧</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rPr>
                <w:rFonts w:ascii="Times New Roman" w:hAnsi="Times New Roman" w:eastAsia="宋体" w:cs="Times New Roman"/>
                <w:sz w:val="18"/>
                <w:szCs w:val="18"/>
              </w:rPr>
            </w:pPr>
            <w:r>
              <w:rPr>
                <w:rFonts w:ascii="Times New Roman" w:hAnsi="Times New Roman" w:eastAsia="宋体" w:cs="Times New Roman"/>
                <w:sz w:val="18"/>
                <w:szCs w:val="18"/>
              </w:rPr>
              <w:t>1.期初余额</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320,482,196.46</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355,225,306.38</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36,899,845.83</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24,783,175.90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44,083,304.99</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781,473,829.56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rPr>
                <w:rFonts w:ascii="Times New Roman" w:hAnsi="Times New Roman" w:eastAsia="宋体" w:cs="Times New Roman"/>
                <w:sz w:val="18"/>
                <w:szCs w:val="18"/>
              </w:rPr>
            </w:pPr>
            <w:r>
              <w:rPr>
                <w:rFonts w:ascii="Times New Roman" w:hAnsi="Times New Roman" w:eastAsia="宋体" w:cs="Times New Roman"/>
                <w:sz w:val="18"/>
                <w:szCs w:val="18"/>
              </w:rPr>
              <w:t>2.本期增加金额</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35,224,417.87</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33,945,754.67</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2,175,443.25</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2,317,277.60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5,069,249.88</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78,732,143.27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rPr>
                <w:rFonts w:ascii="Times New Roman" w:hAnsi="Times New Roman" w:eastAsia="宋体" w:cs="Times New Roman"/>
                <w:sz w:val="18"/>
                <w:szCs w:val="18"/>
              </w:rPr>
            </w:pPr>
            <w:r>
              <w:rPr>
                <w:rFonts w:ascii="Times New Roman" w:hAnsi="Times New Roman" w:eastAsia="宋体" w:cs="Times New Roman"/>
                <w:sz w:val="18"/>
                <w:szCs w:val="18"/>
              </w:rPr>
              <w:t>（1）计提</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35,224,417.87</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33,945,754.67</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2,175,443.25</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2,317,277.60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5,069,249.88</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78,732,143.27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rPr>
                <w:rFonts w:ascii="Times New Roman" w:hAnsi="Times New Roman" w:eastAsia="宋体" w:cs="Times New Roman"/>
                <w:sz w:val="18"/>
                <w:szCs w:val="18"/>
              </w:rPr>
            </w:pPr>
            <w:r>
              <w:rPr>
                <w:rFonts w:ascii="Times New Roman" w:hAnsi="Times New Roman" w:eastAsia="宋体" w:cs="Times New Roman"/>
                <w:sz w:val="18"/>
                <w:szCs w:val="18"/>
              </w:rPr>
              <w:t>3.本期减少金额</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167,834.82</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532,827.94</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797,108.11</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470.75</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336,212.97</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1,834,454.59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rPr>
                <w:rFonts w:ascii="Times New Roman" w:hAnsi="Times New Roman" w:eastAsia="宋体" w:cs="Times New Roman"/>
                <w:sz w:val="18"/>
                <w:szCs w:val="18"/>
              </w:rPr>
            </w:pPr>
            <w:r>
              <w:rPr>
                <w:rFonts w:ascii="Times New Roman" w:hAnsi="Times New Roman" w:eastAsia="宋体" w:cs="Times New Roman"/>
                <w:sz w:val="18"/>
                <w:szCs w:val="18"/>
              </w:rPr>
              <w:t>（1）处置或报废</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167,834.82</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532,827.94</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797,108.11</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470.75</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336,212.97</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1,834,454.59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rPr>
                <w:rFonts w:ascii="Times New Roman" w:hAnsi="Times New Roman" w:eastAsia="宋体" w:cs="Times New Roman"/>
                <w:sz w:val="18"/>
                <w:szCs w:val="18"/>
              </w:rPr>
            </w:pPr>
            <w:r>
              <w:rPr>
                <w:rFonts w:ascii="Times New Roman" w:hAnsi="Times New Roman" w:eastAsia="宋体" w:cs="Times New Roman"/>
                <w:sz w:val="18"/>
                <w:szCs w:val="18"/>
              </w:rPr>
              <w:t>4.期末余额</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355,538,779.51</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388,638,233.11</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38,278,180.97</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27,099,982.75</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48,816,341.90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858,371,518.24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三、减值准备</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rPr>
                <w:rFonts w:ascii="Times New Roman" w:hAnsi="Times New Roman" w:eastAsia="宋体" w:cs="Times New Roman"/>
                <w:sz w:val="18"/>
                <w:szCs w:val="18"/>
              </w:rPr>
            </w:pPr>
            <w:r>
              <w:rPr>
                <w:rFonts w:ascii="Times New Roman" w:hAnsi="Times New Roman" w:eastAsia="宋体" w:cs="Times New Roman"/>
                <w:sz w:val="18"/>
                <w:szCs w:val="18"/>
              </w:rPr>
              <w:t>1.期初余额</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rPr>
                <w:rFonts w:ascii="Times New Roman" w:hAnsi="Times New Roman" w:eastAsia="宋体" w:cs="Times New Roman"/>
                <w:sz w:val="18"/>
                <w:szCs w:val="18"/>
              </w:rPr>
            </w:pPr>
            <w:r>
              <w:rPr>
                <w:rFonts w:ascii="Times New Roman" w:hAnsi="Times New Roman" w:eastAsia="宋体" w:cs="Times New Roman"/>
                <w:sz w:val="18"/>
                <w:szCs w:val="18"/>
              </w:rPr>
              <w:t>2.本期增加金额</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rPr>
                <w:rFonts w:ascii="Times New Roman" w:hAnsi="Times New Roman" w:eastAsia="宋体" w:cs="Times New Roman"/>
                <w:sz w:val="18"/>
                <w:szCs w:val="18"/>
              </w:rPr>
            </w:pPr>
            <w:r>
              <w:rPr>
                <w:rFonts w:ascii="Times New Roman" w:hAnsi="Times New Roman" w:eastAsia="宋体" w:cs="Times New Roman"/>
                <w:sz w:val="18"/>
                <w:szCs w:val="18"/>
              </w:rPr>
              <w:t>（1）计提</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rPr>
                <w:rFonts w:ascii="Times New Roman" w:hAnsi="Times New Roman" w:eastAsia="宋体" w:cs="Times New Roman"/>
                <w:sz w:val="18"/>
                <w:szCs w:val="18"/>
              </w:rPr>
            </w:pPr>
            <w:r>
              <w:rPr>
                <w:rFonts w:ascii="Times New Roman" w:hAnsi="Times New Roman" w:eastAsia="宋体" w:cs="Times New Roman"/>
                <w:sz w:val="18"/>
                <w:szCs w:val="18"/>
              </w:rPr>
              <w:t>3.本期减少金额</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rPr>
                <w:rFonts w:ascii="Times New Roman" w:hAnsi="Times New Roman" w:eastAsia="宋体" w:cs="Times New Roman"/>
                <w:sz w:val="18"/>
                <w:szCs w:val="18"/>
              </w:rPr>
            </w:pPr>
            <w:r>
              <w:rPr>
                <w:rFonts w:ascii="Times New Roman" w:hAnsi="Times New Roman" w:eastAsia="宋体" w:cs="Times New Roman"/>
                <w:sz w:val="18"/>
                <w:szCs w:val="18"/>
              </w:rPr>
              <w:t>（1）处置或报废</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rPr>
                <w:rFonts w:ascii="Times New Roman" w:hAnsi="Times New Roman" w:eastAsia="宋体" w:cs="Times New Roman"/>
                <w:sz w:val="18"/>
                <w:szCs w:val="18"/>
              </w:rPr>
            </w:pPr>
            <w:r>
              <w:rPr>
                <w:rFonts w:ascii="Times New Roman" w:hAnsi="Times New Roman" w:eastAsia="宋体" w:cs="Times New Roman"/>
                <w:sz w:val="18"/>
                <w:szCs w:val="18"/>
              </w:rPr>
              <w:t>4.期末余额</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四、账面价值</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rPr>
                <w:rFonts w:ascii="Times New Roman" w:hAnsi="Times New Roman" w:eastAsia="宋体" w:cs="Times New Roman"/>
                <w:sz w:val="18"/>
                <w:szCs w:val="18"/>
              </w:rPr>
            </w:pPr>
            <w:r>
              <w:rPr>
                <w:rFonts w:ascii="Times New Roman" w:hAnsi="Times New Roman" w:eastAsia="宋体" w:cs="Times New Roman"/>
                <w:sz w:val="18"/>
                <w:szCs w:val="18"/>
              </w:rPr>
              <w:t>1.期末账面价值</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1,213,499,110.63</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493,030,842.57</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8,800,003.34</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11,091,115.83</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29,491,355.18</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1,755,912,427.55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rPr>
                <w:rFonts w:ascii="Times New Roman" w:hAnsi="Times New Roman" w:eastAsia="宋体" w:cs="Times New Roman"/>
                <w:sz w:val="18"/>
                <w:szCs w:val="18"/>
              </w:rPr>
            </w:pPr>
            <w:r>
              <w:rPr>
                <w:rFonts w:ascii="Times New Roman" w:hAnsi="Times New Roman" w:eastAsia="宋体" w:cs="Times New Roman"/>
                <w:sz w:val="18"/>
                <w:szCs w:val="18"/>
              </w:rPr>
              <w:t>2.期初账面价值</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1,225,351,449.20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511,659,018.30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9,557,834.15</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11,365,500.40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33,153,066.16</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1,791,086,868.21</w:t>
            </w:r>
          </w:p>
        </w:tc>
      </w:tr>
    </w:tbl>
    <w:p>
      <w:pPr>
        <w:keepNext/>
        <w:keepLines/>
        <w:spacing w:before="300" w:after="300" w:line="280" w:lineRule="exact"/>
        <w:outlineLvl w:val="3"/>
        <w:rPr>
          <w:rFonts w:ascii="Times New Roman" w:hAnsi="Times New Roman" w:eastAsia="宋体" w:cs="Times New Roman"/>
          <w:b/>
          <w:bCs/>
          <w:szCs w:val="21"/>
        </w:rPr>
      </w:pPr>
      <w:bookmarkStart w:id="250" w:name="_Toc989135"/>
      <w:r>
        <w:rPr>
          <w:rFonts w:ascii="Times New Roman" w:hAnsi="Times New Roman" w:eastAsia="宋体" w:cs="Times New Roman"/>
          <w:b/>
          <w:bCs/>
          <w:szCs w:val="21"/>
        </w:rPr>
        <w:t>（2） 暂时闲置的固定资产情况</w:t>
      </w:r>
      <w:bookmarkEnd w:id="250"/>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7"/>
        <w:gridCol w:w="1607"/>
        <w:gridCol w:w="160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账面原值</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累计折旧</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减值准备</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账面价值</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备注</w:t>
            </w:r>
          </w:p>
        </w:tc>
      </w:tr>
    </w:tbl>
    <w:p>
      <w:pPr>
        <w:keepNext/>
        <w:keepLines/>
        <w:spacing w:before="300" w:after="300" w:line="280" w:lineRule="exact"/>
        <w:outlineLvl w:val="3"/>
        <w:rPr>
          <w:rFonts w:ascii="Times New Roman" w:hAnsi="Times New Roman" w:eastAsia="宋体" w:cs="Times New Roman"/>
          <w:b/>
          <w:bCs/>
          <w:szCs w:val="21"/>
        </w:rPr>
      </w:pPr>
      <w:bookmarkStart w:id="251" w:name="_Toc989136"/>
      <w:r>
        <w:rPr>
          <w:rFonts w:ascii="Times New Roman" w:hAnsi="Times New Roman" w:eastAsia="宋体" w:cs="Times New Roman"/>
          <w:b/>
          <w:bCs/>
          <w:szCs w:val="21"/>
        </w:rPr>
        <w:t>（3） 通过经营租赁租出的固定资产</w:t>
      </w:r>
      <w:bookmarkEnd w:id="251"/>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1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期末账面价值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房屋建筑物</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3,049,850.78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机器设备</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10,106.29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运输设备</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175,681.56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合计</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3,235,638.63</w:t>
            </w:r>
          </w:p>
        </w:tc>
      </w:tr>
    </w:tbl>
    <w:p>
      <w:pPr>
        <w:keepNext/>
        <w:keepLines/>
        <w:spacing w:before="300" w:after="300" w:line="280" w:lineRule="exact"/>
        <w:outlineLvl w:val="3"/>
        <w:rPr>
          <w:rFonts w:ascii="Times New Roman" w:hAnsi="Times New Roman" w:eastAsia="宋体" w:cs="Times New Roman"/>
          <w:b/>
          <w:bCs/>
          <w:szCs w:val="21"/>
        </w:rPr>
      </w:pPr>
      <w:bookmarkStart w:id="252" w:name="_Toc989137"/>
      <w:r>
        <w:rPr>
          <w:rFonts w:ascii="Times New Roman" w:hAnsi="Times New Roman" w:eastAsia="宋体" w:cs="Times New Roman"/>
          <w:b/>
          <w:bCs/>
          <w:szCs w:val="21"/>
        </w:rPr>
        <w:t>（4） 未办妥产权证书的固定资产情况</w:t>
      </w:r>
      <w:bookmarkEnd w:id="252"/>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账面价值</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未办妥产权证书的原因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低温冷冻深加工车间</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291,415,752.20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正在办理中</w:t>
            </w:r>
          </w:p>
        </w:tc>
      </w:tr>
    </w:tbl>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其他说明</w:t>
      </w:r>
    </w:p>
    <w:p>
      <w:pPr>
        <w:rPr>
          <w:rFonts w:ascii="Times New Roman" w:hAnsi="Times New Roman" w:cs="Times New Roman"/>
        </w:rPr>
      </w:pPr>
    </w:p>
    <w:p>
      <w:pPr>
        <w:keepNext/>
        <w:keepLines/>
        <w:spacing w:before="300" w:after="300" w:line="280" w:lineRule="exact"/>
        <w:outlineLvl w:val="3"/>
        <w:rPr>
          <w:rFonts w:ascii="Times New Roman" w:hAnsi="Times New Roman" w:eastAsia="宋体" w:cs="Times New Roman"/>
          <w:b/>
          <w:bCs/>
          <w:szCs w:val="21"/>
        </w:rPr>
      </w:pPr>
      <w:bookmarkStart w:id="253" w:name="_Toc989138"/>
      <w:r>
        <w:rPr>
          <w:rFonts w:ascii="Times New Roman" w:hAnsi="Times New Roman" w:eastAsia="宋体" w:cs="Times New Roman"/>
          <w:b/>
          <w:bCs/>
          <w:szCs w:val="21"/>
        </w:rPr>
        <w:t>（5） 固定资产清理</w:t>
      </w:r>
      <w:bookmarkEnd w:id="253"/>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期初余额</w:t>
            </w:r>
          </w:p>
        </w:tc>
      </w:tr>
    </w:tbl>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其他说明：</w:t>
      </w:r>
    </w:p>
    <w:p>
      <w:pPr>
        <w:rPr>
          <w:rFonts w:ascii="Times New Roman" w:hAnsi="Times New Roman" w:cs="Times New Roman"/>
        </w:rPr>
      </w:pPr>
    </w:p>
    <w:p>
      <w:pPr>
        <w:pStyle w:val="3"/>
        <w:spacing w:line="280" w:lineRule="exact"/>
        <w:jc w:val="left"/>
        <w:rPr>
          <w:rFonts w:ascii="Times New Roman" w:hAnsi="Times New Roman" w:cs="Times New Roman"/>
          <w:b/>
          <w:bCs/>
        </w:rPr>
      </w:pPr>
      <w:bookmarkStart w:id="254" w:name="_Toc989139"/>
      <w:r>
        <w:rPr>
          <w:rFonts w:ascii="Times New Roman" w:hAnsi="Times New Roman" w:cs="Times New Roman"/>
          <w:b/>
          <w:bCs/>
        </w:rPr>
        <w:t>22、在建工程</w:t>
      </w:r>
      <w:bookmarkEnd w:id="254"/>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在建工程</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743,671,714.28</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627,981,907.00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743,671,714.28</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627,981,907.00</w:t>
            </w:r>
          </w:p>
        </w:tc>
      </w:tr>
    </w:tbl>
    <w:p>
      <w:pPr>
        <w:keepNext/>
        <w:keepLines/>
        <w:spacing w:before="300" w:after="300" w:line="280" w:lineRule="exact"/>
        <w:outlineLvl w:val="3"/>
        <w:rPr>
          <w:rFonts w:ascii="Times New Roman" w:hAnsi="Times New Roman" w:eastAsia="宋体" w:cs="Times New Roman"/>
          <w:b/>
          <w:bCs/>
          <w:szCs w:val="21"/>
        </w:rPr>
      </w:pPr>
      <w:bookmarkStart w:id="255" w:name="_Toc989140"/>
      <w:r>
        <w:rPr>
          <w:rFonts w:ascii="Times New Roman" w:hAnsi="Times New Roman" w:eastAsia="宋体" w:cs="Times New Roman"/>
          <w:b/>
          <w:bCs/>
          <w:szCs w:val="21"/>
        </w:rPr>
        <w:t>（1） 在建工程情况</w:t>
      </w:r>
      <w:bookmarkEnd w:id="255"/>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期末余额</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减值准备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账面价值</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减值准备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账面价值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土建工程</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728,555,110.55</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728,555,110.55</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621,677,210.78</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621,677,210.78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安装工程</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15,116,603.73</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15,116,603.73</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6,304,696.22</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6,304,696.22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合计</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743,671,714.28</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743,671,714.28</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627,981,907.00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627,981,907.00</w:t>
            </w:r>
          </w:p>
        </w:tc>
      </w:tr>
    </w:tbl>
    <w:p>
      <w:pPr>
        <w:keepNext/>
        <w:keepLines/>
        <w:spacing w:before="300" w:after="300" w:line="280" w:lineRule="exact"/>
        <w:outlineLvl w:val="3"/>
        <w:rPr>
          <w:rFonts w:ascii="Times New Roman" w:hAnsi="Times New Roman" w:eastAsia="宋体" w:cs="Times New Roman"/>
          <w:b/>
          <w:bCs/>
          <w:szCs w:val="21"/>
        </w:rPr>
      </w:pPr>
      <w:bookmarkStart w:id="256" w:name="_Toc989141"/>
      <w:r>
        <w:rPr>
          <w:rFonts w:ascii="Times New Roman" w:hAnsi="Times New Roman" w:eastAsia="宋体" w:cs="Times New Roman"/>
          <w:b/>
          <w:bCs/>
          <w:szCs w:val="21"/>
        </w:rPr>
        <w:t>（2） 重要在建工程项目本期变动情况</w:t>
      </w:r>
      <w:bookmarkEnd w:id="256"/>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42"/>
        <w:gridCol w:w="742"/>
        <w:gridCol w:w="742"/>
        <w:gridCol w:w="742"/>
        <w:gridCol w:w="742"/>
        <w:gridCol w:w="742"/>
        <w:gridCol w:w="741"/>
        <w:gridCol w:w="741"/>
        <w:gridCol w:w="741"/>
        <w:gridCol w:w="741"/>
        <w:gridCol w:w="741"/>
        <w:gridCol w:w="741"/>
        <w:gridCol w:w="74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项目名称</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预算数</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期初余额</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本期增加金额</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本期转入固定资产金额</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本期其他减少金额</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期末余额</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工程累计投入占预算比例</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工程进度</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利息资本化累计金额</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其中：本期利息资本化金额</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本期利息资本化率</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资金来源</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低温冷冻深加工车间</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392,490,000.00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498,909.99</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498,909.99</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91.56%</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96%</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14,942,666.67</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金融机构贷款</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熟食酱卤车间</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116,824,033.00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2,866,381.47</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10,040.04</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2,876,421.51</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2.46%</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5%</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生食下货库改造</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1,450,000.00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513,761.47</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513,761.47</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35.43%</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50%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生食蓄水池</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1,500,000.00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4,328.20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4,328.20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0.29%</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5%</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农业品牌培育与大数据建设项目</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2,005,500.00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1,985,643.60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1,985,643.60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99.01%</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100%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酱卤车间搬迁及真空车间改造项目</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10,300,000.00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494,982.80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494,982.80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4.81%</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5%</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速冻库改造</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6,730,000.00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1,614,295.76</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1,614,295.76</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23.99%</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50%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精加工车间改造（二期）</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4,283,800.00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1,376,146.80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2,693,837.79</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4,069,984.59</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95.01%</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95%</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北机房制冷改造</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695,428.42</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695,428.42</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695,428.42</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100%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进口肉类精深加工及调味品生产项目</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208,380,200.00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907,017.38</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36,618,927.67</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37,525,945.05</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18.01%</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55%</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黑龙江屠宰项目</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196,530,000.00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7,913,623.48</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3,117,634.32</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3,213,550.36</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7,817,707.44</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62.01%</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99%</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生猪屠宰项目</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249,000,000.00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24,047,734.96</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26,042,168.65</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50,089,903.61</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20.12%</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50%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生食投资规划</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258,102,400.00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172,887,010.77</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7,872,866.65</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180,759,877.42</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70.03%</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70%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熟食投资规划</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311,920,000.00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2,410,328.89</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510,426.96</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2,920,755.85</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0.94%</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0.94%</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氨制冷系统改造</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520,000.00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132,075.47</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132,075.47</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25.40%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90%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晏峪猪场</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106,981,942.00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3,075,118.00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2,817,618.00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257,500.00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98.64%</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99.8%</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3,687,128.94</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募股资金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西刘庄猪场</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150,000,000.00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185,140,157.31</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31,989,730.57</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217,129,887.88</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144.75%</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99%</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66,091,503.73</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16,169,579.41</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募股资金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西刘庄猪场水井</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1,300,000.00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1,287,256.00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1,287,256.00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99.02%</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99%</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募股资金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西刘庄猪场污水站</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6,900,000.00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6,870,000.00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6,870,000.00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99.57%</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99%</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募股资金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东饲料厂粉尘防爆改造</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350,000.00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196,540.00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196,540.00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56.15%</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团旺饲料厂散装钢板仓</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1,470,000.00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294,000.00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294,000.00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30%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西饲料厂粉尘防爆改造</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300,000.00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293,460.00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293,460.00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97.82%</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97.82%</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苟格庄猪场</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185,831,700.00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141,406,665.38</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1,729,134.20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143,135,799.58</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77.02%</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86%</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募股资金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苟格庄猪场水井</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1,060,936.00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960,936.00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960,936.00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90.57%</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93%</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募股资金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苟格庄猪场道路</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1,038,088.42</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1,824,088.42</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1,824,088.42</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175.72%</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92%</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募股资金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苟格庄10KV线路工程</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502,000.00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502,000.00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502,000.00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98%</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募股资金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苟格庄10KV配电室</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1,726,250.29</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1,726,250.29</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1,726,250.29</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96%</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募股资金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苟格庄猪场污水站</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11,230,000.00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10,204,000.00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10,204,000.00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90.86%</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70%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募股资金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苟格庄猪场土石方</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5,200,000.00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5,200,000.00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5,200,000.00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98%</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募股资金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东院西夼猪场</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40,000,000.00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92,940.20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196,960.00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184,900.00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105,000.20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0.72%</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98%</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东院西夼燃气管道工程</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244,000.00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35,000.00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35,000.00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114.34%</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100%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莱阳养殖场</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30,000,000.00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742,959.15</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116,544.18</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859,503.33</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2.87%</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马台石猪场</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138,837,400.00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41,379,443.28</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2,448,718.52</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43,828,161.80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104.12%</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96%</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募股资金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马台石猪场污水站</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11,600,000.00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10,280,000.00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2,966,920.64</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13,246,920.64</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114.20%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96%</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募股资金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马台石猪场挡土墙工程</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6,260,000.00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4,978,000.00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4,978,000.00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79.52%</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91%</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募股资金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高温车间包装室改造</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500,000.00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215,596.33</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215,596.33</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43.12%</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98%</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待宰栏及屠宰车间废气处理工程</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2,400,000.00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1,237,864.65</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1,237,864.65</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51.58%</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78%</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合计</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2,464,463,678.13</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627,981,907.00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124,621,947.66</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8,932,140.38</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743,671,714.28</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84,721,299.34</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16,169,579.41</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r>
    </w:tbl>
    <w:p>
      <w:pPr>
        <w:keepNext/>
        <w:keepLines/>
        <w:spacing w:before="300" w:after="300" w:line="280" w:lineRule="exact"/>
        <w:outlineLvl w:val="3"/>
        <w:rPr>
          <w:rFonts w:ascii="Times New Roman" w:hAnsi="Times New Roman" w:eastAsia="宋体" w:cs="Times New Roman"/>
          <w:b/>
          <w:bCs/>
          <w:szCs w:val="21"/>
        </w:rPr>
      </w:pPr>
      <w:bookmarkStart w:id="257" w:name="_Toc989142"/>
      <w:r>
        <w:rPr>
          <w:rFonts w:ascii="Times New Roman" w:hAnsi="Times New Roman" w:eastAsia="宋体" w:cs="Times New Roman"/>
          <w:b/>
          <w:bCs/>
          <w:szCs w:val="21"/>
        </w:rPr>
        <w:t>（3） 本期计提在建工程减值准备情况</w:t>
      </w:r>
      <w:bookmarkEnd w:id="257"/>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本期计提金额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计提原因</w:t>
            </w:r>
          </w:p>
        </w:tc>
      </w:tr>
    </w:tbl>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其他说明</w:t>
      </w:r>
    </w:p>
    <w:p>
      <w:pPr>
        <w:rPr>
          <w:rFonts w:ascii="Times New Roman" w:hAnsi="Times New Roman" w:cs="Times New Roman"/>
        </w:rPr>
      </w:pPr>
    </w:p>
    <w:p>
      <w:pPr>
        <w:keepNext/>
        <w:keepLines/>
        <w:spacing w:before="300" w:after="300" w:line="280" w:lineRule="exact"/>
        <w:outlineLvl w:val="3"/>
        <w:rPr>
          <w:rFonts w:ascii="Times New Roman" w:hAnsi="Times New Roman" w:eastAsia="宋体" w:cs="Times New Roman"/>
          <w:b/>
          <w:bCs/>
          <w:szCs w:val="21"/>
        </w:rPr>
      </w:pPr>
      <w:bookmarkStart w:id="258" w:name="_Toc989143"/>
      <w:r>
        <w:rPr>
          <w:rFonts w:ascii="Times New Roman" w:hAnsi="Times New Roman" w:eastAsia="宋体" w:cs="Times New Roman"/>
          <w:b/>
          <w:bCs/>
          <w:szCs w:val="21"/>
        </w:rPr>
        <w:t>（4） 工程物资</w:t>
      </w:r>
      <w:bookmarkEnd w:id="258"/>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期末余额</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减值准备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账面价值</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减值准备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账面价值</w:t>
            </w:r>
          </w:p>
        </w:tc>
      </w:tr>
    </w:tbl>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其他说明：</w:t>
      </w:r>
    </w:p>
    <w:p>
      <w:pPr>
        <w:rPr>
          <w:rFonts w:ascii="Times New Roman" w:hAnsi="Times New Roman" w:cs="Times New Roman"/>
        </w:rPr>
      </w:pPr>
    </w:p>
    <w:p>
      <w:pPr>
        <w:pStyle w:val="3"/>
        <w:spacing w:line="280" w:lineRule="exact"/>
        <w:jc w:val="left"/>
        <w:rPr>
          <w:rFonts w:ascii="Times New Roman" w:hAnsi="Times New Roman" w:cs="Times New Roman"/>
          <w:b/>
          <w:bCs/>
        </w:rPr>
      </w:pPr>
      <w:bookmarkStart w:id="259" w:name="_Toc989144"/>
      <w:r>
        <w:rPr>
          <w:rFonts w:ascii="Times New Roman" w:hAnsi="Times New Roman" w:cs="Times New Roman"/>
          <w:b/>
          <w:bCs/>
        </w:rPr>
        <w:t>23、生产性生物资产</w:t>
      </w:r>
      <w:bookmarkEnd w:id="259"/>
    </w:p>
    <w:p>
      <w:pPr>
        <w:keepNext/>
        <w:keepLines/>
        <w:spacing w:before="300" w:after="300" w:line="280" w:lineRule="exact"/>
        <w:outlineLvl w:val="3"/>
        <w:rPr>
          <w:rFonts w:ascii="Times New Roman" w:hAnsi="Times New Roman" w:eastAsia="宋体" w:cs="Times New Roman"/>
          <w:b/>
          <w:bCs/>
          <w:szCs w:val="21"/>
        </w:rPr>
      </w:pPr>
      <w:bookmarkStart w:id="260" w:name="_Toc989145"/>
      <w:r>
        <w:rPr>
          <w:rFonts w:ascii="Times New Roman" w:hAnsi="Times New Roman" w:eastAsia="宋体" w:cs="Times New Roman"/>
          <w:b/>
          <w:bCs/>
          <w:szCs w:val="21"/>
        </w:rPr>
        <w:t>（1） 采用成本计量模式的生产性生物资产</w:t>
      </w:r>
      <w:bookmarkEnd w:id="260"/>
    </w:p>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适用 □不适用</w:t>
      </w:r>
    </w:p>
    <w:p>
      <w:pPr>
        <w:spacing w:before="120" w:after="12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种植业</w:t>
            </w:r>
          </w:p>
        </w:tc>
        <w:tc>
          <w:tcPr>
            <w:tcW w:w="275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畜牧养殖业</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林业</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水产业</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成熟</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未成熟</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Times New Roman"/>
                <w:sz w:val="18"/>
                <w:szCs w:val="18"/>
              </w:rPr>
            </w:p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一、账面原值</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rPr>
                <w:rFonts w:ascii="Times New Roman" w:hAnsi="Times New Roman" w:eastAsia="宋体" w:cs="Times New Roman"/>
                <w:sz w:val="18"/>
                <w:szCs w:val="18"/>
              </w:rPr>
            </w:pPr>
            <w:r>
              <w:rPr>
                <w:rFonts w:ascii="Times New Roman" w:hAnsi="Times New Roman" w:eastAsia="宋体" w:cs="Times New Roman"/>
                <w:sz w:val="18"/>
                <w:szCs w:val="18"/>
              </w:rPr>
              <w:t>1.期初余额</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171,473,286.45</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77,421,932.20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248,895,218.65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rPr>
                <w:rFonts w:ascii="Times New Roman" w:hAnsi="Times New Roman" w:eastAsia="宋体" w:cs="Times New Roman"/>
                <w:sz w:val="18"/>
                <w:szCs w:val="18"/>
              </w:rPr>
            </w:pPr>
            <w:r>
              <w:rPr>
                <w:rFonts w:ascii="Times New Roman" w:hAnsi="Times New Roman" w:eastAsia="宋体" w:cs="Times New Roman"/>
                <w:sz w:val="18"/>
                <w:szCs w:val="18"/>
              </w:rPr>
              <w:t>2.本期增加金额</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43,998,978.25</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155,248,814.82</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199,247,793.07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rPr>
                <w:rFonts w:ascii="Times New Roman" w:hAnsi="Times New Roman" w:eastAsia="宋体" w:cs="Times New Roman"/>
                <w:sz w:val="18"/>
                <w:szCs w:val="18"/>
              </w:rPr>
            </w:pPr>
            <w:r>
              <w:rPr>
                <w:rFonts w:ascii="Times New Roman" w:hAnsi="Times New Roman" w:eastAsia="宋体" w:cs="Times New Roman"/>
                <w:sz w:val="18"/>
                <w:szCs w:val="18"/>
              </w:rPr>
              <w:t>(1)外购</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46,050,326.56</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46,050,326.56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rPr>
                <w:rFonts w:ascii="Times New Roman" w:hAnsi="Times New Roman" w:eastAsia="宋体" w:cs="Times New Roman"/>
                <w:sz w:val="18"/>
                <w:szCs w:val="18"/>
              </w:rPr>
            </w:pPr>
            <w:r>
              <w:rPr>
                <w:rFonts w:ascii="Times New Roman" w:hAnsi="Times New Roman" w:eastAsia="宋体" w:cs="Times New Roman"/>
                <w:sz w:val="18"/>
                <w:szCs w:val="18"/>
              </w:rPr>
              <w:t>(2)自行培育</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43,998,978.25</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109,198,488.26</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153,197,466.51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rPr>
                <w:rFonts w:ascii="Times New Roman" w:hAnsi="Times New Roman" w:eastAsia="宋体" w:cs="Times New Roman"/>
                <w:sz w:val="18"/>
                <w:szCs w:val="18"/>
              </w:rPr>
            </w:pPr>
            <w:r>
              <w:rPr>
                <w:rFonts w:ascii="Times New Roman" w:hAnsi="Times New Roman" w:eastAsia="宋体" w:cs="Times New Roman"/>
                <w:sz w:val="18"/>
                <w:szCs w:val="18"/>
              </w:rPr>
              <w:t>3.本期减少金额</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166,787,781.36</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208,490,672.40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375,278,453.76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rPr>
                <w:rFonts w:ascii="Times New Roman" w:hAnsi="Times New Roman" w:eastAsia="宋体" w:cs="Times New Roman"/>
                <w:sz w:val="18"/>
                <w:szCs w:val="18"/>
              </w:rPr>
            </w:pPr>
            <w:r>
              <w:rPr>
                <w:rFonts w:ascii="Times New Roman" w:hAnsi="Times New Roman" w:eastAsia="宋体" w:cs="Times New Roman"/>
                <w:sz w:val="18"/>
                <w:szCs w:val="18"/>
              </w:rPr>
              <w:t>(1)处置</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166,787,781.36</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164,491,694.15</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331,279,475.51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rPr>
                <w:rFonts w:ascii="Times New Roman" w:hAnsi="Times New Roman" w:eastAsia="宋体" w:cs="Times New Roman"/>
                <w:sz w:val="18"/>
                <w:szCs w:val="18"/>
              </w:rPr>
            </w:pPr>
            <w:r>
              <w:rPr>
                <w:rFonts w:ascii="Times New Roman" w:hAnsi="Times New Roman" w:eastAsia="宋体" w:cs="Times New Roman"/>
                <w:sz w:val="18"/>
                <w:szCs w:val="18"/>
              </w:rPr>
              <w:t>(2)其他</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43,998,978.25</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43,998,978.25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rPr>
                <w:rFonts w:ascii="Times New Roman" w:hAnsi="Times New Roman" w:eastAsia="宋体" w:cs="Times New Roman"/>
                <w:sz w:val="18"/>
                <w:szCs w:val="18"/>
              </w:rPr>
            </w:pPr>
            <w:r>
              <w:rPr>
                <w:rFonts w:ascii="Times New Roman" w:hAnsi="Times New Roman" w:eastAsia="宋体" w:cs="Times New Roman"/>
                <w:sz w:val="18"/>
                <w:szCs w:val="18"/>
              </w:rPr>
              <w:t>4.期末余额</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48,684,483.34</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24,180,074.62</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72,864,557.96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二、累计折旧</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rPr>
                <w:rFonts w:ascii="Times New Roman" w:hAnsi="Times New Roman" w:eastAsia="宋体" w:cs="Times New Roman"/>
                <w:sz w:val="18"/>
                <w:szCs w:val="18"/>
              </w:rPr>
            </w:pPr>
            <w:r>
              <w:rPr>
                <w:rFonts w:ascii="Times New Roman" w:hAnsi="Times New Roman" w:eastAsia="宋体" w:cs="Times New Roman"/>
                <w:sz w:val="18"/>
                <w:szCs w:val="18"/>
              </w:rPr>
              <w:t>1.期初余额</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35,039,229.69</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35,039,229.69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rPr>
                <w:rFonts w:ascii="Times New Roman" w:hAnsi="Times New Roman" w:eastAsia="宋体" w:cs="Times New Roman"/>
                <w:sz w:val="18"/>
                <w:szCs w:val="18"/>
              </w:rPr>
            </w:pPr>
            <w:r>
              <w:rPr>
                <w:rFonts w:ascii="Times New Roman" w:hAnsi="Times New Roman" w:eastAsia="宋体" w:cs="Times New Roman"/>
                <w:sz w:val="18"/>
                <w:szCs w:val="18"/>
              </w:rPr>
              <w:t>2.本期增加金额</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25,552,514.24</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25,552,514.24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rPr>
                <w:rFonts w:ascii="Times New Roman" w:hAnsi="Times New Roman" w:eastAsia="宋体" w:cs="Times New Roman"/>
                <w:sz w:val="18"/>
                <w:szCs w:val="18"/>
              </w:rPr>
            </w:pPr>
            <w:r>
              <w:rPr>
                <w:rFonts w:ascii="Times New Roman" w:hAnsi="Times New Roman" w:eastAsia="宋体" w:cs="Times New Roman"/>
                <w:sz w:val="18"/>
                <w:szCs w:val="18"/>
              </w:rPr>
              <w:t>(1)计提</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25,552,514.24</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25,552,514.24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rPr>
                <w:rFonts w:ascii="Times New Roman" w:hAnsi="Times New Roman" w:eastAsia="宋体" w:cs="Times New Roman"/>
                <w:sz w:val="18"/>
                <w:szCs w:val="18"/>
              </w:rPr>
            </w:pPr>
            <w:r>
              <w:rPr>
                <w:rFonts w:ascii="Times New Roman" w:hAnsi="Times New Roman" w:eastAsia="宋体" w:cs="Times New Roman"/>
                <w:sz w:val="18"/>
                <w:szCs w:val="18"/>
              </w:rPr>
              <w:t>3.本期减少金额</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46,818,754.18</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46,818,754.18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rPr>
                <w:rFonts w:ascii="Times New Roman" w:hAnsi="Times New Roman" w:eastAsia="宋体" w:cs="Times New Roman"/>
                <w:sz w:val="18"/>
                <w:szCs w:val="18"/>
              </w:rPr>
            </w:pPr>
            <w:r>
              <w:rPr>
                <w:rFonts w:ascii="Times New Roman" w:hAnsi="Times New Roman" w:eastAsia="宋体" w:cs="Times New Roman"/>
                <w:sz w:val="18"/>
                <w:szCs w:val="18"/>
              </w:rPr>
              <w:t>(1)处置</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46,818,754.18</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46,818,754.18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rPr>
                <w:rFonts w:ascii="Times New Roman" w:hAnsi="Times New Roman" w:eastAsia="宋体" w:cs="Times New Roman"/>
                <w:sz w:val="18"/>
                <w:szCs w:val="18"/>
              </w:rPr>
            </w:pPr>
            <w:r>
              <w:rPr>
                <w:rFonts w:ascii="Times New Roman" w:hAnsi="Times New Roman" w:eastAsia="宋体" w:cs="Times New Roman"/>
                <w:sz w:val="18"/>
                <w:szCs w:val="18"/>
              </w:rPr>
              <w:t>(2)其他</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rPr>
                <w:rFonts w:ascii="Times New Roman" w:hAnsi="Times New Roman" w:eastAsia="宋体" w:cs="Times New Roman"/>
                <w:sz w:val="18"/>
                <w:szCs w:val="18"/>
              </w:rPr>
            </w:pPr>
            <w:r>
              <w:rPr>
                <w:rFonts w:ascii="Times New Roman" w:hAnsi="Times New Roman" w:eastAsia="宋体" w:cs="Times New Roman"/>
                <w:sz w:val="18"/>
                <w:szCs w:val="18"/>
              </w:rPr>
              <w:t>4.期末余额</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13,772,989.75</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13,772,989.75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三、减值准备</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rPr>
                <w:rFonts w:ascii="Times New Roman" w:hAnsi="Times New Roman" w:eastAsia="宋体" w:cs="Times New Roman"/>
                <w:sz w:val="18"/>
                <w:szCs w:val="18"/>
              </w:rPr>
            </w:pPr>
            <w:r>
              <w:rPr>
                <w:rFonts w:ascii="Times New Roman" w:hAnsi="Times New Roman" w:eastAsia="宋体" w:cs="Times New Roman"/>
                <w:sz w:val="18"/>
                <w:szCs w:val="18"/>
              </w:rPr>
              <w:t>1.期初余额</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rPr>
                <w:rFonts w:ascii="Times New Roman" w:hAnsi="Times New Roman" w:eastAsia="宋体" w:cs="Times New Roman"/>
                <w:sz w:val="18"/>
                <w:szCs w:val="18"/>
              </w:rPr>
            </w:pPr>
            <w:r>
              <w:rPr>
                <w:rFonts w:ascii="Times New Roman" w:hAnsi="Times New Roman" w:eastAsia="宋体" w:cs="Times New Roman"/>
                <w:sz w:val="18"/>
                <w:szCs w:val="18"/>
              </w:rPr>
              <w:t>2.本期增加金额</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19,253,578.14</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15,730,685.96</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34,984,264.10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rPr>
                <w:rFonts w:ascii="Times New Roman" w:hAnsi="Times New Roman" w:eastAsia="宋体" w:cs="Times New Roman"/>
                <w:sz w:val="18"/>
                <w:szCs w:val="18"/>
              </w:rPr>
            </w:pPr>
            <w:r>
              <w:rPr>
                <w:rFonts w:ascii="Times New Roman" w:hAnsi="Times New Roman" w:eastAsia="宋体" w:cs="Times New Roman"/>
                <w:sz w:val="18"/>
                <w:szCs w:val="18"/>
              </w:rPr>
              <w:t>(1)计提</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19,253,578.14</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15,730,685.96</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34,984,264.10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rPr>
                <w:rFonts w:ascii="Times New Roman" w:hAnsi="Times New Roman" w:eastAsia="宋体" w:cs="Times New Roman"/>
                <w:sz w:val="18"/>
                <w:szCs w:val="18"/>
              </w:rPr>
            </w:pPr>
            <w:r>
              <w:rPr>
                <w:rFonts w:ascii="Times New Roman" w:hAnsi="Times New Roman" w:eastAsia="宋体" w:cs="Times New Roman"/>
                <w:sz w:val="18"/>
                <w:szCs w:val="18"/>
              </w:rPr>
              <w:t>3.本期减少金额</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rPr>
                <w:rFonts w:ascii="Times New Roman" w:hAnsi="Times New Roman" w:eastAsia="宋体" w:cs="Times New Roman"/>
                <w:sz w:val="18"/>
                <w:szCs w:val="18"/>
              </w:rPr>
            </w:pPr>
            <w:r>
              <w:rPr>
                <w:rFonts w:ascii="Times New Roman" w:hAnsi="Times New Roman" w:eastAsia="宋体" w:cs="Times New Roman"/>
                <w:sz w:val="18"/>
                <w:szCs w:val="18"/>
              </w:rPr>
              <w:t>(1)处置</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rPr>
                <w:rFonts w:ascii="Times New Roman" w:hAnsi="Times New Roman" w:eastAsia="宋体" w:cs="Times New Roman"/>
                <w:sz w:val="18"/>
                <w:szCs w:val="18"/>
              </w:rPr>
            </w:pPr>
            <w:r>
              <w:rPr>
                <w:rFonts w:ascii="Times New Roman" w:hAnsi="Times New Roman" w:eastAsia="宋体" w:cs="Times New Roman"/>
                <w:sz w:val="18"/>
                <w:szCs w:val="18"/>
              </w:rPr>
              <w:t>(2)其他</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rPr>
                <w:rFonts w:ascii="Times New Roman" w:hAnsi="Times New Roman" w:eastAsia="宋体" w:cs="Times New Roman"/>
                <w:sz w:val="18"/>
                <w:szCs w:val="18"/>
              </w:rPr>
            </w:pPr>
            <w:r>
              <w:rPr>
                <w:rFonts w:ascii="Times New Roman" w:hAnsi="Times New Roman" w:eastAsia="宋体" w:cs="Times New Roman"/>
                <w:sz w:val="18"/>
                <w:szCs w:val="18"/>
              </w:rPr>
              <w:t>4.期末余额</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19,253,578.14</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15,730,685.96</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34,984,264.10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四、账面价值</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rPr>
                <w:rFonts w:ascii="Times New Roman" w:hAnsi="Times New Roman" w:eastAsia="宋体" w:cs="Times New Roman"/>
                <w:sz w:val="18"/>
                <w:szCs w:val="18"/>
              </w:rPr>
            </w:pPr>
            <w:r>
              <w:rPr>
                <w:rFonts w:ascii="Times New Roman" w:hAnsi="Times New Roman" w:eastAsia="宋体" w:cs="Times New Roman"/>
                <w:sz w:val="18"/>
                <w:szCs w:val="18"/>
              </w:rPr>
              <w:t>1.期末账面价值</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15,657,915.45</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8,449,388.66</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24,107,304.11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rPr>
                <w:rFonts w:ascii="Times New Roman" w:hAnsi="Times New Roman" w:eastAsia="宋体" w:cs="Times New Roman"/>
                <w:sz w:val="18"/>
                <w:szCs w:val="18"/>
              </w:rPr>
            </w:pPr>
            <w:r>
              <w:rPr>
                <w:rFonts w:ascii="Times New Roman" w:hAnsi="Times New Roman" w:eastAsia="宋体" w:cs="Times New Roman"/>
                <w:sz w:val="18"/>
                <w:szCs w:val="18"/>
              </w:rPr>
              <w:t>2.期初账面价值</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136,434,056.76</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77,421,932.20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213,855,988.96</w:t>
            </w:r>
          </w:p>
        </w:tc>
      </w:tr>
    </w:tbl>
    <w:p>
      <w:pPr>
        <w:keepNext/>
        <w:keepLines/>
        <w:spacing w:before="300" w:after="300" w:line="280" w:lineRule="exact"/>
        <w:outlineLvl w:val="3"/>
        <w:rPr>
          <w:rFonts w:ascii="Times New Roman" w:hAnsi="Times New Roman" w:eastAsia="宋体" w:cs="Times New Roman"/>
          <w:b/>
          <w:bCs/>
          <w:szCs w:val="21"/>
        </w:rPr>
      </w:pPr>
      <w:bookmarkStart w:id="261" w:name="_Toc989146"/>
      <w:r>
        <w:rPr>
          <w:rFonts w:ascii="Times New Roman" w:hAnsi="Times New Roman" w:eastAsia="宋体" w:cs="Times New Roman"/>
          <w:b/>
          <w:bCs/>
          <w:szCs w:val="21"/>
        </w:rPr>
        <w:t>（2） 采用公允价值计量模式的生产性生物资产</w:t>
      </w:r>
      <w:bookmarkEnd w:id="261"/>
    </w:p>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 xml:space="preserve">□适用 </w:t>
      </w: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不适用</w:t>
      </w:r>
    </w:p>
    <w:p>
      <w:pPr>
        <w:pStyle w:val="3"/>
        <w:spacing w:line="280" w:lineRule="exact"/>
        <w:jc w:val="left"/>
        <w:rPr>
          <w:rFonts w:ascii="Times New Roman" w:hAnsi="Times New Roman" w:cs="Times New Roman"/>
          <w:b/>
          <w:bCs/>
        </w:rPr>
      </w:pPr>
      <w:bookmarkStart w:id="262" w:name="_Toc989147"/>
      <w:r>
        <w:rPr>
          <w:rFonts w:ascii="Times New Roman" w:hAnsi="Times New Roman" w:cs="Times New Roman"/>
          <w:b/>
          <w:bCs/>
        </w:rPr>
        <w:t>24、油气资产</w:t>
      </w:r>
      <w:bookmarkEnd w:id="262"/>
    </w:p>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 xml:space="preserve">□适用 </w:t>
      </w: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不适用</w:t>
      </w:r>
    </w:p>
    <w:p>
      <w:pPr>
        <w:pStyle w:val="3"/>
        <w:spacing w:line="280" w:lineRule="exact"/>
        <w:jc w:val="left"/>
        <w:rPr>
          <w:rFonts w:ascii="Times New Roman" w:hAnsi="Times New Roman" w:cs="Times New Roman"/>
          <w:b/>
          <w:bCs/>
        </w:rPr>
      </w:pPr>
      <w:bookmarkStart w:id="263" w:name="_Toc989148"/>
      <w:r>
        <w:rPr>
          <w:rFonts w:ascii="Times New Roman" w:hAnsi="Times New Roman" w:cs="Times New Roman"/>
          <w:b/>
          <w:bCs/>
        </w:rPr>
        <w:t>25、使用权资产</w:t>
      </w:r>
      <w:bookmarkEnd w:id="263"/>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09"/>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房屋及建筑物</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土地</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一、账面原值</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rPr>
                <w:rFonts w:ascii="Times New Roman" w:hAnsi="Times New Roman" w:eastAsia="宋体" w:cs="Times New Roman"/>
                <w:sz w:val="18"/>
                <w:szCs w:val="18"/>
              </w:rPr>
            </w:pPr>
            <w:r>
              <w:rPr>
                <w:rFonts w:ascii="Times New Roman" w:hAnsi="Times New Roman" w:eastAsia="宋体" w:cs="Times New Roman"/>
                <w:sz w:val="18"/>
                <w:szCs w:val="18"/>
              </w:rPr>
              <w:t>1.期初余额</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81,219,423.24</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23,239,147.99</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104,458,571.23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rPr>
                <w:rFonts w:ascii="Times New Roman" w:hAnsi="Times New Roman" w:eastAsia="宋体" w:cs="Times New Roman"/>
                <w:sz w:val="18"/>
                <w:szCs w:val="18"/>
              </w:rPr>
            </w:pPr>
            <w:r>
              <w:rPr>
                <w:rFonts w:ascii="Times New Roman" w:hAnsi="Times New Roman" w:eastAsia="宋体" w:cs="Times New Roman"/>
                <w:sz w:val="18"/>
                <w:szCs w:val="18"/>
              </w:rPr>
              <w:t>2.本期增加金额</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292,357.11</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574,844.43</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867,201.54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（1）新增租赁</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292,357.11</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574,844.43</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867,201.54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rPr>
                <w:rFonts w:ascii="Times New Roman" w:hAnsi="Times New Roman" w:eastAsia="宋体" w:cs="Times New Roman"/>
                <w:sz w:val="18"/>
                <w:szCs w:val="18"/>
              </w:rPr>
            </w:pPr>
            <w:r>
              <w:rPr>
                <w:rFonts w:ascii="Times New Roman" w:hAnsi="Times New Roman" w:eastAsia="宋体" w:cs="Times New Roman"/>
                <w:sz w:val="18"/>
                <w:szCs w:val="18"/>
              </w:rPr>
              <w:t>3.本期减少金额</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9,470,056.15</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9,470,056.15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（1）处置或报废</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9,470,056.15</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9,470,056.15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rPr>
                <w:rFonts w:ascii="Times New Roman" w:hAnsi="Times New Roman" w:eastAsia="宋体" w:cs="Times New Roman"/>
                <w:sz w:val="18"/>
                <w:szCs w:val="18"/>
              </w:rPr>
            </w:pPr>
            <w:r>
              <w:rPr>
                <w:rFonts w:ascii="Times New Roman" w:hAnsi="Times New Roman" w:eastAsia="宋体" w:cs="Times New Roman"/>
                <w:sz w:val="18"/>
                <w:szCs w:val="18"/>
              </w:rPr>
              <w:t>4.期末余额</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72,041,724.20</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23,813,992.42</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95,855,716.62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二、累计折旧</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rPr>
                <w:rFonts w:ascii="Times New Roman" w:hAnsi="Times New Roman" w:eastAsia="宋体" w:cs="Times New Roman"/>
                <w:sz w:val="18"/>
                <w:szCs w:val="18"/>
              </w:rPr>
            </w:pPr>
            <w:r>
              <w:rPr>
                <w:rFonts w:ascii="Times New Roman" w:hAnsi="Times New Roman" w:eastAsia="宋体" w:cs="Times New Roman"/>
                <w:sz w:val="18"/>
                <w:szCs w:val="18"/>
              </w:rPr>
              <w:t>1.期初余额</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23,176,790.12</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2,922,432.51</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26,099,222.63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rPr>
                <w:rFonts w:ascii="Times New Roman" w:hAnsi="Times New Roman" w:eastAsia="宋体" w:cs="Times New Roman"/>
                <w:sz w:val="18"/>
                <w:szCs w:val="18"/>
              </w:rPr>
            </w:pPr>
            <w:r>
              <w:rPr>
                <w:rFonts w:ascii="Times New Roman" w:hAnsi="Times New Roman" w:eastAsia="宋体" w:cs="Times New Roman"/>
                <w:sz w:val="18"/>
                <w:szCs w:val="18"/>
              </w:rPr>
              <w:t>2.本期增加金额</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6,199,252.14</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753,297.06</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6,952,549.20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rPr>
                <w:rFonts w:ascii="Times New Roman" w:hAnsi="Times New Roman" w:eastAsia="宋体" w:cs="Times New Roman"/>
                <w:sz w:val="18"/>
                <w:szCs w:val="18"/>
              </w:rPr>
            </w:pPr>
            <w:r>
              <w:rPr>
                <w:rFonts w:ascii="Times New Roman" w:hAnsi="Times New Roman" w:eastAsia="宋体" w:cs="Times New Roman"/>
                <w:sz w:val="18"/>
                <w:szCs w:val="18"/>
              </w:rPr>
              <w:t>（1）计提</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6,199,252.14</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753,297.06</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6,952,549.20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rPr>
                <w:rFonts w:ascii="Times New Roman" w:hAnsi="Times New Roman" w:eastAsia="宋体" w:cs="Times New Roman"/>
                <w:sz w:val="18"/>
                <w:szCs w:val="18"/>
              </w:rPr>
            </w:pPr>
            <w:r>
              <w:rPr>
                <w:rFonts w:ascii="Times New Roman" w:hAnsi="Times New Roman" w:eastAsia="宋体" w:cs="Times New Roman"/>
                <w:sz w:val="18"/>
                <w:szCs w:val="18"/>
              </w:rPr>
              <w:t>3.本期减少金额</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7,403,567.73</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7,403,567.73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rPr>
                <w:rFonts w:ascii="Times New Roman" w:hAnsi="Times New Roman" w:eastAsia="宋体" w:cs="Times New Roman"/>
                <w:sz w:val="18"/>
                <w:szCs w:val="18"/>
              </w:rPr>
            </w:pPr>
            <w:r>
              <w:rPr>
                <w:rFonts w:ascii="Times New Roman" w:hAnsi="Times New Roman" w:eastAsia="宋体" w:cs="Times New Roman"/>
                <w:sz w:val="18"/>
                <w:szCs w:val="18"/>
              </w:rPr>
              <w:t>（1）处置</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7,403,567.73</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7,403,567.73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rPr>
                <w:rFonts w:ascii="Times New Roman" w:hAnsi="Times New Roman" w:eastAsia="宋体" w:cs="Times New Roman"/>
                <w:sz w:val="18"/>
                <w:szCs w:val="18"/>
              </w:rPr>
            </w:pPr>
            <w:r>
              <w:rPr>
                <w:rFonts w:ascii="Times New Roman" w:hAnsi="Times New Roman" w:eastAsia="宋体" w:cs="Times New Roman"/>
                <w:sz w:val="18"/>
                <w:szCs w:val="18"/>
              </w:rPr>
              <w:t>4.期末余额</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21,972,474.53</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3,675,729.57</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25,648,204.10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三、减值准备</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rPr>
                <w:rFonts w:ascii="Times New Roman" w:hAnsi="Times New Roman" w:eastAsia="宋体" w:cs="Times New Roman"/>
                <w:sz w:val="18"/>
                <w:szCs w:val="18"/>
              </w:rPr>
            </w:pPr>
            <w:r>
              <w:rPr>
                <w:rFonts w:ascii="Times New Roman" w:hAnsi="Times New Roman" w:eastAsia="宋体" w:cs="Times New Roman"/>
                <w:sz w:val="18"/>
                <w:szCs w:val="18"/>
              </w:rPr>
              <w:t>1.期初余额</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rPr>
                <w:rFonts w:ascii="Times New Roman" w:hAnsi="Times New Roman" w:eastAsia="宋体" w:cs="Times New Roman"/>
                <w:sz w:val="18"/>
                <w:szCs w:val="18"/>
              </w:rPr>
            </w:pPr>
            <w:r>
              <w:rPr>
                <w:rFonts w:ascii="Times New Roman" w:hAnsi="Times New Roman" w:eastAsia="宋体" w:cs="Times New Roman"/>
                <w:sz w:val="18"/>
                <w:szCs w:val="18"/>
              </w:rPr>
              <w:t>2.本期增加金额</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rPr>
                <w:rFonts w:ascii="Times New Roman" w:hAnsi="Times New Roman" w:eastAsia="宋体" w:cs="Times New Roman"/>
                <w:sz w:val="18"/>
                <w:szCs w:val="18"/>
              </w:rPr>
            </w:pPr>
            <w:r>
              <w:rPr>
                <w:rFonts w:ascii="Times New Roman" w:hAnsi="Times New Roman" w:eastAsia="宋体" w:cs="Times New Roman"/>
                <w:sz w:val="18"/>
                <w:szCs w:val="18"/>
              </w:rPr>
              <w:t>（1）计提</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rPr>
                <w:rFonts w:ascii="Times New Roman" w:hAnsi="Times New Roman" w:eastAsia="宋体" w:cs="Times New Roman"/>
                <w:sz w:val="18"/>
                <w:szCs w:val="18"/>
              </w:rPr>
            </w:pPr>
            <w:r>
              <w:rPr>
                <w:rFonts w:ascii="Times New Roman" w:hAnsi="Times New Roman" w:eastAsia="宋体" w:cs="Times New Roman"/>
                <w:sz w:val="18"/>
                <w:szCs w:val="18"/>
              </w:rPr>
              <w:t>3.本期减少金额</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rPr>
                <w:rFonts w:ascii="Times New Roman" w:hAnsi="Times New Roman" w:eastAsia="宋体" w:cs="Times New Roman"/>
                <w:sz w:val="18"/>
                <w:szCs w:val="18"/>
              </w:rPr>
            </w:pPr>
            <w:r>
              <w:rPr>
                <w:rFonts w:ascii="Times New Roman" w:hAnsi="Times New Roman" w:eastAsia="宋体" w:cs="Times New Roman"/>
                <w:sz w:val="18"/>
                <w:szCs w:val="18"/>
              </w:rPr>
              <w:t>（1）处置</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rPr>
                <w:rFonts w:ascii="Times New Roman" w:hAnsi="Times New Roman" w:eastAsia="宋体" w:cs="Times New Roman"/>
                <w:sz w:val="18"/>
                <w:szCs w:val="18"/>
              </w:rPr>
            </w:pPr>
            <w:r>
              <w:rPr>
                <w:rFonts w:ascii="Times New Roman" w:hAnsi="Times New Roman" w:eastAsia="宋体" w:cs="Times New Roman"/>
                <w:sz w:val="18"/>
                <w:szCs w:val="18"/>
              </w:rPr>
              <w:t>4.期末余额</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四、账面价值</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rPr>
                <w:rFonts w:ascii="Times New Roman" w:hAnsi="Times New Roman" w:eastAsia="宋体" w:cs="Times New Roman"/>
                <w:sz w:val="18"/>
                <w:szCs w:val="18"/>
              </w:rPr>
            </w:pPr>
            <w:r>
              <w:rPr>
                <w:rFonts w:ascii="Times New Roman" w:hAnsi="Times New Roman" w:eastAsia="宋体" w:cs="Times New Roman"/>
                <w:sz w:val="18"/>
                <w:szCs w:val="18"/>
              </w:rPr>
              <w:t>1.期末账面价值</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50,069,249.67</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20,138,262.85</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70,207,512.52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rPr>
                <w:rFonts w:ascii="Times New Roman" w:hAnsi="Times New Roman" w:eastAsia="宋体" w:cs="Times New Roman"/>
                <w:sz w:val="18"/>
                <w:szCs w:val="18"/>
              </w:rPr>
            </w:pPr>
            <w:r>
              <w:rPr>
                <w:rFonts w:ascii="Times New Roman" w:hAnsi="Times New Roman" w:eastAsia="宋体" w:cs="Times New Roman"/>
                <w:sz w:val="18"/>
                <w:szCs w:val="18"/>
              </w:rPr>
              <w:t>2.期初账面价值</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58,042,633.12</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20,316,715.48</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78,359,348.60</w:t>
            </w:r>
          </w:p>
        </w:tc>
      </w:tr>
    </w:tbl>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其他说明：</w:t>
      </w:r>
    </w:p>
    <w:p>
      <w:pPr>
        <w:rPr>
          <w:rFonts w:ascii="Times New Roman" w:hAnsi="Times New Roman" w:cs="Times New Roman"/>
        </w:rPr>
      </w:pPr>
    </w:p>
    <w:p>
      <w:pPr>
        <w:pStyle w:val="3"/>
        <w:spacing w:line="280" w:lineRule="exact"/>
        <w:jc w:val="left"/>
        <w:rPr>
          <w:rFonts w:ascii="Times New Roman" w:hAnsi="Times New Roman" w:cs="Times New Roman"/>
          <w:b/>
          <w:bCs/>
        </w:rPr>
      </w:pPr>
      <w:bookmarkStart w:id="264" w:name="_Toc989149"/>
      <w:r>
        <w:rPr>
          <w:rFonts w:ascii="Times New Roman" w:hAnsi="Times New Roman" w:cs="Times New Roman"/>
          <w:b/>
          <w:bCs/>
        </w:rPr>
        <w:t>26、无形资产</w:t>
      </w:r>
      <w:bookmarkEnd w:id="264"/>
    </w:p>
    <w:p>
      <w:pPr>
        <w:keepNext/>
        <w:keepLines/>
        <w:spacing w:before="300" w:after="300" w:line="280" w:lineRule="exact"/>
        <w:outlineLvl w:val="3"/>
        <w:rPr>
          <w:rFonts w:ascii="Times New Roman" w:hAnsi="Times New Roman" w:eastAsia="宋体" w:cs="Times New Roman"/>
          <w:b/>
          <w:bCs/>
          <w:szCs w:val="21"/>
        </w:rPr>
      </w:pPr>
      <w:bookmarkStart w:id="265" w:name="_Toc989150"/>
      <w:r>
        <w:rPr>
          <w:rFonts w:ascii="Times New Roman" w:hAnsi="Times New Roman" w:eastAsia="宋体" w:cs="Times New Roman"/>
          <w:b/>
          <w:bCs/>
          <w:szCs w:val="21"/>
        </w:rPr>
        <w:t>（1） 无形资产情况</w:t>
      </w:r>
      <w:bookmarkEnd w:id="265"/>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土地使用权</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专利权</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非专利技术</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软件使用权</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商标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一、账面原值</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rPr>
                <w:rFonts w:ascii="Times New Roman" w:hAnsi="Times New Roman" w:eastAsia="宋体" w:cs="Times New Roman"/>
                <w:sz w:val="18"/>
                <w:szCs w:val="18"/>
              </w:rPr>
            </w:pPr>
            <w:r>
              <w:rPr>
                <w:rFonts w:ascii="Times New Roman" w:hAnsi="Times New Roman" w:eastAsia="宋体" w:cs="Times New Roman"/>
                <w:sz w:val="18"/>
                <w:szCs w:val="18"/>
              </w:rPr>
              <w:t>1.期初余额</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156,925,225.19</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14,281,014.71</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4,210,000.00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175,416,239.90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rPr>
                <w:rFonts w:ascii="Times New Roman" w:hAnsi="Times New Roman" w:eastAsia="宋体" w:cs="Times New Roman"/>
                <w:sz w:val="18"/>
                <w:szCs w:val="18"/>
              </w:rPr>
            </w:pPr>
            <w:r>
              <w:rPr>
                <w:rFonts w:ascii="Times New Roman" w:hAnsi="Times New Roman" w:eastAsia="宋体" w:cs="Times New Roman"/>
                <w:sz w:val="18"/>
                <w:szCs w:val="18"/>
              </w:rPr>
              <w:t>2.本期增加金额</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1,868,655.07</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1,868,655.07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rPr>
                <w:rFonts w:ascii="Times New Roman" w:hAnsi="Times New Roman" w:eastAsia="宋体" w:cs="Times New Roman"/>
                <w:sz w:val="18"/>
                <w:szCs w:val="18"/>
              </w:rPr>
            </w:pPr>
            <w:r>
              <w:rPr>
                <w:rFonts w:ascii="Times New Roman" w:hAnsi="Times New Roman" w:eastAsia="宋体" w:cs="Times New Roman"/>
                <w:sz w:val="18"/>
                <w:szCs w:val="18"/>
              </w:rPr>
              <w:t>（1）购置</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185,486.72</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185,486.72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rPr>
                <w:rFonts w:ascii="Times New Roman" w:hAnsi="Times New Roman" w:eastAsia="宋体" w:cs="Times New Roman"/>
                <w:sz w:val="18"/>
                <w:szCs w:val="18"/>
              </w:rPr>
            </w:pPr>
            <w:r>
              <w:rPr>
                <w:rFonts w:ascii="Times New Roman" w:hAnsi="Times New Roman" w:eastAsia="宋体" w:cs="Times New Roman"/>
                <w:sz w:val="18"/>
                <w:szCs w:val="18"/>
              </w:rPr>
              <w:t>（2）内部研发</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rPr>
                <w:rFonts w:ascii="Times New Roman" w:hAnsi="Times New Roman" w:eastAsia="宋体" w:cs="Times New Roman"/>
                <w:sz w:val="18"/>
                <w:szCs w:val="18"/>
              </w:rPr>
            </w:pPr>
            <w:r>
              <w:rPr>
                <w:rFonts w:ascii="Times New Roman" w:hAnsi="Times New Roman" w:eastAsia="宋体" w:cs="Times New Roman"/>
                <w:sz w:val="18"/>
                <w:szCs w:val="18"/>
              </w:rPr>
              <w:t>（3）企业合并增加</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（4）在建工程转入</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1,683,168.35</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1,683,168.35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rPr>
                <w:rFonts w:ascii="Times New Roman" w:hAnsi="Times New Roman" w:eastAsia="宋体" w:cs="Times New Roman"/>
                <w:sz w:val="18"/>
                <w:szCs w:val="18"/>
              </w:rPr>
            </w:pPr>
            <w:r>
              <w:rPr>
                <w:rFonts w:ascii="Times New Roman" w:hAnsi="Times New Roman" w:eastAsia="宋体" w:cs="Times New Roman"/>
                <w:sz w:val="18"/>
                <w:szCs w:val="18"/>
              </w:rPr>
              <w:t>3.本期减少金额</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rPr>
                <w:rFonts w:ascii="Times New Roman" w:hAnsi="Times New Roman" w:eastAsia="宋体" w:cs="Times New Roman"/>
                <w:sz w:val="18"/>
                <w:szCs w:val="18"/>
              </w:rPr>
            </w:pPr>
            <w:r>
              <w:rPr>
                <w:rFonts w:ascii="Times New Roman" w:hAnsi="Times New Roman" w:eastAsia="宋体" w:cs="Times New Roman"/>
                <w:sz w:val="18"/>
                <w:szCs w:val="18"/>
              </w:rPr>
              <w:t>（1）处置</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rPr>
                <w:rFonts w:ascii="Times New Roman" w:hAnsi="Times New Roman" w:eastAsia="宋体" w:cs="Times New Roman"/>
                <w:sz w:val="18"/>
                <w:szCs w:val="18"/>
              </w:rPr>
            </w:pPr>
            <w:r>
              <w:rPr>
                <w:rFonts w:ascii="Times New Roman" w:hAnsi="Times New Roman" w:eastAsia="宋体" w:cs="Times New Roman"/>
                <w:sz w:val="18"/>
                <w:szCs w:val="18"/>
              </w:rPr>
              <w:t>4.期末余额</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156,925,225.19</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16,149,669.78</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4,210,000.00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177,284,894.97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二、累计摊销</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rPr>
                <w:rFonts w:ascii="Times New Roman" w:hAnsi="Times New Roman" w:eastAsia="宋体" w:cs="Times New Roman"/>
                <w:sz w:val="18"/>
                <w:szCs w:val="18"/>
              </w:rPr>
            </w:pPr>
            <w:r>
              <w:rPr>
                <w:rFonts w:ascii="Times New Roman" w:hAnsi="Times New Roman" w:eastAsia="宋体" w:cs="Times New Roman"/>
                <w:sz w:val="18"/>
                <w:szCs w:val="18"/>
              </w:rPr>
              <w:t>1.期初余额</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16,521,357.28</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7,957,155.65</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1,754,166.67</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26,232,679.60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rPr>
                <w:rFonts w:ascii="Times New Roman" w:hAnsi="Times New Roman" w:eastAsia="宋体" w:cs="Times New Roman"/>
                <w:sz w:val="18"/>
                <w:szCs w:val="18"/>
              </w:rPr>
            </w:pPr>
            <w:r>
              <w:rPr>
                <w:rFonts w:ascii="Times New Roman" w:hAnsi="Times New Roman" w:eastAsia="宋体" w:cs="Times New Roman"/>
                <w:sz w:val="18"/>
                <w:szCs w:val="18"/>
              </w:rPr>
              <w:t>2.本期增加金额</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1,723,243.53</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798,237.38</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210,500.00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2,731,980.91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rPr>
                <w:rFonts w:ascii="Times New Roman" w:hAnsi="Times New Roman" w:eastAsia="宋体" w:cs="Times New Roman"/>
                <w:sz w:val="18"/>
                <w:szCs w:val="18"/>
              </w:rPr>
            </w:pPr>
            <w:r>
              <w:rPr>
                <w:rFonts w:ascii="Times New Roman" w:hAnsi="Times New Roman" w:eastAsia="宋体" w:cs="Times New Roman"/>
                <w:sz w:val="18"/>
                <w:szCs w:val="18"/>
              </w:rPr>
              <w:t>（1）计提</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1,723,243.53</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798,237.38</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210,500.00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2,731,980.91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rPr>
                <w:rFonts w:ascii="Times New Roman" w:hAnsi="Times New Roman" w:eastAsia="宋体" w:cs="Times New Roman"/>
                <w:sz w:val="18"/>
                <w:szCs w:val="18"/>
              </w:rPr>
            </w:pPr>
            <w:r>
              <w:rPr>
                <w:rFonts w:ascii="Times New Roman" w:hAnsi="Times New Roman" w:eastAsia="宋体" w:cs="Times New Roman"/>
                <w:sz w:val="18"/>
                <w:szCs w:val="18"/>
              </w:rPr>
              <w:t>3.本期减少金额</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rPr>
                <w:rFonts w:ascii="Times New Roman" w:hAnsi="Times New Roman" w:eastAsia="宋体" w:cs="Times New Roman"/>
                <w:sz w:val="18"/>
                <w:szCs w:val="18"/>
              </w:rPr>
            </w:pPr>
            <w:r>
              <w:rPr>
                <w:rFonts w:ascii="Times New Roman" w:hAnsi="Times New Roman" w:eastAsia="宋体" w:cs="Times New Roman"/>
                <w:sz w:val="18"/>
                <w:szCs w:val="18"/>
              </w:rPr>
              <w:t>（1）处置</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rPr>
                <w:rFonts w:ascii="Times New Roman" w:hAnsi="Times New Roman" w:eastAsia="宋体" w:cs="Times New Roman"/>
                <w:sz w:val="18"/>
                <w:szCs w:val="18"/>
              </w:rPr>
            </w:pPr>
            <w:r>
              <w:rPr>
                <w:rFonts w:ascii="Times New Roman" w:hAnsi="Times New Roman" w:eastAsia="宋体" w:cs="Times New Roman"/>
                <w:sz w:val="18"/>
                <w:szCs w:val="18"/>
              </w:rPr>
              <w:t>4.期末余额</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18,244,600.81</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8,755,393.03</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1,964,666.67</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28,964,660.51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三、减值准备</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rPr>
                <w:rFonts w:ascii="Times New Roman" w:hAnsi="Times New Roman" w:eastAsia="宋体" w:cs="Times New Roman"/>
                <w:sz w:val="18"/>
                <w:szCs w:val="18"/>
              </w:rPr>
            </w:pPr>
            <w:r>
              <w:rPr>
                <w:rFonts w:ascii="Times New Roman" w:hAnsi="Times New Roman" w:eastAsia="宋体" w:cs="Times New Roman"/>
                <w:sz w:val="18"/>
                <w:szCs w:val="18"/>
              </w:rPr>
              <w:t>1.期初余额</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rPr>
                <w:rFonts w:ascii="Times New Roman" w:hAnsi="Times New Roman" w:eastAsia="宋体" w:cs="Times New Roman"/>
                <w:sz w:val="18"/>
                <w:szCs w:val="18"/>
              </w:rPr>
            </w:pPr>
            <w:r>
              <w:rPr>
                <w:rFonts w:ascii="Times New Roman" w:hAnsi="Times New Roman" w:eastAsia="宋体" w:cs="Times New Roman"/>
                <w:sz w:val="18"/>
                <w:szCs w:val="18"/>
              </w:rPr>
              <w:t>2.本期增加金额</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rPr>
                <w:rFonts w:ascii="Times New Roman" w:hAnsi="Times New Roman" w:eastAsia="宋体" w:cs="Times New Roman"/>
                <w:sz w:val="18"/>
                <w:szCs w:val="18"/>
              </w:rPr>
            </w:pPr>
            <w:r>
              <w:rPr>
                <w:rFonts w:ascii="Times New Roman" w:hAnsi="Times New Roman" w:eastAsia="宋体" w:cs="Times New Roman"/>
                <w:sz w:val="18"/>
                <w:szCs w:val="18"/>
              </w:rPr>
              <w:t>（1）计提</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rPr>
                <w:rFonts w:ascii="Times New Roman" w:hAnsi="Times New Roman" w:eastAsia="宋体" w:cs="Times New Roman"/>
                <w:sz w:val="18"/>
                <w:szCs w:val="18"/>
              </w:rPr>
            </w:pPr>
            <w:r>
              <w:rPr>
                <w:rFonts w:ascii="Times New Roman" w:hAnsi="Times New Roman" w:eastAsia="宋体" w:cs="Times New Roman"/>
                <w:sz w:val="18"/>
                <w:szCs w:val="18"/>
              </w:rPr>
              <w:t>3.本期减少金额</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720" w:firstLineChars="400"/>
              <w:rPr>
                <w:rFonts w:ascii="Times New Roman" w:hAnsi="Times New Roman" w:eastAsia="宋体" w:cs="Times New Roman"/>
                <w:sz w:val="18"/>
                <w:szCs w:val="18"/>
              </w:rPr>
            </w:pPr>
            <w:r>
              <w:rPr>
                <w:rFonts w:ascii="Times New Roman" w:hAnsi="Times New Roman" w:eastAsia="宋体" w:cs="Times New Roman"/>
                <w:sz w:val="18"/>
                <w:szCs w:val="18"/>
              </w:rPr>
              <w:t>（1）处置</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rPr>
                <w:rFonts w:ascii="Times New Roman" w:hAnsi="Times New Roman" w:eastAsia="宋体" w:cs="Times New Roman"/>
                <w:sz w:val="18"/>
                <w:szCs w:val="18"/>
              </w:rPr>
            </w:pPr>
            <w:r>
              <w:rPr>
                <w:rFonts w:ascii="Times New Roman" w:hAnsi="Times New Roman" w:eastAsia="宋体" w:cs="Times New Roman"/>
                <w:sz w:val="18"/>
                <w:szCs w:val="18"/>
              </w:rPr>
              <w:t>4.期末余额</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四、账面价值</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rPr>
                <w:rFonts w:ascii="Times New Roman" w:hAnsi="Times New Roman" w:eastAsia="宋体" w:cs="Times New Roman"/>
                <w:sz w:val="18"/>
                <w:szCs w:val="18"/>
              </w:rPr>
            </w:pPr>
            <w:r>
              <w:rPr>
                <w:rFonts w:ascii="Times New Roman" w:hAnsi="Times New Roman" w:eastAsia="宋体" w:cs="Times New Roman"/>
                <w:sz w:val="18"/>
                <w:szCs w:val="18"/>
              </w:rPr>
              <w:t>1.期末账面价值</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138,680,624.38</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7,394,276.75</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2,245,333.33</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148,320,234.46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rPr>
                <w:rFonts w:ascii="Times New Roman" w:hAnsi="Times New Roman" w:eastAsia="宋体" w:cs="Times New Roman"/>
                <w:sz w:val="18"/>
                <w:szCs w:val="18"/>
              </w:rPr>
            </w:pPr>
            <w:r>
              <w:rPr>
                <w:rFonts w:ascii="Times New Roman" w:hAnsi="Times New Roman" w:eastAsia="宋体" w:cs="Times New Roman"/>
                <w:sz w:val="18"/>
                <w:szCs w:val="18"/>
              </w:rPr>
              <w:t>2.期初账面价值</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140,403,867.91</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6,323,859.06</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2,455,833.33</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149,183,560.30</w:t>
            </w:r>
          </w:p>
        </w:tc>
      </w:tr>
    </w:tbl>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本期末通过公司内部研发形成的无形资产占无形资产余额的比例0.00%</w:t>
      </w:r>
    </w:p>
    <w:p>
      <w:pPr>
        <w:keepNext/>
        <w:keepLines/>
        <w:spacing w:before="300" w:after="300" w:line="280" w:lineRule="exact"/>
        <w:outlineLvl w:val="3"/>
        <w:rPr>
          <w:rFonts w:ascii="Times New Roman" w:hAnsi="Times New Roman" w:eastAsia="宋体" w:cs="Times New Roman"/>
          <w:b/>
          <w:bCs/>
          <w:szCs w:val="21"/>
        </w:rPr>
      </w:pPr>
      <w:bookmarkStart w:id="266" w:name="_Toc989151"/>
      <w:r>
        <w:rPr>
          <w:rFonts w:ascii="Times New Roman" w:hAnsi="Times New Roman" w:eastAsia="宋体" w:cs="Times New Roman"/>
          <w:b/>
          <w:bCs/>
          <w:szCs w:val="21"/>
        </w:rPr>
        <w:t>（2） 未办妥产权证书的土地使用权情况</w:t>
      </w:r>
      <w:bookmarkEnd w:id="266"/>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账面价值</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未办妥产权证书的原因</w:t>
            </w:r>
          </w:p>
        </w:tc>
      </w:tr>
    </w:tbl>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其他说明</w:t>
      </w:r>
    </w:p>
    <w:p>
      <w:pPr>
        <w:rPr>
          <w:rFonts w:ascii="Times New Roman" w:hAnsi="Times New Roman" w:cs="Times New Roman"/>
        </w:rPr>
      </w:pPr>
    </w:p>
    <w:p>
      <w:pPr>
        <w:pStyle w:val="3"/>
        <w:spacing w:line="280" w:lineRule="exact"/>
        <w:jc w:val="left"/>
        <w:rPr>
          <w:rFonts w:ascii="Times New Roman" w:hAnsi="Times New Roman" w:cs="Times New Roman"/>
          <w:b/>
          <w:bCs/>
        </w:rPr>
      </w:pPr>
      <w:bookmarkStart w:id="267" w:name="_Toc989152"/>
      <w:r>
        <w:rPr>
          <w:rFonts w:ascii="Times New Roman" w:hAnsi="Times New Roman" w:cs="Times New Roman"/>
          <w:b/>
          <w:bCs/>
        </w:rPr>
        <w:t>27、开发支出</w:t>
      </w:r>
      <w:bookmarkEnd w:id="267"/>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71"/>
        <w:gridCol w:w="1071"/>
        <w:gridCol w:w="1071"/>
        <w:gridCol w:w="1071"/>
        <w:gridCol w:w="1071"/>
        <w:gridCol w:w="1071"/>
        <w:gridCol w:w="1071"/>
        <w:gridCol w:w="1071"/>
        <w:gridCol w:w="107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w:t>
            </w:r>
          </w:p>
        </w:tc>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期初余额</w:t>
            </w:r>
          </w:p>
        </w:tc>
        <w:tc>
          <w:tcPr>
            <w:tcW w:w="3213"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本期增加金额</w:t>
            </w:r>
          </w:p>
        </w:tc>
        <w:tc>
          <w:tcPr>
            <w:tcW w:w="3213"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本期减少金额</w:t>
            </w:r>
          </w:p>
        </w:tc>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内部开发支出</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其他</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确认为无形资产</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转入当期损益</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Times New Roman"/>
                <w:sz w:val="18"/>
                <w:szCs w:val="18"/>
              </w:rPr>
            </w:pPr>
          </w:p>
        </w:tc>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合计</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bl>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其他说明</w:t>
      </w:r>
    </w:p>
    <w:p>
      <w:pPr>
        <w:rPr>
          <w:rFonts w:ascii="Times New Roman" w:hAnsi="Times New Roman" w:cs="Times New Roman"/>
        </w:rPr>
      </w:pPr>
    </w:p>
    <w:p>
      <w:pPr>
        <w:pStyle w:val="3"/>
        <w:spacing w:line="280" w:lineRule="exact"/>
        <w:jc w:val="left"/>
        <w:rPr>
          <w:rFonts w:ascii="Times New Roman" w:hAnsi="Times New Roman" w:cs="Times New Roman"/>
          <w:b/>
          <w:bCs/>
        </w:rPr>
      </w:pPr>
      <w:bookmarkStart w:id="268" w:name="_Toc989153"/>
      <w:r>
        <w:rPr>
          <w:rFonts w:ascii="Times New Roman" w:hAnsi="Times New Roman" w:cs="Times New Roman"/>
          <w:b/>
          <w:bCs/>
        </w:rPr>
        <w:t>28、商誉</w:t>
      </w:r>
      <w:bookmarkEnd w:id="268"/>
    </w:p>
    <w:p>
      <w:pPr>
        <w:keepNext/>
        <w:keepLines/>
        <w:spacing w:before="300" w:after="300" w:line="280" w:lineRule="exact"/>
        <w:outlineLvl w:val="3"/>
        <w:rPr>
          <w:rFonts w:ascii="Times New Roman" w:hAnsi="Times New Roman" w:eastAsia="宋体" w:cs="Times New Roman"/>
          <w:b/>
          <w:bCs/>
          <w:szCs w:val="21"/>
        </w:rPr>
      </w:pPr>
      <w:bookmarkStart w:id="269" w:name="_Toc989154"/>
      <w:r>
        <w:rPr>
          <w:rFonts w:ascii="Times New Roman" w:hAnsi="Times New Roman" w:eastAsia="宋体" w:cs="Times New Roman"/>
          <w:b/>
          <w:bCs/>
          <w:szCs w:val="21"/>
        </w:rPr>
        <w:t>（1） 商誉账面原值</w:t>
      </w:r>
      <w:bookmarkEnd w:id="269"/>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被投资单位名称或形成商誉的事项</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期初余额</w:t>
            </w:r>
          </w:p>
        </w:tc>
        <w:tc>
          <w:tcPr>
            <w:tcW w:w="275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本期增加</w:t>
            </w:r>
          </w:p>
        </w:tc>
        <w:tc>
          <w:tcPr>
            <w:tcW w:w="275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本期减少</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企业合并形成的</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处置</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Times New Roman"/>
                <w:sz w:val="18"/>
                <w:szCs w:val="18"/>
              </w:rPr>
            </w:p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潍坊振祥食品有限公司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59,823,738.70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59,823,738.70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通辽金泉食品有限责任公司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25,173.06</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25,173.06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合计</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59,848,911.76</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59,848,911.76</w:t>
            </w:r>
          </w:p>
        </w:tc>
      </w:tr>
    </w:tbl>
    <w:p>
      <w:pPr>
        <w:keepNext/>
        <w:keepLines/>
        <w:spacing w:before="300" w:after="300" w:line="280" w:lineRule="exact"/>
        <w:outlineLvl w:val="3"/>
        <w:rPr>
          <w:rFonts w:ascii="Times New Roman" w:hAnsi="Times New Roman" w:eastAsia="宋体" w:cs="Times New Roman"/>
          <w:b/>
          <w:bCs/>
          <w:szCs w:val="21"/>
        </w:rPr>
      </w:pPr>
      <w:bookmarkStart w:id="270" w:name="_Toc989155"/>
      <w:r>
        <w:rPr>
          <w:rFonts w:ascii="Times New Roman" w:hAnsi="Times New Roman" w:eastAsia="宋体" w:cs="Times New Roman"/>
          <w:b/>
          <w:bCs/>
          <w:szCs w:val="21"/>
        </w:rPr>
        <w:t>（2） 商誉减值准备</w:t>
      </w:r>
      <w:bookmarkEnd w:id="270"/>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被投资单位名称或形成商誉的事项</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期初余额</w:t>
            </w:r>
          </w:p>
        </w:tc>
        <w:tc>
          <w:tcPr>
            <w:tcW w:w="275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本期增加</w:t>
            </w:r>
          </w:p>
        </w:tc>
        <w:tc>
          <w:tcPr>
            <w:tcW w:w="275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本期减少</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计提</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处置</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Times New Roman"/>
                <w:sz w:val="18"/>
                <w:szCs w:val="18"/>
              </w:rPr>
            </w:p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潍坊振祥食品有限公司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32,951,764.52</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32,951,764.52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通辽金泉食品有限责任公司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25,173.06</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25,173.06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合计</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32,976,937.58</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32,976,937.58</w:t>
            </w:r>
          </w:p>
        </w:tc>
      </w:tr>
    </w:tbl>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商誉所在资产组或资产组组合的相关信息</w:t>
      </w:r>
    </w:p>
    <w:p>
      <w:pPr>
        <w:pStyle w:val="8"/>
        <w:spacing w:before="0" w:beforeAutospacing="0" w:after="0" w:afterAutospacing="0" w:line="276" w:lineRule="auto"/>
        <w:ind w:firstLine="360"/>
        <w:rPr>
          <w:rFonts w:ascii="Times New Roman" w:hAnsi="Times New Roman" w:eastAsia="等线" w:cs="Times New Roman"/>
          <w:sz w:val="21"/>
          <w:szCs w:val="21"/>
        </w:rPr>
      </w:pPr>
      <w:r>
        <w:rPr>
          <w:rFonts w:hint="eastAsia"/>
          <w:sz w:val="18"/>
          <w:szCs w:val="18"/>
        </w:rPr>
        <w:t>①</w:t>
      </w:r>
      <w:r>
        <w:rPr>
          <w:rFonts w:ascii="Times New Roman" w:hAnsi="Times New Roman" w:cs="Times New Roman"/>
          <w:sz w:val="18"/>
          <w:szCs w:val="18"/>
        </w:rPr>
        <w:t>商誉的初始形成</w:t>
      </w:r>
    </w:p>
    <w:p>
      <w:pPr>
        <w:pStyle w:val="8"/>
        <w:spacing w:before="0" w:beforeAutospacing="0" w:after="0" w:afterAutospacing="0" w:line="276" w:lineRule="auto"/>
        <w:ind w:firstLine="360"/>
        <w:rPr>
          <w:rFonts w:ascii="Times New Roman" w:hAnsi="Times New Roman" w:eastAsia="等线" w:cs="Times New Roman"/>
          <w:sz w:val="21"/>
          <w:szCs w:val="21"/>
        </w:rPr>
      </w:pPr>
      <w:r>
        <w:rPr>
          <w:rFonts w:ascii="Times New Roman" w:hAnsi="Times New Roman" w:cs="Times New Roman"/>
          <w:sz w:val="18"/>
          <w:szCs w:val="18"/>
        </w:rPr>
        <w:t>本公司于</w:t>
      </w:r>
      <w:r>
        <w:rPr>
          <w:rFonts w:ascii="Times New Roman" w:hAnsi="Times New Roman" w:eastAsia="等线" w:cs="Times New Roman"/>
          <w:sz w:val="18"/>
          <w:szCs w:val="18"/>
        </w:rPr>
        <w:t>2018</w:t>
      </w:r>
      <w:r>
        <w:rPr>
          <w:rFonts w:ascii="Times New Roman" w:hAnsi="Times New Roman" w:cs="Times New Roman"/>
          <w:sz w:val="18"/>
          <w:szCs w:val="18"/>
        </w:rPr>
        <w:t>年收购潍坊振祥食品有限公司（以下简称“潍坊振祥”）</w:t>
      </w:r>
      <w:r>
        <w:rPr>
          <w:rFonts w:ascii="Times New Roman" w:hAnsi="Times New Roman" w:eastAsia="等线" w:cs="Times New Roman"/>
          <w:sz w:val="18"/>
          <w:szCs w:val="18"/>
        </w:rPr>
        <w:t>70%</w:t>
      </w:r>
      <w:r>
        <w:rPr>
          <w:rFonts w:ascii="Times New Roman" w:hAnsi="Times New Roman" w:cs="Times New Roman"/>
          <w:sz w:val="18"/>
          <w:szCs w:val="18"/>
        </w:rPr>
        <w:t>股权，交易的合并成本为</w:t>
      </w:r>
      <w:r>
        <w:rPr>
          <w:rFonts w:ascii="Times New Roman" w:hAnsi="Times New Roman" w:eastAsia="等线" w:cs="Times New Roman"/>
          <w:sz w:val="18"/>
          <w:szCs w:val="18"/>
        </w:rPr>
        <w:t>86,690,300.00</w:t>
      </w:r>
      <w:r>
        <w:rPr>
          <w:rFonts w:ascii="Times New Roman" w:hAnsi="Times New Roman" w:cs="Times New Roman"/>
          <w:sz w:val="18"/>
          <w:szCs w:val="18"/>
        </w:rPr>
        <w:t>元，取得被购买方潍坊振祥</w:t>
      </w:r>
      <w:r>
        <w:rPr>
          <w:rFonts w:ascii="Times New Roman" w:hAnsi="Times New Roman" w:eastAsia="等线" w:cs="Times New Roman"/>
          <w:sz w:val="18"/>
          <w:szCs w:val="18"/>
        </w:rPr>
        <w:t>70%</w:t>
      </w:r>
      <w:r>
        <w:rPr>
          <w:rFonts w:ascii="Times New Roman" w:hAnsi="Times New Roman" w:cs="Times New Roman"/>
          <w:sz w:val="18"/>
          <w:szCs w:val="18"/>
        </w:rPr>
        <w:t>股权对应的可辨认净资产公允价值为</w:t>
      </w:r>
      <w:r>
        <w:rPr>
          <w:rFonts w:ascii="Times New Roman" w:hAnsi="Times New Roman" w:eastAsia="等线" w:cs="Times New Roman"/>
          <w:sz w:val="18"/>
          <w:szCs w:val="18"/>
        </w:rPr>
        <w:t>26,866,561.30</w:t>
      </w:r>
      <w:r>
        <w:rPr>
          <w:rFonts w:ascii="Times New Roman" w:hAnsi="Times New Roman" w:cs="Times New Roman"/>
          <w:sz w:val="18"/>
          <w:szCs w:val="18"/>
        </w:rPr>
        <w:t>元，合并成本大于合并中取得的被购买方可辨认净资产公允价值份额的差额为</w:t>
      </w:r>
      <w:r>
        <w:rPr>
          <w:rFonts w:ascii="Times New Roman" w:hAnsi="Times New Roman" w:eastAsia="等线" w:cs="Times New Roman"/>
          <w:sz w:val="18"/>
          <w:szCs w:val="18"/>
        </w:rPr>
        <w:t>59,823,738.70</w:t>
      </w:r>
      <w:r>
        <w:rPr>
          <w:rFonts w:ascii="Times New Roman" w:hAnsi="Times New Roman" w:cs="Times New Roman"/>
          <w:sz w:val="18"/>
          <w:szCs w:val="18"/>
        </w:rPr>
        <w:t>元，确认为商誉。</w:t>
      </w:r>
    </w:p>
    <w:p>
      <w:pPr>
        <w:pStyle w:val="8"/>
        <w:spacing w:before="0" w:beforeAutospacing="0" w:after="0" w:afterAutospacing="0" w:line="276" w:lineRule="auto"/>
        <w:ind w:firstLine="360"/>
        <w:rPr>
          <w:rFonts w:ascii="Times New Roman" w:hAnsi="Times New Roman" w:eastAsia="等线" w:cs="Times New Roman"/>
          <w:sz w:val="21"/>
          <w:szCs w:val="21"/>
        </w:rPr>
      </w:pPr>
      <w:r>
        <w:rPr>
          <w:rFonts w:ascii="Times New Roman" w:hAnsi="Times New Roman" w:cs="Times New Roman"/>
          <w:sz w:val="18"/>
          <w:szCs w:val="18"/>
        </w:rPr>
        <w:t>本公司于</w:t>
      </w:r>
      <w:r>
        <w:rPr>
          <w:rFonts w:ascii="Times New Roman" w:hAnsi="Times New Roman" w:eastAsia="等线" w:cs="Times New Roman"/>
          <w:sz w:val="18"/>
          <w:szCs w:val="18"/>
        </w:rPr>
        <w:t>2020</w:t>
      </w:r>
      <w:r>
        <w:rPr>
          <w:rFonts w:ascii="Times New Roman" w:hAnsi="Times New Roman" w:cs="Times New Roman"/>
          <w:sz w:val="18"/>
          <w:szCs w:val="18"/>
        </w:rPr>
        <w:t>年收购通辽金泉食品有限责任公司（以下简称“通辽金泉”）</w:t>
      </w:r>
      <w:r>
        <w:rPr>
          <w:rFonts w:ascii="Times New Roman" w:hAnsi="Times New Roman" w:eastAsia="等线" w:cs="Times New Roman"/>
          <w:sz w:val="18"/>
          <w:szCs w:val="18"/>
        </w:rPr>
        <w:t>100%</w:t>
      </w:r>
      <w:r>
        <w:rPr>
          <w:rFonts w:ascii="Times New Roman" w:hAnsi="Times New Roman" w:cs="Times New Roman"/>
          <w:sz w:val="18"/>
          <w:szCs w:val="18"/>
        </w:rPr>
        <w:t>股权，交易的合并成本为</w:t>
      </w:r>
      <w:r>
        <w:rPr>
          <w:rFonts w:ascii="Times New Roman" w:hAnsi="Times New Roman" w:eastAsia="等线" w:cs="Times New Roman"/>
          <w:sz w:val="18"/>
          <w:szCs w:val="18"/>
        </w:rPr>
        <w:t>35,000,700.00</w:t>
      </w:r>
      <w:r>
        <w:rPr>
          <w:rFonts w:ascii="Times New Roman" w:hAnsi="Times New Roman" w:cs="Times New Roman"/>
          <w:sz w:val="18"/>
          <w:szCs w:val="18"/>
        </w:rPr>
        <w:t>元，取得被购买方通辽金泉</w:t>
      </w:r>
      <w:r>
        <w:rPr>
          <w:rFonts w:ascii="Times New Roman" w:hAnsi="Times New Roman" w:eastAsia="等线" w:cs="Times New Roman"/>
          <w:sz w:val="18"/>
          <w:szCs w:val="18"/>
        </w:rPr>
        <w:t>100%</w:t>
      </w:r>
      <w:r>
        <w:rPr>
          <w:rFonts w:ascii="Times New Roman" w:hAnsi="Times New Roman" w:cs="Times New Roman"/>
          <w:sz w:val="18"/>
          <w:szCs w:val="18"/>
        </w:rPr>
        <w:t>股权对应的可辨认净资产公允价值为</w:t>
      </w:r>
      <w:r>
        <w:rPr>
          <w:rFonts w:ascii="Times New Roman" w:hAnsi="Times New Roman" w:eastAsia="等线" w:cs="Times New Roman"/>
          <w:sz w:val="18"/>
          <w:szCs w:val="18"/>
        </w:rPr>
        <w:t>34,975,526.94</w:t>
      </w:r>
      <w:r>
        <w:rPr>
          <w:rFonts w:ascii="Times New Roman" w:hAnsi="Times New Roman" w:cs="Times New Roman"/>
          <w:sz w:val="18"/>
          <w:szCs w:val="18"/>
        </w:rPr>
        <w:t>元，合并成本大于合并中取得的被购买方可辨认净资产公允价值份额的差额为</w:t>
      </w:r>
      <w:r>
        <w:rPr>
          <w:rFonts w:ascii="Times New Roman" w:hAnsi="Times New Roman" w:eastAsia="等线" w:cs="Times New Roman"/>
          <w:sz w:val="18"/>
          <w:szCs w:val="18"/>
        </w:rPr>
        <w:t>25,173.06</w:t>
      </w:r>
      <w:r>
        <w:rPr>
          <w:rFonts w:ascii="Times New Roman" w:hAnsi="Times New Roman" w:cs="Times New Roman"/>
          <w:sz w:val="18"/>
          <w:szCs w:val="18"/>
        </w:rPr>
        <w:t>元，确认为商誉。</w:t>
      </w:r>
    </w:p>
    <w:p>
      <w:pPr>
        <w:pStyle w:val="8"/>
        <w:spacing w:before="0" w:beforeAutospacing="0" w:after="0" w:afterAutospacing="0" w:line="276" w:lineRule="auto"/>
        <w:ind w:firstLine="360"/>
        <w:rPr>
          <w:rFonts w:ascii="Times New Roman" w:hAnsi="Times New Roman" w:eastAsia="等线" w:cs="Times New Roman"/>
          <w:sz w:val="21"/>
          <w:szCs w:val="21"/>
        </w:rPr>
      </w:pPr>
      <w:r>
        <w:rPr>
          <w:rFonts w:hint="eastAsia"/>
          <w:sz w:val="18"/>
          <w:szCs w:val="18"/>
        </w:rPr>
        <w:t>②</w:t>
      </w:r>
      <w:r>
        <w:rPr>
          <w:rFonts w:ascii="Times New Roman" w:hAnsi="Times New Roman" w:cs="Times New Roman"/>
          <w:sz w:val="18"/>
          <w:szCs w:val="18"/>
        </w:rPr>
        <w:t>资产组或资产组组合的相关信息</w:t>
      </w:r>
    </w:p>
    <w:p>
      <w:pPr>
        <w:pStyle w:val="8"/>
        <w:spacing w:before="0" w:beforeAutospacing="0" w:after="0" w:afterAutospacing="0" w:line="276" w:lineRule="auto"/>
        <w:ind w:firstLine="360"/>
        <w:rPr>
          <w:rFonts w:ascii="Times New Roman" w:hAnsi="Times New Roman" w:eastAsia="等线" w:cs="Times New Roman"/>
          <w:sz w:val="21"/>
          <w:szCs w:val="21"/>
        </w:rPr>
      </w:pPr>
      <w:r>
        <w:rPr>
          <w:rFonts w:ascii="Times New Roman" w:hAnsi="Times New Roman" w:cs="Times New Roman"/>
          <w:sz w:val="18"/>
          <w:szCs w:val="18"/>
        </w:rPr>
        <w:t>资产组包括组成与商誉相关资产组的长期资产（具体包括固定资产、在建工程和无形资产）和合并报表确认的商誉。</w:t>
      </w:r>
    </w:p>
    <w:p>
      <w:pPr>
        <w:pStyle w:val="8"/>
        <w:spacing w:before="0" w:beforeAutospacing="0" w:after="0" w:afterAutospacing="0" w:line="276" w:lineRule="auto"/>
        <w:ind w:firstLine="360"/>
        <w:rPr>
          <w:rFonts w:ascii="Times New Roman" w:hAnsi="Times New Roman" w:eastAsia="等线" w:cs="Times New Roman"/>
          <w:sz w:val="21"/>
          <w:szCs w:val="21"/>
        </w:rPr>
      </w:pPr>
      <w:r>
        <w:rPr>
          <w:rFonts w:hint="eastAsia"/>
          <w:sz w:val="18"/>
          <w:szCs w:val="18"/>
        </w:rPr>
        <w:t>③</w:t>
      </w:r>
      <w:r>
        <w:rPr>
          <w:rFonts w:ascii="Times New Roman" w:hAnsi="Times New Roman" w:cs="Times New Roman"/>
          <w:sz w:val="18"/>
          <w:szCs w:val="18"/>
        </w:rPr>
        <w:t>商誉的减值测试过程</w:t>
      </w:r>
    </w:p>
    <w:p>
      <w:pPr>
        <w:pStyle w:val="8"/>
        <w:spacing w:before="0" w:beforeAutospacing="0" w:after="0" w:afterAutospacing="0" w:line="276" w:lineRule="auto"/>
        <w:ind w:firstLine="360"/>
        <w:rPr>
          <w:rFonts w:ascii="Times New Roman" w:hAnsi="Times New Roman" w:eastAsia="等线" w:cs="Times New Roman"/>
          <w:sz w:val="21"/>
          <w:szCs w:val="21"/>
        </w:rPr>
      </w:pPr>
      <w:r>
        <w:rPr>
          <w:rFonts w:ascii="Times New Roman" w:hAnsi="Times New Roman" w:cs="Times New Roman"/>
          <w:sz w:val="18"/>
          <w:szCs w:val="18"/>
        </w:rPr>
        <w:t>公司期末对与商誉相关的资产组进行了减值测试，首先将该商誉及归属于少数股东权益的商誉包括在内，调整资产组的账面价值，然后将调整后的资产组账面价值与其可收回金额进行比较，以确定资产组（包括商誉）是否发生了减值。</w:t>
      </w:r>
    </w:p>
    <w:p>
      <w:pPr>
        <w:pStyle w:val="8"/>
        <w:spacing w:before="0" w:beforeAutospacing="0" w:after="0" w:afterAutospacing="0" w:line="276" w:lineRule="auto"/>
        <w:ind w:firstLine="360"/>
        <w:rPr>
          <w:rFonts w:ascii="Times New Roman" w:hAnsi="Times New Roman" w:eastAsia="等线" w:cs="Times New Roman"/>
          <w:sz w:val="21"/>
          <w:szCs w:val="21"/>
        </w:rPr>
      </w:pPr>
      <w:r>
        <w:rPr>
          <w:rFonts w:ascii="Times New Roman" w:hAnsi="Times New Roman" w:eastAsia="等线" w:cs="Times New Roman"/>
          <w:sz w:val="18"/>
          <w:szCs w:val="18"/>
        </w:rPr>
        <w:t>a</w:t>
      </w:r>
      <w:r>
        <w:rPr>
          <w:rFonts w:ascii="Times New Roman" w:hAnsi="Times New Roman" w:cs="Times New Roman"/>
          <w:sz w:val="18"/>
          <w:szCs w:val="18"/>
        </w:rPr>
        <w:t>、重要公司商誉减值测试过程如下：</w:t>
      </w:r>
    </w:p>
    <w:p>
      <w:pPr>
        <w:pStyle w:val="8"/>
        <w:spacing w:before="0" w:beforeAutospacing="0" w:after="0" w:afterAutospacing="0" w:line="276" w:lineRule="auto"/>
        <w:jc w:val="right"/>
        <w:rPr>
          <w:rFonts w:ascii="Times New Roman" w:hAnsi="Times New Roman" w:eastAsia="等线" w:cs="Times New Roman"/>
          <w:sz w:val="21"/>
          <w:szCs w:val="21"/>
        </w:rPr>
      </w:pPr>
      <w:r>
        <w:rPr>
          <w:rFonts w:ascii="Times New Roman" w:hAnsi="Times New Roman" w:cs="Times New Roman"/>
          <w:sz w:val="18"/>
          <w:szCs w:val="18"/>
        </w:rPr>
        <w:t>单位：万元</w:t>
      </w:r>
    </w:p>
    <w:tbl>
      <w:tblPr>
        <w:tblStyle w:val="9"/>
        <w:tblW w:w="5000" w:type="pct"/>
        <w:tblInd w:w="0" w:type="dxa"/>
        <w:tblLayout w:type="autofit"/>
        <w:tblCellMar>
          <w:top w:w="0" w:type="dxa"/>
          <w:left w:w="0" w:type="dxa"/>
          <w:bottom w:w="0" w:type="dxa"/>
          <w:right w:w="0" w:type="dxa"/>
        </w:tblCellMar>
      </w:tblPr>
      <w:tblGrid>
        <w:gridCol w:w="5340"/>
        <w:gridCol w:w="4317"/>
      </w:tblGrid>
      <w:tr>
        <w:tblPrEx>
          <w:tblCellMar>
            <w:top w:w="0" w:type="dxa"/>
            <w:left w:w="0" w:type="dxa"/>
            <w:bottom w:w="0" w:type="dxa"/>
            <w:right w:w="0" w:type="dxa"/>
          </w:tblCellMar>
        </w:tblPrEx>
        <w:trPr>
          <w:trHeight w:val="340" w:hRule="atLeast"/>
        </w:trPr>
        <w:tc>
          <w:tcPr>
            <w:tcW w:w="2765" w:type="pct"/>
            <w:tcBorders>
              <w:top w:val="single" w:color="auto" w:sz="8" w:space="0"/>
              <w:left w:val="single" w:color="auto" w:sz="8" w:space="0"/>
              <w:bottom w:val="single" w:color="auto" w:sz="8" w:space="0"/>
              <w:right w:val="single" w:color="auto" w:sz="8" w:space="0"/>
            </w:tcBorders>
            <w:noWrap/>
            <w:vAlign w:val="center"/>
          </w:tcPr>
          <w:p>
            <w:pPr>
              <w:pStyle w:val="8"/>
              <w:spacing w:before="0" w:beforeAutospacing="0" w:after="0" w:afterAutospacing="0"/>
              <w:jc w:val="center"/>
              <w:rPr>
                <w:rFonts w:ascii="Times New Roman" w:hAnsi="Times New Roman" w:cs="Times New Roman"/>
              </w:rPr>
            </w:pPr>
            <w:r>
              <w:rPr>
                <w:rFonts w:ascii="Times New Roman" w:hAnsi="Times New Roman" w:cs="Times New Roman"/>
                <w:sz w:val="18"/>
                <w:szCs w:val="18"/>
              </w:rPr>
              <w:t>项目</w:t>
            </w:r>
          </w:p>
        </w:tc>
        <w:tc>
          <w:tcPr>
            <w:tcW w:w="2235" w:type="pct"/>
            <w:tcBorders>
              <w:top w:val="single" w:color="auto" w:sz="8" w:space="0"/>
              <w:left w:val="nil"/>
              <w:bottom w:val="single" w:color="auto" w:sz="8" w:space="0"/>
              <w:right w:val="single" w:color="auto" w:sz="8" w:space="0"/>
            </w:tcBorders>
            <w:noWrap/>
            <w:vAlign w:val="center"/>
          </w:tcPr>
          <w:p>
            <w:pPr>
              <w:pStyle w:val="8"/>
              <w:spacing w:before="0" w:beforeAutospacing="0" w:after="0" w:afterAutospacing="0"/>
              <w:jc w:val="center"/>
              <w:rPr>
                <w:rFonts w:ascii="Times New Roman" w:hAnsi="Times New Roman" w:cs="Times New Roman"/>
              </w:rPr>
            </w:pPr>
            <w:r>
              <w:rPr>
                <w:rFonts w:ascii="Times New Roman" w:hAnsi="Times New Roman" w:cs="Times New Roman"/>
                <w:sz w:val="18"/>
                <w:szCs w:val="18"/>
              </w:rPr>
              <w:t>潍坊振祥食品有限公司</w:t>
            </w:r>
          </w:p>
        </w:tc>
      </w:tr>
      <w:tr>
        <w:tblPrEx>
          <w:tblCellMar>
            <w:top w:w="0" w:type="dxa"/>
            <w:left w:w="0" w:type="dxa"/>
            <w:bottom w:w="0" w:type="dxa"/>
            <w:right w:w="0" w:type="dxa"/>
          </w:tblCellMar>
        </w:tblPrEx>
        <w:trPr>
          <w:trHeight w:val="340" w:hRule="atLeast"/>
        </w:trPr>
        <w:tc>
          <w:tcPr>
            <w:tcW w:w="2765" w:type="pct"/>
            <w:tcBorders>
              <w:top w:val="nil"/>
              <w:left w:val="single" w:color="auto" w:sz="8" w:space="0"/>
              <w:bottom w:val="single" w:color="auto" w:sz="8" w:space="0"/>
              <w:right w:val="single" w:color="auto" w:sz="8" w:space="0"/>
            </w:tcBorders>
            <w:noWrap/>
            <w:vAlign w:val="center"/>
          </w:tcPr>
          <w:p>
            <w:pPr>
              <w:pStyle w:val="8"/>
              <w:spacing w:before="0" w:beforeAutospacing="0" w:after="0" w:afterAutospacing="0"/>
              <w:jc w:val="both"/>
              <w:rPr>
                <w:rFonts w:ascii="Times New Roman" w:hAnsi="Times New Roman" w:cs="Times New Roman"/>
              </w:rPr>
            </w:pPr>
            <w:r>
              <w:rPr>
                <w:rFonts w:ascii="Times New Roman" w:hAnsi="Times New Roman" w:cs="Times New Roman"/>
                <w:sz w:val="18"/>
                <w:szCs w:val="18"/>
              </w:rPr>
              <w:t>商誉账面余额</w:t>
            </w:r>
            <w:r>
              <w:rPr>
                <w:rFonts w:hint="eastAsia"/>
                <w:sz w:val="18"/>
                <w:szCs w:val="18"/>
              </w:rPr>
              <w:t>①</w:t>
            </w:r>
          </w:p>
        </w:tc>
        <w:tc>
          <w:tcPr>
            <w:tcW w:w="2235" w:type="pct"/>
            <w:tcBorders>
              <w:top w:val="nil"/>
              <w:left w:val="nil"/>
              <w:bottom w:val="single" w:color="auto" w:sz="8" w:space="0"/>
              <w:right w:val="single" w:color="auto" w:sz="8" w:space="0"/>
            </w:tcBorders>
            <w:noWrap/>
            <w:vAlign w:val="center"/>
          </w:tcPr>
          <w:p>
            <w:pPr>
              <w:pStyle w:val="8"/>
              <w:spacing w:before="0" w:beforeAutospacing="0" w:after="0" w:afterAutospacing="0"/>
              <w:jc w:val="right"/>
              <w:rPr>
                <w:rFonts w:ascii="Times New Roman" w:hAnsi="Times New Roman" w:cs="Times New Roman"/>
              </w:rPr>
            </w:pPr>
            <w:r>
              <w:rPr>
                <w:rFonts w:ascii="Times New Roman" w:hAnsi="Times New Roman" w:cs="Times New Roman"/>
                <w:sz w:val="18"/>
                <w:szCs w:val="18"/>
              </w:rPr>
              <w:t>5,982.37</w:t>
            </w:r>
          </w:p>
        </w:tc>
      </w:tr>
      <w:tr>
        <w:tblPrEx>
          <w:tblCellMar>
            <w:top w:w="0" w:type="dxa"/>
            <w:left w:w="0" w:type="dxa"/>
            <w:bottom w:w="0" w:type="dxa"/>
            <w:right w:w="0" w:type="dxa"/>
          </w:tblCellMar>
        </w:tblPrEx>
        <w:trPr>
          <w:trHeight w:val="340" w:hRule="atLeast"/>
        </w:trPr>
        <w:tc>
          <w:tcPr>
            <w:tcW w:w="2765" w:type="pct"/>
            <w:tcBorders>
              <w:top w:val="nil"/>
              <w:left w:val="single" w:color="auto" w:sz="8" w:space="0"/>
              <w:bottom w:val="single" w:color="auto" w:sz="8" w:space="0"/>
              <w:right w:val="single" w:color="auto" w:sz="8" w:space="0"/>
            </w:tcBorders>
            <w:noWrap/>
            <w:vAlign w:val="center"/>
          </w:tcPr>
          <w:p>
            <w:pPr>
              <w:pStyle w:val="8"/>
              <w:spacing w:before="0" w:beforeAutospacing="0" w:after="0" w:afterAutospacing="0"/>
              <w:jc w:val="both"/>
              <w:rPr>
                <w:rFonts w:ascii="Times New Roman" w:hAnsi="Times New Roman" w:cs="Times New Roman"/>
              </w:rPr>
            </w:pPr>
            <w:r>
              <w:rPr>
                <w:rFonts w:ascii="Times New Roman" w:hAnsi="Times New Roman" w:cs="Times New Roman"/>
                <w:sz w:val="18"/>
                <w:szCs w:val="18"/>
              </w:rPr>
              <w:t>商誉减值准备余额</w:t>
            </w:r>
            <w:r>
              <w:rPr>
                <w:rFonts w:hint="eastAsia"/>
                <w:sz w:val="18"/>
                <w:szCs w:val="18"/>
              </w:rPr>
              <w:t>②</w:t>
            </w:r>
          </w:p>
        </w:tc>
        <w:tc>
          <w:tcPr>
            <w:tcW w:w="2235" w:type="pct"/>
            <w:tcBorders>
              <w:top w:val="nil"/>
              <w:left w:val="nil"/>
              <w:bottom w:val="single" w:color="auto" w:sz="8" w:space="0"/>
              <w:right w:val="single" w:color="auto" w:sz="8" w:space="0"/>
            </w:tcBorders>
            <w:noWrap/>
            <w:vAlign w:val="center"/>
          </w:tcPr>
          <w:p>
            <w:pPr>
              <w:pStyle w:val="8"/>
              <w:spacing w:before="0" w:beforeAutospacing="0" w:after="0" w:afterAutospacing="0"/>
              <w:jc w:val="right"/>
              <w:rPr>
                <w:rFonts w:ascii="Times New Roman" w:hAnsi="Times New Roman" w:cs="Times New Roman"/>
              </w:rPr>
            </w:pPr>
            <w:r>
              <w:rPr>
                <w:rFonts w:ascii="Times New Roman" w:hAnsi="Times New Roman" w:cs="Times New Roman"/>
                <w:sz w:val="18"/>
                <w:szCs w:val="18"/>
              </w:rPr>
              <w:t>3,295.18</w:t>
            </w:r>
          </w:p>
        </w:tc>
      </w:tr>
      <w:tr>
        <w:tblPrEx>
          <w:tblCellMar>
            <w:top w:w="0" w:type="dxa"/>
            <w:left w:w="0" w:type="dxa"/>
            <w:bottom w:w="0" w:type="dxa"/>
            <w:right w:w="0" w:type="dxa"/>
          </w:tblCellMar>
        </w:tblPrEx>
        <w:trPr>
          <w:trHeight w:val="340" w:hRule="atLeast"/>
        </w:trPr>
        <w:tc>
          <w:tcPr>
            <w:tcW w:w="2765" w:type="pct"/>
            <w:tcBorders>
              <w:top w:val="nil"/>
              <w:left w:val="single" w:color="auto" w:sz="8" w:space="0"/>
              <w:bottom w:val="single" w:color="auto" w:sz="8" w:space="0"/>
              <w:right w:val="single" w:color="auto" w:sz="8" w:space="0"/>
            </w:tcBorders>
            <w:noWrap/>
            <w:vAlign w:val="center"/>
          </w:tcPr>
          <w:p>
            <w:pPr>
              <w:pStyle w:val="8"/>
              <w:spacing w:before="0" w:beforeAutospacing="0" w:after="0" w:afterAutospacing="0"/>
              <w:jc w:val="both"/>
              <w:rPr>
                <w:rFonts w:ascii="Times New Roman" w:hAnsi="Times New Roman" w:cs="Times New Roman"/>
              </w:rPr>
            </w:pPr>
            <w:r>
              <w:rPr>
                <w:rFonts w:ascii="Times New Roman" w:hAnsi="Times New Roman" w:cs="Times New Roman"/>
                <w:sz w:val="18"/>
                <w:szCs w:val="18"/>
              </w:rPr>
              <w:t>商誉的账面价值</w:t>
            </w:r>
            <w:r>
              <w:rPr>
                <w:rFonts w:hint="eastAsia"/>
                <w:sz w:val="18"/>
                <w:szCs w:val="18"/>
              </w:rPr>
              <w:t>③</w:t>
            </w:r>
            <w:r>
              <w:rPr>
                <w:rFonts w:ascii="Times New Roman" w:hAnsi="Times New Roman" w:cs="Times New Roman"/>
                <w:sz w:val="18"/>
                <w:szCs w:val="18"/>
              </w:rPr>
              <w:t>=</w:t>
            </w:r>
            <w:r>
              <w:rPr>
                <w:rFonts w:hint="eastAsia"/>
                <w:sz w:val="18"/>
                <w:szCs w:val="18"/>
              </w:rPr>
              <w:t>①</w:t>
            </w:r>
            <w:r>
              <w:rPr>
                <w:rFonts w:ascii="Times New Roman" w:hAnsi="Times New Roman" w:cs="Times New Roman"/>
                <w:sz w:val="18"/>
                <w:szCs w:val="18"/>
              </w:rPr>
              <w:t>-</w:t>
            </w:r>
            <w:r>
              <w:rPr>
                <w:rFonts w:hint="eastAsia"/>
                <w:sz w:val="18"/>
                <w:szCs w:val="18"/>
              </w:rPr>
              <w:t>②</w:t>
            </w:r>
          </w:p>
        </w:tc>
        <w:tc>
          <w:tcPr>
            <w:tcW w:w="2235" w:type="pct"/>
            <w:tcBorders>
              <w:top w:val="nil"/>
              <w:left w:val="nil"/>
              <w:bottom w:val="single" w:color="auto" w:sz="8" w:space="0"/>
              <w:right w:val="single" w:color="auto" w:sz="8" w:space="0"/>
            </w:tcBorders>
            <w:noWrap/>
            <w:vAlign w:val="center"/>
          </w:tcPr>
          <w:p>
            <w:pPr>
              <w:pStyle w:val="8"/>
              <w:spacing w:before="0" w:beforeAutospacing="0" w:after="0" w:afterAutospacing="0"/>
              <w:jc w:val="right"/>
              <w:rPr>
                <w:rFonts w:ascii="Times New Roman" w:hAnsi="Times New Roman" w:cs="Times New Roman"/>
              </w:rPr>
            </w:pPr>
            <w:r>
              <w:rPr>
                <w:rFonts w:ascii="Times New Roman" w:hAnsi="Times New Roman" w:cs="Times New Roman"/>
                <w:sz w:val="18"/>
                <w:szCs w:val="18"/>
              </w:rPr>
              <w:t>2,687.19</w:t>
            </w:r>
          </w:p>
        </w:tc>
      </w:tr>
      <w:tr>
        <w:tblPrEx>
          <w:tblCellMar>
            <w:top w:w="0" w:type="dxa"/>
            <w:left w:w="0" w:type="dxa"/>
            <w:bottom w:w="0" w:type="dxa"/>
            <w:right w:w="0" w:type="dxa"/>
          </w:tblCellMar>
        </w:tblPrEx>
        <w:trPr>
          <w:trHeight w:val="340" w:hRule="atLeast"/>
        </w:trPr>
        <w:tc>
          <w:tcPr>
            <w:tcW w:w="2765" w:type="pct"/>
            <w:tcBorders>
              <w:top w:val="nil"/>
              <w:left w:val="single" w:color="auto" w:sz="8" w:space="0"/>
              <w:bottom w:val="single" w:color="auto" w:sz="8" w:space="0"/>
              <w:right w:val="single" w:color="auto" w:sz="8" w:space="0"/>
            </w:tcBorders>
            <w:noWrap/>
            <w:vAlign w:val="center"/>
          </w:tcPr>
          <w:p>
            <w:pPr>
              <w:pStyle w:val="8"/>
              <w:spacing w:before="0" w:beforeAutospacing="0" w:after="0" w:afterAutospacing="0"/>
              <w:jc w:val="both"/>
              <w:rPr>
                <w:rFonts w:ascii="Times New Roman" w:hAnsi="Times New Roman" w:cs="Times New Roman"/>
              </w:rPr>
            </w:pPr>
            <w:r>
              <w:rPr>
                <w:rFonts w:ascii="Times New Roman" w:hAnsi="Times New Roman" w:cs="Times New Roman"/>
                <w:sz w:val="18"/>
                <w:szCs w:val="18"/>
              </w:rPr>
              <w:t>未确认归属于少数股东权益的商誉价值</w:t>
            </w:r>
            <w:r>
              <w:rPr>
                <w:rFonts w:hint="eastAsia"/>
                <w:sz w:val="18"/>
                <w:szCs w:val="18"/>
              </w:rPr>
              <w:t>④</w:t>
            </w:r>
          </w:p>
        </w:tc>
        <w:tc>
          <w:tcPr>
            <w:tcW w:w="2235" w:type="pct"/>
            <w:tcBorders>
              <w:top w:val="nil"/>
              <w:left w:val="nil"/>
              <w:bottom w:val="single" w:color="auto" w:sz="8" w:space="0"/>
              <w:right w:val="single" w:color="auto" w:sz="8" w:space="0"/>
            </w:tcBorders>
            <w:noWrap/>
            <w:vAlign w:val="center"/>
          </w:tcPr>
          <w:p>
            <w:pPr>
              <w:pStyle w:val="8"/>
              <w:spacing w:before="0" w:beforeAutospacing="0" w:after="0" w:afterAutospacing="0"/>
              <w:jc w:val="right"/>
              <w:rPr>
                <w:rFonts w:ascii="Times New Roman" w:hAnsi="Times New Roman" w:cs="Times New Roman"/>
              </w:rPr>
            </w:pPr>
            <w:r>
              <w:rPr>
                <w:rFonts w:ascii="Times New Roman" w:hAnsi="Times New Roman" w:cs="Times New Roman"/>
                <w:sz w:val="18"/>
                <w:szCs w:val="18"/>
              </w:rPr>
              <w:t>1,151.66</w:t>
            </w:r>
          </w:p>
        </w:tc>
      </w:tr>
      <w:tr>
        <w:tblPrEx>
          <w:tblCellMar>
            <w:top w:w="0" w:type="dxa"/>
            <w:left w:w="0" w:type="dxa"/>
            <w:bottom w:w="0" w:type="dxa"/>
            <w:right w:w="0" w:type="dxa"/>
          </w:tblCellMar>
        </w:tblPrEx>
        <w:trPr>
          <w:trHeight w:val="340" w:hRule="atLeast"/>
        </w:trPr>
        <w:tc>
          <w:tcPr>
            <w:tcW w:w="2765" w:type="pct"/>
            <w:tcBorders>
              <w:top w:val="nil"/>
              <w:left w:val="single" w:color="auto" w:sz="8" w:space="0"/>
              <w:bottom w:val="single" w:color="auto" w:sz="8" w:space="0"/>
              <w:right w:val="single" w:color="auto" w:sz="8" w:space="0"/>
            </w:tcBorders>
            <w:noWrap/>
            <w:vAlign w:val="center"/>
          </w:tcPr>
          <w:p>
            <w:pPr>
              <w:pStyle w:val="8"/>
              <w:spacing w:before="0" w:beforeAutospacing="0" w:after="0" w:afterAutospacing="0"/>
              <w:jc w:val="both"/>
              <w:rPr>
                <w:rFonts w:ascii="Times New Roman" w:hAnsi="Times New Roman" w:cs="Times New Roman"/>
              </w:rPr>
            </w:pPr>
            <w:r>
              <w:rPr>
                <w:rFonts w:ascii="Times New Roman" w:hAnsi="Times New Roman" w:cs="Times New Roman"/>
                <w:sz w:val="18"/>
                <w:szCs w:val="18"/>
              </w:rPr>
              <w:t>包含未确认归属于少数股东权益的商誉价值</w:t>
            </w:r>
            <w:r>
              <w:rPr>
                <w:rFonts w:hint="eastAsia"/>
                <w:sz w:val="18"/>
                <w:szCs w:val="18"/>
              </w:rPr>
              <w:t>⑤</w:t>
            </w:r>
            <w:r>
              <w:rPr>
                <w:rFonts w:ascii="Times New Roman" w:hAnsi="Times New Roman" w:cs="Times New Roman"/>
                <w:sz w:val="18"/>
                <w:szCs w:val="18"/>
              </w:rPr>
              <w:t>=</w:t>
            </w:r>
            <w:r>
              <w:rPr>
                <w:rFonts w:hint="eastAsia"/>
                <w:sz w:val="18"/>
                <w:szCs w:val="18"/>
              </w:rPr>
              <w:t>④</w:t>
            </w:r>
            <w:r>
              <w:rPr>
                <w:rFonts w:ascii="Times New Roman" w:hAnsi="Times New Roman" w:cs="Times New Roman"/>
                <w:sz w:val="18"/>
                <w:szCs w:val="18"/>
              </w:rPr>
              <w:t>+</w:t>
            </w:r>
            <w:r>
              <w:rPr>
                <w:rFonts w:hint="eastAsia"/>
                <w:sz w:val="18"/>
                <w:szCs w:val="18"/>
              </w:rPr>
              <w:t>③</w:t>
            </w:r>
          </w:p>
        </w:tc>
        <w:tc>
          <w:tcPr>
            <w:tcW w:w="2235" w:type="pct"/>
            <w:tcBorders>
              <w:top w:val="nil"/>
              <w:left w:val="nil"/>
              <w:bottom w:val="single" w:color="auto" w:sz="8" w:space="0"/>
              <w:right w:val="single" w:color="auto" w:sz="8" w:space="0"/>
            </w:tcBorders>
            <w:noWrap/>
            <w:vAlign w:val="center"/>
          </w:tcPr>
          <w:p>
            <w:pPr>
              <w:pStyle w:val="8"/>
              <w:spacing w:before="0" w:beforeAutospacing="0" w:after="0" w:afterAutospacing="0"/>
              <w:jc w:val="right"/>
              <w:rPr>
                <w:rFonts w:ascii="Times New Roman" w:hAnsi="Times New Roman" w:cs="Times New Roman"/>
              </w:rPr>
            </w:pPr>
            <w:r>
              <w:rPr>
                <w:rFonts w:ascii="Times New Roman" w:hAnsi="Times New Roman" w:cs="Times New Roman"/>
                <w:sz w:val="18"/>
                <w:szCs w:val="18"/>
              </w:rPr>
              <w:t>3,838.85</w:t>
            </w:r>
          </w:p>
        </w:tc>
      </w:tr>
      <w:tr>
        <w:tblPrEx>
          <w:tblCellMar>
            <w:top w:w="0" w:type="dxa"/>
            <w:left w:w="0" w:type="dxa"/>
            <w:bottom w:w="0" w:type="dxa"/>
            <w:right w:w="0" w:type="dxa"/>
          </w:tblCellMar>
        </w:tblPrEx>
        <w:trPr>
          <w:trHeight w:val="340" w:hRule="atLeast"/>
        </w:trPr>
        <w:tc>
          <w:tcPr>
            <w:tcW w:w="2765" w:type="pct"/>
            <w:tcBorders>
              <w:top w:val="nil"/>
              <w:left w:val="single" w:color="auto" w:sz="8" w:space="0"/>
              <w:bottom w:val="single" w:color="auto" w:sz="8" w:space="0"/>
              <w:right w:val="single" w:color="auto" w:sz="8" w:space="0"/>
            </w:tcBorders>
            <w:noWrap/>
            <w:vAlign w:val="center"/>
          </w:tcPr>
          <w:p>
            <w:pPr>
              <w:pStyle w:val="8"/>
              <w:spacing w:before="0" w:beforeAutospacing="0" w:after="0" w:afterAutospacing="0"/>
              <w:jc w:val="both"/>
              <w:rPr>
                <w:rFonts w:ascii="Times New Roman" w:hAnsi="Times New Roman" w:cs="Times New Roman"/>
              </w:rPr>
            </w:pPr>
            <w:r>
              <w:rPr>
                <w:rFonts w:ascii="Times New Roman" w:hAnsi="Times New Roman" w:cs="Times New Roman"/>
                <w:sz w:val="18"/>
                <w:szCs w:val="18"/>
              </w:rPr>
              <w:t>资产组的账面价值</w:t>
            </w:r>
            <w:r>
              <w:rPr>
                <w:rFonts w:hint="eastAsia"/>
                <w:sz w:val="18"/>
                <w:szCs w:val="18"/>
              </w:rPr>
              <w:t>⑥</w:t>
            </w:r>
          </w:p>
        </w:tc>
        <w:tc>
          <w:tcPr>
            <w:tcW w:w="2235" w:type="pct"/>
            <w:tcBorders>
              <w:top w:val="nil"/>
              <w:left w:val="nil"/>
              <w:bottom w:val="single" w:color="auto" w:sz="8" w:space="0"/>
              <w:right w:val="single" w:color="auto" w:sz="8" w:space="0"/>
            </w:tcBorders>
            <w:noWrap/>
            <w:vAlign w:val="center"/>
          </w:tcPr>
          <w:p>
            <w:pPr>
              <w:pStyle w:val="8"/>
              <w:spacing w:before="0" w:beforeAutospacing="0" w:after="0" w:afterAutospacing="0"/>
              <w:jc w:val="right"/>
              <w:rPr>
                <w:rFonts w:ascii="Times New Roman" w:hAnsi="Times New Roman" w:cs="Times New Roman"/>
              </w:rPr>
            </w:pPr>
            <w:r>
              <w:rPr>
                <w:rFonts w:ascii="Times New Roman" w:hAnsi="Times New Roman" w:cs="Times New Roman"/>
                <w:sz w:val="18"/>
                <w:szCs w:val="18"/>
              </w:rPr>
              <w:t>17,558.80</w:t>
            </w:r>
          </w:p>
        </w:tc>
      </w:tr>
      <w:tr>
        <w:tblPrEx>
          <w:tblCellMar>
            <w:top w:w="0" w:type="dxa"/>
            <w:left w:w="0" w:type="dxa"/>
            <w:bottom w:w="0" w:type="dxa"/>
            <w:right w:w="0" w:type="dxa"/>
          </w:tblCellMar>
        </w:tblPrEx>
        <w:trPr>
          <w:trHeight w:val="340" w:hRule="atLeast"/>
        </w:trPr>
        <w:tc>
          <w:tcPr>
            <w:tcW w:w="2765" w:type="pct"/>
            <w:tcBorders>
              <w:top w:val="nil"/>
              <w:left w:val="single" w:color="auto" w:sz="8" w:space="0"/>
              <w:bottom w:val="single" w:color="auto" w:sz="8" w:space="0"/>
              <w:right w:val="single" w:color="auto" w:sz="8" w:space="0"/>
            </w:tcBorders>
            <w:noWrap/>
            <w:vAlign w:val="center"/>
          </w:tcPr>
          <w:p>
            <w:pPr>
              <w:pStyle w:val="8"/>
              <w:spacing w:before="0" w:beforeAutospacing="0" w:after="0" w:afterAutospacing="0"/>
              <w:jc w:val="both"/>
              <w:rPr>
                <w:rFonts w:ascii="Times New Roman" w:hAnsi="Times New Roman" w:cs="Times New Roman"/>
              </w:rPr>
            </w:pPr>
            <w:r>
              <w:rPr>
                <w:rFonts w:ascii="Times New Roman" w:hAnsi="Times New Roman" w:cs="Times New Roman"/>
                <w:sz w:val="18"/>
                <w:szCs w:val="18"/>
              </w:rPr>
              <w:t>包含整体商誉的资产组的公允价值</w:t>
            </w:r>
            <w:r>
              <w:rPr>
                <w:rFonts w:hint="eastAsia"/>
                <w:sz w:val="18"/>
                <w:szCs w:val="18"/>
              </w:rPr>
              <w:t>⑦</w:t>
            </w:r>
            <w:r>
              <w:rPr>
                <w:rFonts w:ascii="Times New Roman" w:hAnsi="Times New Roman" w:cs="Times New Roman"/>
                <w:sz w:val="18"/>
                <w:szCs w:val="18"/>
              </w:rPr>
              <w:t>=</w:t>
            </w:r>
            <w:r>
              <w:rPr>
                <w:rFonts w:hint="eastAsia"/>
                <w:sz w:val="18"/>
                <w:szCs w:val="18"/>
              </w:rPr>
              <w:t>⑤</w:t>
            </w:r>
            <w:r>
              <w:rPr>
                <w:rFonts w:ascii="Times New Roman" w:hAnsi="Times New Roman" w:cs="Times New Roman"/>
                <w:sz w:val="18"/>
                <w:szCs w:val="18"/>
              </w:rPr>
              <w:t>+</w:t>
            </w:r>
            <w:r>
              <w:rPr>
                <w:rFonts w:hint="eastAsia"/>
                <w:sz w:val="18"/>
                <w:szCs w:val="18"/>
              </w:rPr>
              <w:t>⑥</w:t>
            </w:r>
          </w:p>
        </w:tc>
        <w:tc>
          <w:tcPr>
            <w:tcW w:w="2235" w:type="pct"/>
            <w:tcBorders>
              <w:top w:val="nil"/>
              <w:left w:val="nil"/>
              <w:bottom w:val="single" w:color="auto" w:sz="8" w:space="0"/>
              <w:right w:val="single" w:color="auto" w:sz="8" w:space="0"/>
            </w:tcBorders>
            <w:noWrap/>
            <w:vAlign w:val="center"/>
          </w:tcPr>
          <w:p>
            <w:pPr>
              <w:pStyle w:val="8"/>
              <w:spacing w:before="0" w:beforeAutospacing="0" w:after="0" w:afterAutospacing="0"/>
              <w:jc w:val="right"/>
              <w:rPr>
                <w:rFonts w:ascii="Times New Roman" w:hAnsi="Times New Roman" w:cs="Times New Roman"/>
              </w:rPr>
            </w:pPr>
            <w:r>
              <w:rPr>
                <w:rFonts w:ascii="Times New Roman" w:hAnsi="Times New Roman" w:cs="Times New Roman"/>
                <w:sz w:val="18"/>
                <w:szCs w:val="18"/>
              </w:rPr>
              <w:t>21,397.65</w:t>
            </w:r>
          </w:p>
        </w:tc>
      </w:tr>
      <w:tr>
        <w:tblPrEx>
          <w:tblCellMar>
            <w:top w:w="0" w:type="dxa"/>
            <w:left w:w="0" w:type="dxa"/>
            <w:bottom w:w="0" w:type="dxa"/>
            <w:right w:w="0" w:type="dxa"/>
          </w:tblCellMar>
        </w:tblPrEx>
        <w:trPr>
          <w:trHeight w:val="340" w:hRule="atLeast"/>
        </w:trPr>
        <w:tc>
          <w:tcPr>
            <w:tcW w:w="2765" w:type="pct"/>
            <w:tcBorders>
              <w:top w:val="nil"/>
              <w:left w:val="single" w:color="auto" w:sz="8" w:space="0"/>
              <w:bottom w:val="single" w:color="auto" w:sz="8" w:space="0"/>
              <w:right w:val="single" w:color="auto" w:sz="8" w:space="0"/>
            </w:tcBorders>
            <w:noWrap/>
            <w:vAlign w:val="center"/>
          </w:tcPr>
          <w:p>
            <w:pPr>
              <w:pStyle w:val="8"/>
              <w:spacing w:before="0" w:beforeAutospacing="0" w:after="0" w:afterAutospacing="0"/>
              <w:jc w:val="both"/>
              <w:rPr>
                <w:rFonts w:ascii="Times New Roman" w:hAnsi="Times New Roman" w:cs="Times New Roman"/>
              </w:rPr>
            </w:pPr>
            <w:r>
              <w:rPr>
                <w:rFonts w:ascii="Times New Roman" w:hAnsi="Times New Roman" w:cs="Times New Roman"/>
                <w:sz w:val="18"/>
                <w:szCs w:val="18"/>
              </w:rPr>
              <w:t>资产组预计未来现金流量的现值（可回收金额）</w:t>
            </w:r>
            <w:r>
              <w:rPr>
                <w:rFonts w:hint="eastAsia"/>
                <w:sz w:val="18"/>
                <w:szCs w:val="18"/>
              </w:rPr>
              <w:t>⑧</w:t>
            </w:r>
          </w:p>
        </w:tc>
        <w:tc>
          <w:tcPr>
            <w:tcW w:w="2235" w:type="pct"/>
            <w:tcBorders>
              <w:top w:val="nil"/>
              <w:left w:val="nil"/>
              <w:bottom w:val="single" w:color="auto" w:sz="8" w:space="0"/>
              <w:right w:val="single" w:color="auto" w:sz="8" w:space="0"/>
            </w:tcBorders>
            <w:noWrap/>
            <w:vAlign w:val="center"/>
          </w:tcPr>
          <w:p>
            <w:pPr>
              <w:pStyle w:val="8"/>
              <w:spacing w:before="0" w:beforeAutospacing="0" w:after="0" w:afterAutospacing="0"/>
              <w:jc w:val="right"/>
              <w:rPr>
                <w:rFonts w:ascii="Times New Roman" w:hAnsi="Times New Roman" w:cs="Times New Roman"/>
              </w:rPr>
            </w:pPr>
            <w:r>
              <w:rPr>
                <w:rFonts w:ascii="Times New Roman" w:hAnsi="Times New Roman" w:cs="Times New Roman"/>
                <w:sz w:val="18"/>
                <w:szCs w:val="18"/>
              </w:rPr>
              <w:t>26,859.03</w:t>
            </w:r>
          </w:p>
        </w:tc>
      </w:tr>
      <w:tr>
        <w:tblPrEx>
          <w:tblCellMar>
            <w:top w:w="0" w:type="dxa"/>
            <w:left w:w="0" w:type="dxa"/>
            <w:bottom w:w="0" w:type="dxa"/>
            <w:right w:w="0" w:type="dxa"/>
          </w:tblCellMar>
        </w:tblPrEx>
        <w:trPr>
          <w:trHeight w:val="340" w:hRule="atLeast"/>
        </w:trPr>
        <w:tc>
          <w:tcPr>
            <w:tcW w:w="2765" w:type="pct"/>
            <w:tcBorders>
              <w:top w:val="nil"/>
              <w:left w:val="single" w:color="auto" w:sz="8" w:space="0"/>
              <w:bottom w:val="single" w:color="auto" w:sz="8" w:space="0"/>
              <w:right w:val="single" w:color="auto" w:sz="8" w:space="0"/>
            </w:tcBorders>
            <w:noWrap/>
            <w:vAlign w:val="center"/>
          </w:tcPr>
          <w:p>
            <w:pPr>
              <w:pStyle w:val="8"/>
              <w:spacing w:before="0" w:beforeAutospacing="0" w:after="0" w:afterAutospacing="0"/>
              <w:jc w:val="both"/>
              <w:rPr>
                <w:rFonts w:ascii="Times New Roman" w:hAnsi="Times New Roman" w:cs="Times New Roman"/>
              </w:rPr>
            </w:pPr>
            <w:r>
              <w:rPr>
                <w:rFonts w:ascii="Times New Roman" w:hAnsi="Times New Roman" w:cs="Times New Roman"/>
                <w:sz w:val="18"/>
                <w:szCs w:val="18"/>
              </w:rPr>
              <w:t>商誉减值损失（大于0时）</w:t>
            </w:r>
            <w:r>
              <w:rPr>
                <w:rFonts w:hint="eastAsia"/>
                <w:sz w:val="18"/>
                <w:szCs w:val="18"/>
              </w:rPr>
              <w:t>⑨</w:t>
            </w:r>
            <w:r>
              <w:rPr>
                <w:rFonts w:ascii="Times New Roman" w:hAnsi="Times New Roman" w:cs="Times New Roman"/>
                <w:sz w:val="18"/>
                <w:szCs w:val="18"/>
              </w:rPr>
              <w:t>=</w:t>
            </w:r>
            <w:r>
              <w:rPr>
                <w:rFonts w:hint="eastAsia"/>
                <w:sz w:val="18"/>
                <w:szCs w:val="18"/>
              </w:rPr>
              <w:t>⑦</w:t>
            </w:r>
            <w:r>
              <w:rPr>
                <w:rFonts w:ascii="Times New Roman" w:hAnsi="Times New Roman" w:cs="Times New Roman"/>
                <w:sz w:val="18"/>
                <w:szCs w:val="18"/>
              </w:rPr>
              <w:t>-</w:t>
            </w:r>
            <w:r>
              <w:rPr>
                <w:rFonts w:hint="eastAsia"/>
                <w:sz w:val="18"/>
                <w:szCs w:val="18"/>
              </w:rPr>
              <w:t>⑧</w:t>
            </w:r>
          </w:p>
        </w:tc>
        <w:tc>
          <w:tcPr>
            <w:tcW w:w="2235" w:type="pct"/>
            <w:tcBorders>
              <w:top w:val="nil"/>
              <w:left w:val="nil"/>
              <w:bottom w:val="single" w:color="auto" w:sz="8" w:space="0"/>
              <w:right w:val="single" w:color="auto" w:sz="8" w:space="0"/>
            </w:tcBorders>
            <w:noWrap/>
            <w:vAlign w:val="center"/>
          </w:tcPr>
          <w:p>
            <w:pPr>
              <w:pStyle w:val="8"/>
              <w:spacing w:before="0" w:beforeAutospacing="0" w:after="0" w:afterAutospacing="0"/>
              <w:jc w:val="right"/>
              <w:rPr>
                <w:rFonts w:ascii="Times New Roman" w:hAnsi="Times New Roman" w:cs="Times New Roman"/>
              </w:rPr>
            </w:pPr>
            <w:r>
              <w:rPr>
                <w:rFonts w:ascii="Times New Roman" w:hAnsi="Times New Roman" w:cs="Times New Roman"/>
                <w:sz w:val="18"/>
                <w:szCs w:val="18"/>
              </w:rPr>
              <w:t> </w:t>
            </w:r>
          </w:p>
        </w:tc>
      </w:tr>
      <w:tr>
        <w:tblPrEx>
          <w:tblCellMar>
            <w:top w:w="0" w:type="dxa"/>
            <w:left w:w="0" w:type="dxa"/>
            <w:bottom w:w="0" w:type="dxa"/>
            <w:right w:w="0" w:type="dxa"/>
          </w:tblCellMar>
        </w:tblPrEx>
        <w:trPr>
          <w:trHeight w:val="340" w:hRule="atLeast"/>
        </w:trPr>
        <w:tc>
          <w:tcPr>
            <w:tcW w:w="2765" w:type="pct"/>
            <w:tcBorders>
              <w:top w:val="nil"/>
              <w:left w:val="single" w:color="auto" w:sz="8" w:space="0"/>
              <w:bottom w:val="single" w:color="auto" w:sz="8" w:space="0"/>
              <w:right w:val="single" w:color="auto" w:sz="8" w:space="0"/>
            </w:tcBorders>
            <w:noWrap/>
            <w:vAlign w:val="center"/>
          </w:tcPr>
          <w:p>
            <w:pPr>
              <w:pStyle w:val="8"/>
              <w:spacing w:before="0" w:beforeAutospacing="0" w:after="0" w:afterAutospacing="0"/>
              <w:jc w:val="both"/>
              <w:rPr>
                <w:rFonts w:ascii="Times New Roman" w:hAnsi="Times New Roman" w:cs="Times New Roman"/>
              </w:rPr>
            </w:pPr>
            <w:r>
              <w:rPr>
                <w:rFonts w:ascii="Times New Roman" w:hAnsi="Times New Roman" w:cs="Times New Roman"/>
                <w:sz w:val="18"/>
                <w:szCs w:val="18"/>
              </w:rPr>
              <w:t>商誉产生时的持股比例</w:t>
            </w:r>
            <w:r>
              <w:rPr>
                <w:rFonts w:hint="eastAsia"/>
                <w:sz w:val="18"/>
                <w:szCs w:val="18"/>
              </w:rPr>
              <w:t>⑩</w:t>
            </w:r>
          </w:p>
        </w:tc>
        <w:tc>
          <w:tcPr>
            <w:tcW w:w="2235" w:type="pct"/>
            <w:tcBorders>
              <w:top w:val="nil"/>
              <w:left w:val="nil"/>
              <w:bottom w:val="single" w:color="auto" w:sz="8" w:space="0"/>
              <w:right w:val="single" w:color="auto" w:sz="8" w:space="0"/>
            </w:tcBorders>
            <w:noWrap/>
            <w:vAlign w:val="center"/>
          </w:tcPr>
          <w:p>
            <w:pPr>
              <w:pStyle w:val="8"/>
              <w:spacing w:before="0" w:beforeAutospacing="0" w:after="0" w:afterAutospacing="0"/>
              <w:jc w:val="right"/>
              <w:rPr>
                <w:rFonts w:ascii="Times New Roman" w:hAnsi="Times New Roman" w:cs="Times New Roman"/>
              </w:rPr>
            </w:pPr>
            <w:r>
              <w:rPr>
                <w:rFonts w:ascii="Times New Roman" w:hAnsi="Times New Roman" w:cs="Times New Roman"/>
                <w:sz w:val="18"/>
                <w:szCs w:val="18"/>
              </w:rPr>
              <w:t>70%</w:t>
            </w:r>
          </w:p>
        </w:tc>
      </w:tr>
      <w:tr>
        <w:tblPrEx>
          <w:tblCellMar>
            <w:top w:w="0" w:type="dxa"/>
            <w:left w:w="0" w:type="dxa"/>
            <w:bottom w:w="0" w:type="dxa"/>
            <w:right w:w="0" w:type="dxa"/>
          </w:tblCellMar>
        </w:tblPrEx>
        <w:trPr>
          <w:trHeight w:val="340" w:hRule="atLeast"/>
        </w:trPr>
        <w:tc>
          <w:tcPr>
            <w:tcW w:w="2765" w:type="pct"/>
            <w:tcBorders>
              <w:top w:val="nil"/>
              <w:left w:val="single" w:color="auto" w:sz="8" w:space="0"/>
              <w:bottom w:val="single" w:color="auto" w:sz="8" w:space="0"/>
              <w:right w:val="single" w:color="auto" w:sz="8" w:space="0"/>
            </w:tcBorders>
            <w:noWrap/>
            <w:vAlign w:val="center"/>
          </w:tcPr>
          <w:p>
            <w:pPr>
              <w:pStyle w:val="8"/>
              <w:spacing w:before="0" w:beforeAutospacing="0" w:after="0" w:afterAutospacing="0"/>
              <w:jc w:val="both"/>
              <w:rPr>
                <w:rFonts w:ascii="Times New Roman" w:hAnsi="Times New Roman" w:cs="Times New Roman"/>
              </w:rPr>
            </w:pPr>
            <w:r>
              <w:rPr>
                <w:rFonts w:ascii="Times New Roman" w:hAnsi="Times New Roman" w:cs="Times New Roman"/>
                <w:sz w:val="18"/>
                <w:szCs w:val="18"/>
              </w:rPr>
              <w:t>应由本集团确认的商誉减值损失</w:t>
            </w:r>
            <w:r>
              <w:rPr>
                <w:rFonts w:ascii="Cambria Math" w:hAnsi="Cambria Math" w:cs="Cambria Math"/>
                <w:sz w:val="18"/>
                <w:szCs w:val="18"/>
              </w:rPr>
              <w:t>⑪</w:t>
            </w:r>
            <w:r>
              <w:rPr>
                <w:rFonts w:ascii="Times New Roman" w:hAnsi="Times New Roman" w:cs="Times New Roman"/>
                <w:sz w:val="18"/>
                <w:szCs w:val="18"/>
              </w:rPr>
              <w:t>=</w:t>
            </w:r>
            <w:r>
              <w:rPr>
                <w:rFonts w:hint="eastAsia"/>
                <w:sz w:val="18"/>
                <w:szCs w:val="18"/>
              </w:rPr>
              <w:t>⑨</w:t>
            </w:r>
            <w:r>
              <w:rPr>
                <w:rFonts w:ascii="Times New Roman" w:hAnsi="Times New Roman" w:cs="Times New Roman"/>
                <w:sz w:val="18"/>
                <w:szCs w:val="18"/>
              </w:rPr>
              <w:t>×</w:t>
            </w:r>
            <w:r>
              <w:rPr>
                <w:rFonts w:hint="eastAsia"/>
                <w:sz w:val="18"/>
                <w:szCs w:val="18"/>
              </w:rPr>
              <w:t>⑩</w:t>
            </w:r>
          </w:p>
        </w:tc>
        <w:tc>
          <w:tcPr>
            <w:tcW w:w="2235" w:type="pct"/>
            <w:tcBorders>
              <w:top w:val="nil"/>
              <w:left w:val="nil"/>
              <w:bottom w:val="single" w:color="auto" w:sz="8" w:space="0"/>
              <w:right w:val="single" w:color="auto" w:sz="8" w:space="0"/>
            </w:tcBorders>
            <w:noWrap/>
            <w:vAlign w:val="center"/>
          </w:tcPr>
          <w:p>
            <w:pPr>
              <w:pStyle w:val="8"/>
              <w:spacing w:before="0" w:beforeAutospacing="0" w:after="0" w:afterAutospacing="0"/>
              <w:jc w:val="right"/>
              <w:rPr>
                <w:rFonts w:ascii="Times New Roman" w:hAnsi="Times New Roman" w:cs="Times New Roman"/>
              </w:rPr>
            </w:pPr>
            <w:r>
              <w:rPr>
                <w:rFonts w:ascii="Times New Roman" w:hAnsi="Times New Roman" w:cs="Times New Roman"/>
                <w:sz w:val="18"/>
                <w:szCs w:val="18"/>
              </w:rPr>
              <w:t> </w:t>
            </w:r>
          </w:p>
        </w:tc>
      </w:tr>
    </w:tbl>
    <w:p>
      <w:pPr>
        <w:pStyle w:val="8"/>
        <w:spacing w:before="0" w:beforeAutospacing="0" w:after="0" w:afterAutospacing="0" w:line="276" w:lineRule="auto"/>
        <w:ind w:firstLine="360"/>
        <w:rPr>
          <w:rFonts w:ascii="Times New Roman" w:hAnsi="Times New Roman" w:eastAsia="等线" w:cs="Times New Roman"/>
          <w:sz w:val="21"/>
          <w:szCs w:val="21"/>
        </w:rPr>
      </w:pPr>
      <w:r>
        <w:rPr>
          <w:rFonts w:ascii="Times New Roman" w:hAnsi="Times New Roman" w:cs="Times New Roman"/>
          <w:sz w:val="18"/>
          <w:szCs w:val="18"/>
        </w:rPr>
        <w:t>上述资产组预计未来现金流量的现值（可收回金额）利用了北京坤元至诚资产评估有限公司于</w:t>
      </w:r>
      <w:r>
        <w:rPr>
          <w:rFonts w:ascii="Times New Roman" w:hAnsi="Times New Roman" w:eastAsia="等线" w:cs="Times New Roman"/>
          <w:sz w:val="18"/>
          <w:szCs w:val="18"/>
        </w:rPr>
        <w:t>2023</w:t>
      </w:r>
      <w:r>
        <w:rPr>
          <w:rFonts w:ascii="Times New Roman" w:hAnsi="Times New Roman" w:cs="Times New Roman"/>
          <w:sz w:val="18"/>
          <w:szCs w:val="18"/>
        </w:rPr>
        <w:t>年</w:t>
      </w:r>
      <w:r>
        <w:rPr>
          <w:rFonts w:ascii="Times New Roman" w:hAnsi="Times New Roman" w:eastAsia="等线" w:cs="Times New Roman"/>
          <w:sz w:val="18"/>
          <w:szCs w:val="18"/>
        </w:rPr>
        <w:t>04</w:t>
      </w:r>
      <w:r>
        <w:rPr>
          <w:rFonts w:ascii="Times New Roman" w:hAnsi="Times New Roman" w:cs="Times New Roman"/>
          <w:sz w:val="18"/>
          <w:szCs w:val="18"/>
        </w:rPr>
        <w:t>月</w:t>
      </w:r>
      <w:r>
        <w:rPr>
          <w:rFonts w:ascii="Times New Roman" w:hAnsi="Times New Roman" w:eastAsia="等线" w:cs="Times New Roman"/>
          <w:sz w:val="18"/>
          <w:szCs w:val="18"/>
        </w:rPr>
        <w:t>28</w:t>
      </w:r>
      <w:r>
        <w:rPr>
          <w:rFonts w:ascii="Times New Roman" w:hAnsi="Times New Roman" w:cs="Times New Roman"/>
          <w:sz w:val="18"/>
          <w:szCs w:val="18"/>
        </w:rPr>
        <w:t>日出具的京坤评报字</w:t>
      </w:r>
      <w:r>
        <w:rPr>
          <w:rFonts w:ascii="Times New Roman" w:hAnsi="Times New Roman" w:eastAsia="等线" w:cs="Times New Roman"/>
          <w:sz w:val="18"/>
          <w:szCs w:val="18"/>
        </w:rPr>
        <w:t>[2023]0364</w:t>
      </w:r>
      <w:r>
        <w:rPr>
          <w:rFonts w:ascii="Times New Roman" w:hAnsi="Times New Roman" w:cs="Times New Roman"/>
          <w:sz w:val="18"/>
          <w:szCs w:val="18"/>
        </w:rPr>
        <w:t>号《山东龙大美食股份有限公司商誉减值测试涉及的含并购潍坊振祥食品有限公司商誉的资产组可收回金额资产评估报告》的评估结果。</w:t>
      </w:r>
    </w:p>
    <w:p>
      <w:pPr>
        <w:pStyle w:val="8"/>
        <w:spacing w:before="0" w:beforeAutospacing="0" w:after="0" w:afterAutospacing="0" w:line="276" w:lineRule="auto"/>
        <w:rPr>
          <w:rFonts w:ascii="Times New Roman" w:hAnsi="Times New Roman" w:eastAsia="等线" w:cs="Times New Roman"/>
          <w:sz w:val="21"/>
          <w:szCs w:val="21"/>
        </w:rPr>
      </w:pPr>
      <w:r>
        <w:rPr>
          <w:rFonts w:ascii="Times New Roman" w:hAnsi="Times New Roman" w:cs="Times New Roman"/>
          <w:sz w:val="18"/>
          <w:szCs w:val="18"/>
        </w:rPr>
        <w:t>重要假设及依据：</w:t>
      </w:r>
    </w:p>
    <w:p>
      <w:pPr>
        <w:pStyle w:val="8"/>
        <w:spacing w:before="0" w:beforeAutospacing="0" w:after="0" w:afterAutospacing="0" w:line="276" w:lineRule="auto"/>
        <w:ind w:firstLine="360"/>
        <w:rPr>
          <w:rFonts w:ascii="Times New Roman" w:hAnsi="Times New Roman" w:eastAsia="等线" w:cs="Times New Roman"/>
          <w:sz w:val="21"/>
          <w:szCs w:val="21"/>
        </w:rPr>
      </w:pPr>
      <w:r>
        <w:rPr>
          <w:rFonts w:ascii="Times New Roman" w:hAnsi="Times New Roman" w:cs="Times New Roman"/>
          <w:sz w:val="18"/>
          <w:szCs w:val="18"/>
        </w:rPr>
        <w:t>假设国家和地方（委估资产组经营业务所涉及地区）现行的有关法律法规、行业政策、产业政策、宏观经济环境等较评估基准日无重大变化。</w:t>
      </w:r>
    </w:p>
    <w:p>
      <w:pPr>
        <w:pStyle w:val="8"/>
        <w:spacing w:before="0" w:beforeAutospacing="0" w:after="0" w:afterAutospacing="0" w:line="276" w:lineRule="auto"/>
        <w:ind w:firstLine="360"/>
        <w:rPr>
          <w:rFonts w:ascii="Times New Roman" w:hAnsi="Times New Roman" w:eastAsia="等线" w:cs="Times New Roman"/>
          <w:sz w:val="21"/>
          <w:szCs w:val="21"/>
        </w:rPr>
      </w:pPr>
      <w:r>
        <w:rPr>
          <w:rFonts w:ascii="Times New Roman" w:hAnsi="Times New Roman" w:cs="Times New Roman"/>
          <w:sz w:val="18"/>
          <w:szCs w:val="18"/>
        </w:rPr>
        <w:t>假设资产组经营业务所涉及地区的财政和货币政策以及所执行的有关利率、汇率、赋税基准及税率、政策性征收费用等不发生重大变化。</w:t>
      </w:r>
    </w:p>
    <w:p>
      <w:pPr>
        <w:pStyle w:val="8"/>
        <w:spacing w:before="0" w:beforeAutospacing="0" w:after="0" w:afterAutospacing="0" w:line="276" w:lineRule="auto"/>
        <w:ind w:firstLine="360"/>
        <w:rPr>
          <w:rFonts w:ascii="Times New Roman" w:hAnsi="Times New Roman" w:eastAsia="等线" w:cs="Times New Roman"/>
          <w:sz w:val="21"/>
          <w:szCs w:val="21"/>
        </w:rPr>
      </w:pPr>
      <w:r>
        <w:rPr>
          <w:rFonts w:ascii="Times New Roman" w:hAnsi="Times New Roman" w:cs="Times New Roman"/>
          <w:sz w:val="18"/>
          <w:szCs w:val="18"/>
        </w:rPr>
        <w:t>假设无其他人力不可抗拒因素和不可预见因素对资产组的持续经营形成重大不利影响。</w:t>
      </w:r>
    </w:p>
    <w:p>
      <w:pPr>
        <w:pStyle w:val="8"/>
        <w:spacing w:before="0" w:beforeAutospacing="0" w:after="0" w:afterAutospacing="0" w:line="276" w:lineRule="auto"/>
        <w:ind w:firstLine="360"/>
        <w:rPr>
          <w:rFonts w:ascii="Times New Roman" w:hAnsi="Times New Roman" w:eastAsia="等线" w:cs="Times New Roman"/>
          <w:sz w:val="21"/>
          <w:szCs w:val="21"/>
        </w:rPr>
      </w:pPr>
      <w:r>
        <w:rPr>
          <w:rFonts w:ascii="Times New Roman" w:hAnsi="Times New Roman" w:cs="Times New Roman"/>
          <w:sz w:val="18"/>
          <w:szCs w:val="18"/>
        </w:rPr>
        <w:t>假设资产组在现有的管理方式和管理水平的基础上，其经营范围、经营模式与目前基本保持一致，且其业务的未来发展趋势与所在行业于评估基准日的发展趋势基本保持一致。</w:t>
      </w:r>
    </w:p>
    <w:p>
      <w:pPr>
        <w:pStyle w:val="8"/>
        <w:spacing w:before="0" w:beforeAutospacing="0" w:after="0" w:afterAutospacing="0" w:line="276" w:lineRule="auto"/>
        <w:ind w:firstLine="360"/>
        <w:rPr>
          <w:rFonts w:ascii="Times New Roman" w:hAnsi="Times New Roman" w:eastAsia="等线" w:cs="Times New Roman"/>
          <w:sz w:val="21"/>
          <w:szCs w:val="21"/>
        </w:rPr>
      </w:pPr>
      <w:r>
        <w:rPr>
          <w:rFonts w:ascii="Times New Roman" w:hAnsi="Times New Roman" w:cs="Times New Roman"/>
          <w:sz w:val="18"/>
          <w:szCs w:val="18"/>
        </w:rPr>
        <w:t>假设资产组的经营者勤勉尽责，且其管理层有能力担当其职务和履行其职责。</w:t>
      </w:r>
    </w:p>
    <w:p>
      <w:pPr>
        <w:pStyle w:val="8"/>
        <w:spacing w:before="0" w:beforeAutospacing="0" w:after="0" w:afterAutospacing="0" w:line="276" w:lineRule="auto"/>
        <w:ind w:firstLine="360"/>
        <w:rPr>
          <w:rFonts w:ascii="Times New Roman" w:hAnsi="Times New Roman" w:eastAsia="等线" w:cs="Times New Roman"/>
          <w:sz w:val="21"/>
          <w:szCs w:val="21"/>
        </w:rPr>
      </w:pPr>
      <w:r>
        <w:rPr>
          <w:rFonts w:ascii="Times New Roman" w:hAnsi="Times New Roman" w:cs="Times New Roman"/>
          <w:sz w:val="18"/>
          <w:szCs w:val="18"/>
        </w:rPr>
        <w:t>假设产权持有人完全遵守现行所有有关的法律法规。</w:t>
      </w:r>
    </w:p>
    <w:p>
      <w:pPr>
        <w:pStyle w:val="8"/>
        <w:spacing w:before="0" w:beforeAutospacing="0" w:after="0" w:afterAutospacing="0" w:line="276" w:lineRule="auto"/>
        <w:ind w:firstLine="360"/>
        <w:rPr>
          <w:rFonts w:ascii="Times New Roman" w:hAnsi="Times New Roman" w:eastAsia="等线" w:cs="Times New Roman"/>
          <w:sz w:val="21"/>
          <w:szCs w:val="21"/>
        </w:rPr>
      </w:pPr>
      <w:r>
        <w:rPr>
          <w:rFonts w:ascii="Times New Roman" w:hAnsi="Times New Roman" w:cs="Times New Roman"/>
          <w:sz w:val="18"/>
          <w:szCs w:val="18"/>
        </w:rPr>
        <w:t>假设资产组的收益在各年是均匀发生的，其年度收益实现时点为每年的年中时点。</w:t>
      </w:r>
    </w:p>
    <w:p>
      <w:pPr>
        <w:pStyle w:val="8"/>
        <w:spacing w:before="0" w:beforeAutospacing="0" w:after="0" w:afterAutospacing="0" w:line="276" w:lineRule="auto"/>
        <w:ind w:firstLine="360"/>
        <w:rPr>
          <w:rFonts w:ascii="Times New Roman" w:hAnsi="Times New Roman" w:eastAsia="等线" w:cs="Times New Roman"/>
          <w:sz w:val="21"/>
          <w:szCs w:val="21"/>
        </w:rPr>
      </w:pPr>
      <w:r>
        <w:rPr>
          <w:rFonts w:ascii="Times New Roman" w:hAnsi="Times New Roman" w:cs="Times New Roman"/>
          <w:sz w:val="18"/>
          <w:szCs w:val="18"/>
        </w:rPr>
        <w:t>假设资产组未来产销一致，即生产数量等于销售数量不考虑生产成本和销售成本的差异。</w:t>
      </w:r>
    </w:p>
    <w:p>
      <w:pPr>
        <w:pStyle w:val="8"/>
        <w:spacing w:before="0" w:beforeAutospacing="0" w:after="0" w:afterAutospacing="0" w:line="276" w:lineRule="auto"/>
        <w:ind w:firstLine="360"/>
        <w:rPr>
          <w:rFonts w:ascii="Times New Roman" w:hAnsi="Times New Roman" w:eastAsia="等线" w:cs="Times New Roman"/>
          <w:sz w:val="21"/>
          <w:szCs w:val="21"/>
        </w:rPr>
      </w:pPr>
      <w:r>
        <w:rPr>
          <w:rFonts w:ascii="Times New Roman" w:hAnsi="Times New Roman" w:cs="Times New Roman"/>
          <w:sz w:val="18"/>
          <w:szCs w:val="18"/>
        </w:rPr>
        <w:t>假设资产组的营运收支及评估对象所包含的资产的购置价格与当地评估基准日的货币购买力相适应。</w:t>
      </w:r>
    </w:p>
    <w:p>
      <w:pPr>
        <w:pStyle w:val="8"/>
        <w:spacing w:before="0" w:beforeAutospacing="0" w:after="0" w:afterAutospacing="0" w:line="276" w:lineRule="auto"/>
        <w:ind w:firstLine="360"/>
        <w:rPr>
          <w:rFonts w:ascii="Times New Roman" w:hAnsi="Times New Roman" w:eastAsia="等线" w:cs="Times New Roman"/>
          <w:sz w:val="21"/>
          <w:szCs w:val="21"/>
        </w:rPr>
      </w:pPr>
      <w:r>
        <w:rPr>
          <w:rFonts w:ascii="Times New Roman" w:hAnsi="Times New Roman" w:eastAsia="等线" w:cs="Times New Roman"/>
          <w:sz w:val="18"/>
          <w:szCs w:val="18"/>
        </w:rPr>
        <w:t>b</w:t>
      </w:r>
      <w:r>
        <w:rPr>
          <w:rFonts w:ascii="Times New Roman" w:hAnsi="Times New Roman" w:cs="Times New Roman"/>
          <w:sz w:val="18"/>
          <w:szCs w:val="18"/>
        </w:rPr>
        <w:t>、关键参数：</w:t>
      </w:r>
    </w:p>
    <w:tbl>
      <w:tblPr>
        <w:tblStyle w:val="9"/>
        <w:tblW w:w="0" w:type="auto"/>
        <w:jc w:val="center"/>
        <w:tblLayout w:type="autofit"/>
        <w:tblCellMar>
          <w:top w:w="0" w:type="dxa"/>
          <w:left w:w="0" w:type="dxa"/>
          <w:bottom w:w="0" w:type="dxa"/>
          <w:right w:w="0" w:type="dxa"/>
        </w:tblCellMar>
      </w:tblPr>
      <w:tblGrid>
        <w:gridCol w:w="1523"/>
        <w:gridCol w:w="1507"/>
        <w:gridCol w:w="1151"/>
        <w:gridCol w:w="1079"/>
        <w:gridCol w:w="1851"/>
        <w:gridCol w:w="1949"/>
      </w:tblGrid>
      <w:tr>
        <w:tblPrEx>
          <w:tblCellMar>
            <w:top w:w="0" w:type="dxa"/>
            <w:left w:w="0" w:type="dxa"/>
            <w:bottom w:w="0" w:type="dxa"/>
            <w:right w:w="0" w:type="dxa"/>
          </w:tblCellMar>
        </w:tblPrEx>
        <w:trPr>
          <w:trHeight w:val="373" w:hRule="atLeast"/>
          <w:jc w:val="center"/>
        </w:trPr>
        <w:tc>
          <w:tcPr>
            <w:tcW w:w="1523" w:type="dxa"/>
            <w:tcBorders>
              <w:top w:val="single" w:color="auto" w:sz="8" w:space="0"/>
              <w:left w:val="single" w:color="auto" w:sz="8" w:space="0"/>
              <w:bottom w:val="single" w:color="auto" w:sz="8" w:space="0"/>
              <w:right w:val="single" w:color="auto" w:sz="8" w:space="0"/>
            </w:tcBorders>
            <w:vAlign w:val="center"/>
          </w:tcPr>
          <w:p>
            <w:pPr>
              <w:pStyle w:val="8"/>
              <w:spacing w:before="0" w:beforeAutospacing="0" w:after="0" w:afterAutospacing="0"/>
              <w:jc w:val="center"/>
              <w:rPr>
                <w:rFonts w:ascii="Times New Roman" w:hAnsi="Times New Roman" w:cs="Times New Roman"/>
              </w:rPr>
            </w:pPr>
            <w:r>
              <w:rPr>
                <w:rFonts w:ascii="Times New Roman" w:hAnsi="Times New Roman" w:cs="Times New Roman"/>
                <w:sz w:val="18"/>
                <w:szCs w:val="18"/>
              </w:rPr>
              <w:t>项目</w:t>
            </w:r>
          </w:p>
        </w:tc>
        <w:tc>
          <w:tcPr>
            <w:tcW w:w="1507" w:type="dxa"/>
            <w:tcBorders>
              <w:top w:val="single" w:color="auto" w:sz="8" w:space="0"/>
              <w:left w:val="nil"/>
              <w:bottom w:val="single" w:color="auto" w:sz="8" w:space="0"/>
              <w:right w:val="single" w:color="auto" w:sz="8" w:space="0"/>
            </w:tcBorders>
            <w:vAlign w:val="center"/>
          </w:tcPr>
          <w:p>
            <w:pPr>
              <w:pStyle w:val="8"/>
              <w:spacing w:before="0" w:beforeAutospacing="0" w:after="0" w:afterAutospacing="0"/>
              <w:jc w:val="center"/>
              <w:rPr>
                <w:rFonts w:ascii="Times New Roman" w:hAnsi="Times New Roman" w:cs="Times New Roman"/>
              </w:rPr>
            </w:pPr>
            <w:r>
              <w:rPr>
                <w:rFonts w:ascii="Times New Roman" w:hAnsi="Times New Roman" w:cs="Times New Roman"/>
                <w:sz w:val="18"/>
                <w:szCs w:val="18"/>
              </w:rPr>
              <w:t>预测期</w:t>
            </w:r>
          </w:p>
        </w:tc>
        <w:tc>
          <w:tcPr>
            <w:tcW w:w="1151" w:type="dxa"/>
            <w:tcBorders>
              <w:top w:val="single" w:color="auto" w:sz="8" w:space="0"/>
              <w:left w:val="nil"/>
              <w:bottom w:val="single" w:color="auto" w:sz="8" w:space="0"/>
              <w:right w:val="single" w:color="auto" w:sz="8" w:space="0"/>
            </w:tcBorders>
            <w:vAlign w:val="center"/>
          </w:tcPr>
          <w:p>
            <w:pPr>
              <w:pStyle w:val="8"/>
              <w:spacing w:before="0" w:beforeAutospacing="0" w:after="0" w:afterAutospacing="0"/>
              <w:jc w:val="center"/>
              <w:rPr>
                <w:rFonts w:ascii="Times New Roman" w:hAnsi="Times New Roman" w:cs="Times New Roman"/>
              </w:rPr>
            </w:pPr>
            <w:r>
              <w:rPr>
                <w:rFonts w:ascii="Times New Roman" w:hAnsi="Times New Roman" w:cs="Times New Roman"/>
                <w:sz w:val="18"/>
                <w:szCs w:val="18"/>
              </w:rPr>
              <w:t>预测期增长率</w:t>
            </w:r>
          </w:p>
        </w:tc>
        <w:tc>
          <w:tcPr>
            <w:tcW w:w="1079" w:type="dxa"/>
            <w:tcBorders>
              <w:top w:val="single" w:color="auto" w:sz="8" w:space="0"/>
              <w:left w:val="nil"/>
              <w:bottom w:val="single" w:color="auto" w:sz="8" w:space="0"/>
              <w:right w:val="single" w:color="auto" w:sz="8" w:space="0"/>
            </w:tcBorders>
            <w:vAlign w:val="center"/>
          </w:tcPr>
          <w:p>
            <w:pPr>
              <w:pStyle w:val="8"/>
              <w:spacing w:before="0" w:beforeAutospacing="0" w:after="0" w:afterAutospacing="0"/>
              <w:jc w:val="center"/>
              <w:rPr>
                <w:rFonts w:ascii="Times New Roman" w:hAnsi="Times New Roman" w:cs="Times New Roman"/>
              </w:rPr>
            </w:pPr>
            <w:r>
              <w:rPr>
                <w:rFonts w:ascii="Times New Roman" w:hAnsi="Times New Roman" w:cs="Times New Roman"/>
                <w:sz w:val="18"/>
                <w:szCs w:val="18"/>
              </w:rPr>
              <w:t>稳定期增长率</w:t>
            </w:r>
          </w:p>
        </w:tc>
        <w:tc>
          <w:tcPr>
            <w:tcW w:w="1851" w:type="dxa"/>
            <w:tcBorders>
              <w:top w:val="single" w:color="auto" w:sz="8" w:space="0"/>
              <w:left w:val="nil"/>
              <w:bottom w:val="single" w:color="auto" w:sz="8" w:space="0"/>
              <w:right w:val="single" w:color="auto" w:sz="8" w:space="0"/>
            </w:tcBorders>
            <w:noWrap/>
            <w:vAlign w:val="center"/>
          </w:tcPr>
          <w:p>
            <w:pPr>
              <w:pStyle w:val="8"/>
              <w:spacing w:before="0" w:beforeAutospacing="0" w:after="0" w:afterAutospacing="0"/>
              <w:jc w:val="center"/>
              <w:rPr>
                <w:rFonts w:ascii="Times New Roman" w:hAnsi="Times New Roman" w:cs="Times New Roman"/>
              </w:rPr>
            </w:pPr>
            <w:r>
              <w:rPr>
                <w:rFonts w:ascii="Times New Roman" w:hAnsi="Times New Roman" w:cs="Times New Roman"/>
                <w:sz w:val="18"/>
                <w:szCs w:val="18"/>
              </w:rPr>
              <w:t>利润率</w:t>
            </w:r>
          </w:p>
        </w:tc>
        <w:tc>
          <w:tcPr>
            <w:tcW w:w="1949" w:type="dxa"/>
            <w:tcBorders>
              <w:top w:val="single" w:color="auto" w:sz="8" w:space="0"/>
              <w:left w:val="nil"/>
              <w:bottom w:val="single" w:color="auto" w:sz="8" w:space="0"/>
              <w:right w:val="single" w:color="auto" w:sz="8" w:space="0"/>
            </w:tcBorders>
            <w:noWrap/>
            <w:vAlign w:val="center"/>
          </w:tcPr>
          <w:p>
            <w:pPr>
              <w:pStyle w:val="8"/>
              <w:spacing w:before="0" w:beforeAutospacing="0" w:after="0" w:afterAutospacing="0"/>
              <w:jc w:val="center"/>
              <w:rPr>
                <w:rFonts w:ascii="Times New Roman" w:hAnsi="Times New Roman" w:cs="Times New Roman"/>
              </w:rPr>
            </w:pPr>
            <w:r>
              <w:rPr>
                <w:rFonts w:ascii="Times New Roman" w:hAnsi="Times New Roman" w:cs="Times New Roman"/>
                <w:sz w:val="18"/>
                <w:szCs w:val="18"/>
              </w:rPr>
              <w:t>税前折现率（加权平均资本成本WACC）</w:t>
            </w:r>
          </w:p>
        </w:tc>
      </w:tr>
      <w:tr>
        <w:tblPrEx>
          <w:tblCellMar>
            <w:top w:w="0" w:type="dxa"/>
            <w:left w:w="0" w:type="dxa"/>
            <w:bottom w:w="0" w:type="dxa"/>
            <w:right w:w="0" w:type="dxa"/>
          </w:tblCellMar>
        </w:tblPrEx>
        <w:trPr>
          <w:trHeight w:val="373" w:hRule="atLeast"/>
          <w:jc w:val="center"/>
        </w:trPr>
        <w:tc>
          <w:tcPr>
            <w:tcW w:w="1523" w:type="dxa"/>
            <w:tcBorders>
              <w:top w:val="nil"/>
              <w:left w:val="single" w:color="auto" w:sz="8" w:space="0"/>
              <w:bottom w:val="single" w:color="auto" w:sz="8" w:space="0"/>
              <w:right w:val="single" w:color="auto" w:sz="8" w:space="0"/>
            </w:tcBorders>
            <w:vAlign w:val="center"/>
          </w:tcPr>
          <w:p>
            <w:pPr>
              <w:pStyle w:val="8"/>
              <w:spacing w:before="0" w:beforeAutospacing="0" w:after="0" w:afterAutospacing="0"/>
              <w:jc w:val="center"/>
              <w:rPr>
                <w:rFonts w:ascii="Times New Roman" w:hAnsi="Times New Roman" w:cs="Times New Roman"/>
              </w:rPr>
            </w:pPr>
            <w:r>
              <w:rPr>
                <w:rFonts w:ascii="Times New Roman" w:hAnsi="Times New Roman" w:cs="Times New Roman"/>
                <w:sz w:val="18"/>
                <w:szCs w:val="18"/>
              </w:rPr>
              <w:t>潍坊振祥食品有限公司</w:t>
            </w:r>
          </w:p>
        </w:tc>
        <w:tc>
          <w:tcPr>
            <w:tcW w:w="1507" w:type="dxa"/>
            <w:tcBorders>
              <w:top w:val="nil"/>
              <w:left w:val="nil"/>
              <w:bottom w:val="single" w:color="auto" w:sz="8" w:space="0"/>
              <w:right w:val="single" w:color="auto" w:sz="8" w:space="0"/>
            </w:tcBorders>
            <w:vAlign w:val="center"/>
          </w:tcPr>
          <w:p>
            <w:pPr>
              <w:pStyle w:val="8"/>
              <w:spacing w:before="0" w:beforeAutospacing="0" w:after="0" w:afterAutospacing="0"/>
              <w:jc w:val="center"/>
              <w:rPr>
                <w:rFonts w:ascii="Times New Roman" w:hAnsi="Times New Roman" w:cs="Times New Roman"/>
              </w:rPr>
            </w:pPr>
            <w:r>
              <w:rPr>
                <w:rFonts w:ascii="Times New Roman" w:hAnsi="Times New Roman" w:cs="Times New Roman"/>
                <w:sz w:val="18"/>
                <w:szCs w:val="18"/>
              </w:rPr>
              <w:t>2023-2027年</w:t>
            </w:r>
          </w:p>
          <w:p>
            <w:pPr>
              <w:pStyle w:val="8"/>
              <w:spacing w:before="0" w:beforeAutospacing="0" w:after="0" w:afterAutospacing="0"/>
              <w:jc w:val="center"/>
              <w:rPr>
                <w:rFonts w:ascii="Times New Roman" w:hAnsi="Times New Roman" w:cs="Times New Roman"/>
              </w:rPr>
            </w:pPr>
            <w:r>
              <w:rPr>
                <w:rFonts w:ascii="Times New Roman" w:hAnsi="Times New Roman" w:cs="Times New Roman"/>
                <w:sz w:val="18"/>
                <w:szCs w:val="18"/>
              </w:rPr>
              <w:t>（后续为稳定期）</w:t>
            </w:r>
          </w:p>
        </w:tc>
        <w:tc>
          <w:tcPr>
            <w:tcW w:w="1151" w:type="dxa"/>
            <w:tcBorders>
              <w:top w:val="nil"/>
              <w:left w:val="nil"/>
              <w:bottom w:val="single" w:color="auto" w:sz="8" w:space="0"/>
              <w:right w:val="single" w:color="auto" w:sz="8" w:space="0"/>
            </w:tcBorders>
            <w:vAlign w:val="center"/>
          </w:tcPr>
          <w:p>
            <w:pPr>
              <w:pStyle w:val="8"/>
              <w:spacing w:before="0" w:beforeAutospacing="0" w:after="0" w:afterAutospacing="0"/>
              <w:jc w:val="center"/>
              <w:rPr>
                <w:rFonts w:ascii="Times New Roman" w:hAnsi="Times New Roman" w:cs="Times New Roman"/>
              </w:rPr>
            </w:pPr>
            <w:r>
              <w:rPr>
                <w:rFonts w:ascii="Times New Roman" w:hAnsi="Times New Roman" w:cs="Times New Roman"/>
                <w:sz w:val="18"/>
                <w:szCs w:val="18"/>
              </w:rPr>
              <w:t>注1</w:t>
            </w:r>
          </w:p>
        </w:tc>
        <w:tc>
          <w:tcPr>
            <w:tcW w:w="1079" w:type="dxa"/>
            <w:tcBorders>
              <w:top w:val="nil"/>
              <w:left w:val="nil"/>
              <w:bottom w:val="single" w:color="auto" w:sz="8" w:space="0"/>
              <w:right w:val="single" w:color="auto" w:sz="8" w:space="0"/>
            </w:tcBorders>
            <w:vAlign w:val="center"/>
          </w:tcPr>
          <w:p>
            <w:pPr>
              <w:pStyle w:val="8"/>
              <w:spacing w:before="0" w:beforeAutospacing="0" w:after="0" w:afterAutospacing="0"/>
              <w:jc w:val="center"/>
              <w:rPr>
                <w:rFonts w:ascii="Times New Roman" w:hAnsi="Times New Roman" w:cs="Times New Roman"/>
              </w:rPr>
            </w:pPr>
            <w:r>
              <w:rPr>
                <w:rFonts w:ascii="Times New Roman" w:hAnsi="Times New Roman" w:cs="Times New Roman"/>
                <w:sz w:val="18"/>
                <w:szCs w:val="18"/>
              </w:rPr>
              <w:t>持平</w:t>
            </w:r>
          </w:p>
        </w:tc>
        <w:tc>
          <w:tcPr>
            <w:tcW w:w="1851" w:type="dxa"/>
            <w:tcBorders>
              <w:top w:val="nil"/>
              <w:left w:val="nil"/>
              <w:bottom w:val="single" w:color="auto" w:sz="8" w:space="0"/>
              <w:right w:val="single" w:color="auto" w:sz="8" w:space="0"/>
            </w:tcBorders>
            <w:noWrap/>
            <w:vAlign w:val="center"/>
          </w:tcPr>
          <w:p>
            <w:pPr>
              <w:pStyle w:val="8"/>
              <w:spacing w:before="0" w:beforeAutospacing="0" w:after="0" w:afterAutospacing="0"/>
              <w:jc w:val="center"/>
              <w:rPr>
                <w:rFonts w:ascii="Times New Roman" w:hAnsi="Times New Roman" w:cs="Times New Roman"/>
              </w:rPr>
            </w:pPr>
            <w:r>
              <w:rPr>
                <w:rFonts w:ascii="Times New Roman" w:hAnsi="Times New Roman" w:cs="Times New Roman"/>
                <w:sz w:val="18"/>
                <w:szCs w:val="18"/>
              </w:rPr>
              <w:t>根据预测的收入、成本、税费等计算</w:t>
            </w:r>
          </w:p>
        </w:tc>
        <w:tc>
          <w:tcPr>
            <w:tcW w:w="1949" w:type="dxa"/>
            <w:tcBorders>
              <w:top w:val="nil"/>
              <w:left w:val="nil"/>
              <w:bottom w:val="single" w:color="auto" w:sz="8" w:space="0"/>
              <w:right w:val="single" w:color="auto" w:sz="8" w:space="0"/>
            </w:tcBorders>
            <w:noWrap/>
            <w:vAlign w:val="center"/>
          </w:tcPr>
          <w:p>
            <w:pPr>
              <w:pStyle w:val="8"/>
              <w:spacing w:before="0" w:beforeAutospacing="0" w:after="0" w:afterAutospacing="0"/>
              <w:jc w:val="center"/>
              <w:rPr>
                <w:rFonts w:ascii="Times New Roman" w:hAnsi="Times New Roman" w:cs="Times New Roman"/>
              </w:rPr>
            </w:pPr>
            <w:r>
              <w:rPr>
                <w:rFonts w:ascii="Times New Roman" w:hAnsi="Times New Roman" w:cs="Times New Roman"/>
                <w:sz w:val="18"/>
                <w:szCs w:val="18"/>
              </w:rPr>
              <w:t>14.35</w:t>
            </w:r>
          </w:p>
        </w:tc>
      </w:tr>
    </w:tbl>
    <w:p>
      <w:pPr>
        <w:pStyle w:val="8"/>
        <w:spacing w:before="0" w:beforeAutospacing="0" w:after="0" w:afterAutospacing="0" w:line="276" w:lineRule="auto"/>
        <w:ind w:firstLine="360"/>
        <w:rPr>
          <w:rFonts w:ascii="Times New Roman" w:hAnsi="Times New Roman" w:eastAsia="等线" w:cs="Times New Roman"/>
          <w:sz w:val="21"/>
          <w:szCs w:val="21"/>
        </w:rPr>
      </w:pPr>
      <w:r>
        <w:rPr>
          <w:rFonts w:ascii="Times New Roman" w:hAnsi="Times New Roman" w:cs="Times New Roman"/>
          <w:sz w:val="18"/>
          <w:szCs w:val="18"/>
        </w:rPr>
        <w:t>注</w:t>
      </w:r>
      <w:r>
        <w:rPr>
          <w:rFonts w:ascii="Times New Roman" w:hAnsi="Times New Roman" w:eastAsia="等线" w:cs="Times New Roman"/>
          <w:sz w:val="18"/>
          <w:szCs w:val="18"/>
        </w:rPr>
        <w:t>1</w:t>
      </w:r>
      <w:r>
        <w:rPr>
          <w:rFonts w:ascii="Times New Roman" w:hAnsi="Times New Roman" w:cs="Times New Roman"/>
          <w:sz w:val="18"/>
          <w:szCs w:val="18"/>
        </w:rPr>
        <w:t>：收入预测基本遵循采纳了潍坊振祥</w:t>
      </w:r>
      <w:r>
        <w:rPr>
          <w:rFonts w:ascii="Times New Roman" w:hAnsi="Times New Roman" w:eastAsia="等线" w:cs="Times New Roman"/>
          <w:sz w:val="18"/>
          <w:szCs w:val="18"/>
        </w:rPr>
        <w:t>2023-2027</w:t>
      </w:r>
      <w:r>
        <w:rPr>
          <w:rFonts w:ascii="Times New Roman" w:hAnsi="Times New Roman" w:cs="Times New Roman"/>
          <w:sz w:val="18"/>
          <w:szCs w:val="18"/>
        </w:rPr>
        <w:t>预算的各项数据，结合潍坊振祥的实际产能、市场情况和经营规划，确定预测年度销售数量的增长率，</w:t>
      </w:r>
      <w:r>
        <w:rPr>
          <w:rFonts w:ascii="Times New Roman" w:hAnsi="Times New Roman" w:eastAsia="等线" w:cs="Times New Roman"/>
          <w:sz w:val="18"/>
          <w:szCs w:val="18"/>
        </w:rPr>
        <w:t>2023</w:t>
      </w:r>
      <w:r>
        <w:rPr>
          <w:rFonts w:ascii="Times New Roman" w:hAnsi="Times New Roman" w:cs="Times New Roman"/>
          <w:sz w:val="18"/>
          <w:szCs w:val="18"/>
        </w:rPr>
        <w:t>年</w:t>
      </w:r>
      <w:r>
        <w:rPr>
          <w:rFonts w:ascii="Times New Roman" w:hAnsi="Times New Roman" w:eastAsia="等线" w:cs="Times New Roman"/>
          <w:sz w:val="18"/>
          <w:szCs w:val="18"/>
        </w:rPr>
        <w:t>-2027</w:t>
      </w:r>
      <w:r>
        <w:rPr>
          <w:rFonts w:ascii="Times New Roman" w:hAnsi="Times New Roman" w:cs="Times New Roman"/>
          <w:sz w:val="18"/>
          <w:szCs w:val="18"/>
        </w:rPr>
        <w:t>年增长率按下表确定：</w:t>
      </w:r>
    </w:p>
    <w:tbl>
      <w:tblPr>
        <w:tblStyle w:val="9"/>
        <w:tblW w:w="4785" w:type="pct"/>
        <w:jc w:val="center"/>
        <w:tblLayout w:type="autofit"/>
        <w:tblCellMar>
          <w:top w:w="0" w:type="dxa"/>
          <w:left w:w="0" w:type="dxa"/>
          <w:bottom w:w="0" w:type="dxa"/>
          <w:right w:w="0" w:type="dxa"/>
        </w:tblCellMar>
      </w:tblPr>
      <w:tblGrid>
        <w:gridCol w:w="1362"/>
        <w:gridCol w:w="1643"/>
        <w:gridCol w:w="1643"/>
        <w:gridCol w:w="1641"/>
        <w:gridCol w:w="1641"/>
        <w:gridCol w:w="1499"/>
      </w:tblGrid>
      <w:tr>
        <w:tblPrEx>
          <w:tblCellMar>
            <w:top w:w="0" w:type="dxa"/>
            <w:left w:w="0" w:type="dxa"/>
            <w:bottom w:w="0" w:type="dxa"/>
            <w:right w:w="0" w:type="dxa"/>
          </w:tblCellMar>
        </w:tblPrEx>
        <w:trPr>
          <w:trHeight w:val="340" w:hRule="atLeast"/>
          <w:jc w:val="center"/>
        </w:trPr>
        <w:tc>
          <w:tcPr>
            <w:tcW w:w="723" w:type="pct"/>
            <w:tcBorders>
              <w:top w:val="single" w:color="auto" w:sz="8" w:space="0"/>
              <w:left w:val="single" w:color="auto" w:sz="8" w:space="0"/>
              <w:bottom w:val="single" w:color="auto" w:sz="8" w:space="0"/>
              <w:right w:val="single" w:color="auto" w:sz="8" w:space="0"/>
            </w:tcBorders>
            <w:noWrap/>
            <w:tcMar>
              <w:top w:w="0" w:type="dxa"/>
              <w:left w:w="108" w:type="dxa"/>
              <w:bottom w:w="0" w:type="dxa"/>
              <w:right w:w="108" w:type="dxa"/>
            </w:tcMar>
            <w:vAlign w:val="center"/>
          </w:tcPr>
          <w:p>
            <w:pPr>
              <w:pStyle w:val="8"/>
              <w:spacing w:before="0" w:beforeAutospacing="0" w:after="0" w:afterAutospacing="0"/>
              <w:jc w:val="center"/>
              <w:rPr>
                <w:rFonts w:ascii="Times New Roman" w:hAnsi="Times New Roman" w:cs="Times New Roman"/>
              </w:rPr>
            </w:pPr>
            <w:r>
              <w:rPr>
                <w:rFonts w:ascii="Times New Roman" w:hAnsi="Times New Roman" w:cs="Times New Roman"/>
                <w:sz w:val="18"/>
                <w:szCs w:val="18"/>
              </w:rPr>
              <w:t>年度</w:t>
            </w:r>
          </w:p>
        </w:tc>
        <w:tc>
          <w:tcPr>
            <w:tcW w:w="871" w:type="pct"/>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pPr>
              <w:pStyle w:val="8"/>
              <w:spacing w:before="0" w:beforeAutospacing="0" w:after="0" w:afterAutospacing="0"/>
              <w:jc w:val="center"/>
              <w:rPr>
                <w:rFonts w:ascii="Times New Roman" w:hAnsi="Times New Roman" w:cs="Times New Roman"/>
              </w:rPr>
            </w:pPr>
            <w:r>
              <w:rPr>
                <w:rFonts w:ascii="Times New Roman" w:hAnsi="Times New Roman" w:cs="Times New Roman"/>
                <w:sz w:val="18"/>
                <w:szCs w:val="18"/>
              </w:rPr>
              <w:t>2023年</w:t>
            </w:r>
          </w:p>
        </w:tc>
        <w:tc>
          <w:tcPr>
            <w:tcW w:w="871" w:type="pct"/>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pPr>
              <w:pStyle w:val="8"/>
              <w:spacing w:before="0" w:beforeAutospacing="0" w:after="0" w:afterAutospacing="0"/>
              <w:jc w:val="center"/>
              <w:rPr>
                <w:rFonts w:ascii="Times New Roman" w:hAnsi="Times New Roman" w:cs="Times New Roman"/>
              </w:rPr>
            </w:pPr>
            <w:r>
              <w:rPr>
                <w:rFonts w:ascii="Times New Roman" w:hAnsi="Times New Roman" w:cs="Times New Roman"/>
                <w:sz w:val="18"/>
                <w:szCs w:val="18"/>
              </w:rPr>
              <w:t>2024年</w:t>
            </w:r>
          </w:p>
        </w:tc>
        <w:tc>
          <w:tcPr>
            <w:tcW w:w="870" w:type="pct"/>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pPr>
              <w:pStyle w:val="8"/>
              <w:spacing w:before="0" w:beforeAutospacing="0" w:after="0" w:afterAutospacing="0"/>
              <w:jc w:val="center"/>
              <w:rPr>
                <w:rFonts w:ascii="Times New Roman" w:hAnsi="Times New Roman" w:cs="Times New Roman"/>
              </w:rPr>
            </w:pPr>
            <w:r>
              <w:rPr>
                <w:rFonts w:ascii="Times New Roman" w:hAnsi="Times New Roman" w:cs="Times New Roman"/>
                <w:sz w:val="18"/>
                <w:szCs w:val="18"/>
              </w:rPr>
              <w:t>2025年</w:t>
            </w:r>
          </w:p>
        </w:tc>
        <w:tc>
          <w:tcPr>
            <w:tcW w:w="870" w:type="pct"/>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pPr>
              <w:pStyle w:val="8"/>
              <w:spacing w:before="0" w:beforeAutospacing="0" w:after="0" w:afterAutospacing="0"/>
              <w:jc w:val="center"/>
              <w:rPr>
                <w:rFonts w:ascii="Times New Roman" w:hAnsi="Times New Roman" w:cs="Times New Roman"/>
              </w:rPr>
            </w:pPr>
            <w:r>
              <w:rPr>
                <w:rFonts w:ascii="Times New Roman" w:hAnsi="Times New Roman" w:cs="Times New Roman"/>
                <w:sz w:val="18"/>
                <w:szCs w:val="18"/>
              </w:rPr>
              <w:t>2026年</w:t>
            </w:r>
          </w:p>
        </w:tc>
        <w:tc>
          <w:tcPr>
            <w:tcW w:w="795" w:type="pc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pStyle w:val="8"/>
              <w:spacing w:before="0" w:beforeAutospacing="0" w:after="0" w:afterAutospacing="0"/>
              <w:jc w:val="center"/>
              <w:rPr>
                <w:rFonts w:ascii="Times New Roman" w:hAnsi="Times New Roman" w:cs="Times New Roman"/>
              </w:rPr>
            </w:pPr>
            <w:r>
              <w:rPr>
                <w:rFonts w:ascii="Times New Roman" w:hAnsi="Times New Roman" w:cs="Times New Roman"/>
                <w:sz w:val="18"/>
                <w:szCs w:val="18"/>
              </w:rPr>
              <w:t>2027年</w:t>
            </w:r>
          </w:p>
        </w:tc>
      </w:tr>
      <w:tr>
        <w:tblPrEx>
          <w:tblCellMar>
            <w:top w:w="0" w:type="dxa"/>
            <w:left w:w="0" w:type="dxa"/>
            <w:bottom w:w="0" w:type="dxa"/>
            <w:right w:w="0" w:type="dxa"/>
          </w:tblCellMar>
        </w:tblPrEx>
        <w:trPr>
          <w:trHeight w:val="340" w:hRule="atLeast"/>
          <w:jc w:val="center"/>
        </w:trPr>
        <w:tc>
          <w:tcPr>
            <w:tcW w:w="723" w:type="pct"/>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pStyle w:val="8"/>
              <w:spacing w:before="0" w:beforeAutospacing="0" w:after="0" w:afterAutospacing="0"/>
              <w:jc w:val="both"/>
              <w:rPr>
                <w:rFonts w:ascii="Times New Roman" w:hAnsi="Times New Roman" w:cs="Times New Roman"/>
              </w:rPr>
            </w:pPr>
            <w:r>
              <w:rPr>
                <w:rFonts w:ascii="Times New Roman" w:hAnsi="Times New Roman" w:cs="Times New Roman"/>
                <w:sz w:val="18"/>
                <w:szCs w:val="18"/>
              </w:rPr>
              <w:t>猪肉产品销售</w:t>
            </w:r>
          </w:p>
        </w:tc>
        <w:tc>
          <w:tcPr>
            <w:tcW w:w="871" w:type="pct"/>
            <w:tcBorders>
              <w:top w:val="nil"/>
              <w:left w:val="nil"/>
              <w:bottom w:val="single" w:color="auto" w:sz="8" w:space="0"/>
              <w:right w:val="single" w:color="auto" w:sz="8" w:space="0"/>
            </w:tcBorders>
            <w:noWrap/>
            <w:tcMar>
              <w:top w:w="0" w:type="dxa"/>
              <w:left w:w="108" w:type="dxa"/>
              <w:bottom w:w="0" w:type="dxa"/>
              <w:right w:w="108" w:type="dxa"/>
            </w:tcMar>
            <w:vAlign w:val="center"/>
          </w:tcPr>
          <w:p>
            <w:pPr>
              <w:pStyle w:val="8"/>
              <w:spacing w:before="0" w:beforeAutospacing="0" w:after="0" w:afterAutospacing="0"/>
              <w:jc w:val="right"/>
              <w:rPr>
                <w:rFonts w:ascii="Times New Roman" w:hAnsi="Times New Roman" w:cs="Times New Roman"/>
              </w:rPr>
            </w:pPr>
            <w:r>
              <w:rPr>
                <w:rFonts w:ascii="Times New Roman" w:hAnsi="Times New Roman" w:cs="Times New Roman"/>
                <w:sz w:val="18"/>
                <w:szCs w:val="18"/>
              </w:rPr>
              <w:t>8.70%</w:t>
            </w:r>
          </w:p>
        </w:tc>
        <w:tc>
          <w:tcPr>
            <w:tcW w:w="871" w:type="pct"/>
            <w:tcBorders>
              <w:top w:val="nil"/>
              <w:left w:val="nil"/>
              <w:bottom w:val="single" w:color="auto" w:sz="8" w:space="0"/>
              <w:right w:val="single" w:color="auto" w:sz="8" w:space="0"/>
            </w:tcBorders>
            <w:noWrap/>
            <w:tcMar>
              <w:top w:w="0" w:type="dxa"/>
              <w:left w:w="108" w:type="dxa"/>
              <w:bottom w:w="0" w:type="dxa"/>
              <w:right w:w="108" w:type="dxa"/>
            </w:tcMar>
            <w:vAlign w:val="center"/>
          </w:tcPr>
          <w:p>
            <w:pPr>
              <w:pStyle w:val="8"/>
              <w:spacing w:before="0" w:beforeAutospacing="0" w:after="0" w:afterAutospacing="0"/>
              <w:jc w:val="right"/>
              <w:rPr>
                <w:rFonts w:ascii="Times New Roman" w:hAnsi="Times New Roman" w:cs="Times New Roman"/>
              </w:rPr>
            </w:pPr>
            <w:r>
              <w:rPr>
                <w:rFonts w:ascii="Times New Roman" w:hAnsi="Times New Roman" w:cs="Times New Roman"/>
                <w:sz w:val="18"/>
                <w:szCs w:val="18"/>
              </w:rPr>
              <w:t>2.00%</w:t>
            </w:r>
          </w:p>
        </w:tc>
        <w:tc>
          <w:tcPr>
            <w:tcW w:w="870" w:type="pct"/>
            <w:tcBorders>
              <w:top w:val="nil"/>
              <w:left w:val="nil"/>
              <w:bottom w:val="single" w:color="auto" w:sz="8" w:space="0"/>
              <w:right w:val="single" w:color="auto" w:sz="8" w:space="0"/>
            </w:tcBorders>
            <w:noWrap/>
            <w:tcMar>
              <w:top w:w="0" w:type="dxa"/>
              <w:left w:w="108" w:type="dxa"/>
              <w:bottom w:w="0" w:type="dxa"/>
              <w:right w:w="108" w:type="dxa"/>
            </w:tcMar>
            <w:vAlign w:val="center"/>
          </w:tcPr>
          <w:p>
            <w:pPr>
              <w:pStyle w:val="8"/>
              <w:spacing w:before="0" w:beforeAutospacing="0" w:after="0" w:afterAutospacing="0"/>
              <w:jc w:val="right"/>
              <w:rPr>
                <w:rFonts w:ascii="Times New Roman" w:hAnsi="Times New Roman" w:cs="Times New Roman"/>
              </w:rPr>
            </w:pPr>
            <w:r>
              <w:rPr>
                <w:rFonts w:ascii="Times New Roman" w:hAnsi="Times New Roman" w:cs="Times New Roman"/>
                <w:sz w:val="18"/>
                <w:szCs w:val="18"/>
              </w:rPr>
              <w:t>2.00%</w:t>
            </w:r>
          </w:p>
        </w:tc>
        <w:tc>
          <w:tcPr>
            <w:tcW w:w="870" w:type="pct"/>
            <w:tcBorders>
              <w:top w:val="nil"/>
              <w:left w:val="nil"/>
              <w:bottom w:val="single" w:color="auto" w:sz="8" w:space="0"/>
              <w:right w:val="single" w:color="auto" w:sz="8" w:space="0"/>
            </w:tcBorders>
            <w:noWrap/>
            <w:tcMar>
              <w:top w:w="0" w:type="dxa"/>
              <w:left w:w="108" w:type="dxa"/>
              <w:bottom w:w="0" w:type="dxa"/>
              <w:right w:w="108" w:type="dxa"/>
            </w:tcMar>
            <w:vAlign w:val="center"/>
          </w:tcPr>
          <w:p>
            <w:pPr>
              <w:pStyle w:val="8"/>
              <w:spacing w:before="0" w:beforeAutospacing="0" w:after="0" w:afterAutospacing="0"/>
              <w:jc w:val="right"/>
              <w:rPr>
                <w:rFonts w:ascii="Times New Roman" w:hAnsi="Times New Roman" w:cs="Times New Roman"/>
              </w:rPr>
            </w:pPr>
            <w:r>
              <w:rPr>
                <w:rFonts w:ascii="Times New Roman" w:hAnsi="Times New Roman" w:cs="Times New Roman"/>
                <w:sz w:val="18"/>
                <w:szCs w:val="18"/>
              </w:rPr>
              <w:t>2.00%</w:t>
            </w:r>
          </w:p>
        </w:tc>
        <w:tc>
          <w:tcPr>
            <w:tcW w:w="795" w:type="pct"/>
            <w:tcBorders>
              <w:top w:val="nil"/>
              <w:left w:val="nil"/>
              <w:bottom w:val="single" w:color="auto" w:sz="8" w:space="0"/>
              <w:right w:val="single" w:color="auto" w:sz="8" w:space="0"/>
            </w:tcBorders>
            <w:noWrap/>
            <w:tcMar>
              <w:top w:w="0" w:type="dxa"/>
              <w:left w:w="108" w:type="dxa"/>
              <w:bottom w:w="0" w:type="dxa"/>
              <w:right w:w="108" w:type="dxa"/>
            </w:tcMar>
            <w:vAlign w:val="center"/>
          </w:tcPr>
          <w:p>
            <w:pPr>
              <w:pStyle w:val="8"/>
              <w:spacing w:before="0" w:beforeAutospacing="0" w:after="0" w:afterAutospacing="0"/>
              <w:jc w:val="right"/>
              <w:rPr>
                <w:rFonts w:ascii="Times New Roman" w:hAnsi="Times New Roman" w:cs="Times New Roman"/>
              </w:rPr>
            </w:pPr>
            <w:r>
              <w:rPr>
                <w:rFonts w:ascii="Times New Roman" w:hAnsi="Times New Roman" w:cs="Times New Roman"/>
                <w:sz w:val="18"/>
                <w:szCs w:val="18"/>
              </w:rPr>
              <w:t>2.00%</w:t>
            </w:r>
          </w:p>
        </w:tc>
      </w:tr>
    </w:tbl>
    <w:p>
      <w:pPr>
        <w:pStyle w:val="8"/>
        <w:spacing w:before="0" w:beforeAutospacing="0" w:after="0" w:afterAutospacing="0"/>
        <w:ind w:left="395"/>
        <w:textAlignment w:val="baseline"/>
        <w:rPr>
          <w:rFonts w:ascii="Times New Roman" w:hAnsi="Times New Roman" w:cs="Times New Roman"/>
          <w:color w:val="000000"/>
          <w:sz w:val="21"/>
          <w:szCs w:val="21"/>
        </w:rPr>
      </w:pPr>
      <w:r>
        <w:rPr>
          <w:rFonts w:ascii="Times New Roman" w:hAnsi="Times New Roman" w:cs="Times New Roman"/>
          <w:color w:val="000000"/>
          <w:sz w:val="21"/>
          <w:szCs w:val="21"/>
        </w:rPr>
        <w:t> </w:t>
      </w: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说明商誉减值测试过程、关键参数（如预计未来现金流量现值时的预测期增长率、稳定期增长率、利润率、折现率、预测期等）及商誉减值损失的确认方法：</w:t>
      </w:r>
    </w:p>
    <w:p>
      <w:pPr>
        <w:rPr>
          <w:rFonts w:ascii="Times New Roman" w:hAnsi="Times New Roman" w:cs="Times New Roman"/>
        </w:rPr>
      </w:pP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商誉减值测试的影响</w:t>
      </w:r>
    </w:p>
    <w:p>
      <w:pPr>
        <w:rPr>
          <w:rFonts w:ascii="Times New Roman" w:hAnsi="Times New Roman" w:cs="Times New Roman"/>
        </w:rPr>
      </w:pP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其他说明</w:t>
      </w:r>
    </w:p>
    <w:p>
      <w:pPr>
        <w:rPr>
          <w:rFonts w:ascii="Times New Roman" w:hAnsi="Times New Roman" w:cs="Times New Roman"/>
        </w:rPr>
      </w:pPr>
    </w:p>
    <w:p>
      <w:pPr>
        <w:pStyle w:val="3"/>
        <w:spacing w:line="280" w:lineRule="exact"/>
        <w:jc w:val="left"/>
        <w:rPr>
          <w:rFonts w:ascii="Times New Roman" w:hAnsi="Times New Roman" w:cs="Times New Roman"/>
          <w:b/>
          <w:bCs/>
        </w:rPr>
      </w:pPr>
      <w:bookmarkStart w:id="271" w:name="_Toc989156"/>
      <w:r>
        <w:rPr>
          <w:rFonts w:ascii="Times New Roman" w:hAnsi="Times New Roman" w:cs="Times New Roman"/>
          <w:b/>
          <w:bCs/>
        </w:rPr>
        <w:t>29、长期待摊费用</w:t>
      </w:r>
      <w:bookmarkEnd w:id="271"/>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701"/>
        <w:gridCol w:w="1511"/>
        <w:gridCol w:w="1606"/>
        <w:gridCol w:w="1607"/>
        <w:gridCol w:w="1607"/>
        <w:gridCol w:w="160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70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w:t>
            </w:r>
          </w:p>
        </w:tc>
        <w:tc>
          <w:tcPr>
            <w:tcW w:w="151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期初余额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本期增加金额</w:t>
            </w:r>
          </w:p>
        </w:tc>
        <w:tc>
          <w:tcPr>
            <w:tcW w:w="160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本期摊销金额</w:t>
            </w:r>
          </w:p>
        </w:tc>
        <w:tc>
          <w:tcPr>
            <w:tcW w:w="160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其他减少金额</w:t>
            </w:r>
          </w:p>
        </w:tc>
        <w:tc>
          <w:tcPr>
            <w:tcW w:w="160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70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屠宰车间改造摊销</w:t>
            </w:r>
          </w:p>
        </w:tc>
        <w:tc>
          <w:tcPr>
            <w:tcW w:w="151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196,635.25</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196,635.25</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70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制冷车间改造摊销</w:t>
            </w:r>
          </w:p>
        </w:tc>
        <w:tc>
          <w:tcPr>
            <w:tcW w:w="151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132,389.90</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132,389.90</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70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屠宰车间流水线改造摊销</w:t>
            </w:r>
          </w:p>
        </w:tc>
        <w:tc>
          <w:tcPr>
            <w:tcW w:w="151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34,078.02</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34,078.02</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70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白条库改建工程摊销</w:t>
            </w:r>
          </w:p>
        </w:tc>
        <w:tc>
          <w:tcPr>
            <w:tcW w:w="151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122,145.96</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122,145.96</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70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新建食堂工程摊销</w:t>
            </w:r>
          </w:p>
        </w:tc>
        <w:tc>
          <w:tcPr>
            <w:tcW w:w="151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27,348.82</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27,348.82</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70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公司广告牌工程摊销</w:t>
            </w:r>
          </w:p>
        </w:tc>
        <w:tc>
          <w:tcPr>
            <w:tcW w:w="151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23,553.48</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23,553.48</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70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污水处理工程改造（设施改造）</w:t>
            </w:r>
          </w:p>
        </w:tc>
        <w:tc>
          <w:tcPr>
            <w:tcW w:w="151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94,266.03</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94,266.03</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70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污水改造工程（增加污水池）</w:t>
            </w:r>
          </w:p>
        </w:tc>
        <w:tc>
          <w:tcPr>
            <w:tcW w:w="151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36,000.00</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36,000.00</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70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快冷间改造工程</w:t>
            </w:r>
          </w:p>
        </w:tc>
        <w:tc>
          <w:tcPr>
            <w:tcW w:w="151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35,684.19</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35,684.19</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70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快冷间和发货走廊轨道改造工程</w:t>
            </w:r>
          </w:p>
        </w:tc>
        <w:tc>
          <w:tcPr>
            <w:tcW w:w="151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30,750.00</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30,750.00</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70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夏庄猪场</w:t>
            </w:r>
          </w:p>
        </w:tc>
        <w:tc>
          <w:tcPr>
            <w:tcW w:w="151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3,786,424.65</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1,032,661.27</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2,753,763.38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70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放养管理中心装修费</w:t>
            </w:r>
          </w:p>
        </w:tc>
        <w:tc>
          <w:tcPr>
            <w:tcW w:w="151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2,237,363.17</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139,835.18</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2,097,527.99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70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实验室装修改造</w:t>
            </w:r>
          </w:p>
        </w:tc>
        <w:tc>
          <w:tcPr>
            <w:tcW w:w="151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647,400.59</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133,944.96</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513,455.63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70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研发中心装修设计</w:t>
            </w:r>
          </w:p>
        </w:tc>
        <w:tc>
          <w:tcPr>
            <w:tcW w:w="151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4,287,502.65</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414,785.94</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573,442.26</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4,128,846.33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70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龙大鲜生办公室装修费用</w:t>
            </w:r>
          </w:p>
        </w:tc>
        <w:tc>
          <w:tcPr>
            <w:tcW w:w="151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27,513.42</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27,513.42</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70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金地悦峰店门头改造费</w:t>
            </w:r>
          </w:p>
        </w:tc>
        <w:tc>
          <w:tcPr>
            <w:tcW w:w="151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7,309.70</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7,309.70</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70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盛世江山店门头改造费</w:t>
            </w:r>
          </w:p>
        </w:tc>
        <w:tc>
          <w:tcPr>
            <w:tcW w:w="151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6,857.60</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6,857.60</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70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石榴街区店门头改造费</w:t>
            </w:r>
          </w:p>
        </w:tc>
        <w:tc>
          <w:tcPr>
            <w:tcW w:w="151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4,370.67</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4,370.67</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70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湖山美地店门头改造费</w:t>
            </w:r>
          </w:p>
        </w:tc>
        <w:tc>
          <w:tcPr>
            <w:tcW w:w="151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12,275.35</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12,275.35</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70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十五大街店门头改造费</w:t>
            </w:r>
          </w:p>
        </w:tc>
        <w:tc>
          <w:tcPr>
            <w:tcW w:w="151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6,269.08</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6,269.08</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70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盛世江山店装修费</w:t>
            </w:r>
          </w:p>
        </w:tc>
        <w:tc>
          <w:tcPr>
            <w:tcW w:w="151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9,122.19</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9,122.19</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70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金地悦峰店装修费</w:t>
            </w:r>
          </w:p>
        </w:tc>
        <w:tc>
          <w:tcPr>
            <w:tcW w:w="151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10,035.47</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10,035.47</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70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十五大街店装修费</w:t>
            </w:r>
          </w:p>
        </w:tc>
        <w:tc>
          <w:tcPr>
            <w:tcW w:w="151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19,210.05</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19,210.05</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70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湖山美地店装修费</w:t>
            </w:r>
          </w:p>
        </w:tc>
        <w:tc>
          <w:tcPr>
            <w:tcW w:w="151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890.22</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890.22</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70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石榴街区店装修费</w:t>
            </w:r>
          </w:p>
        </w:tc>
        <w:tc>
          <w:tcPr>
            <w:tcW w:w="151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1,294.92</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1,294.92</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70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延川路店装修费</w:t>
            </w:r>
          </w:p>
        </w:tc>
        <w:tc>
          <w:tcPr>
            <w:tcW w:w="151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16,889.71</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16,889.71</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70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凤凰国际店装修费</w:t>
            </w:r>
          </w:p>
        </w:tc>
        <w:tc>
          <w:tcPr>
            <w:tcW w:w="151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4,424.06</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4,424.06</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70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合计</w:t>
            </w:r>
          </w:p>
        </w:tc>
        <w:tc>
          <w:tcPr>
            <w:tcW w:w="151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11,818,005.15</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414,785.94</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2,739,197.76</w:t>
            </w: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60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9,493,593.33</w:t>
            </w:r>
          </w:p>
        </w:tc>
      </w:tr>
    </w:tbl>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其他说明</w:t>
      </w:r>
    </w:p>
    <w:p>
      <w:pPr>
        <w:rPr>
          <w:rFonts w:ascii="Times New Roman" w:hAnsi="Times New Roman" w:cs="Times New Roman"/>
        </w:rPr>
      </w:pPr>
    </w:p>
    <w:p>
      <w:pPr>
        <w:pStyle w:val="3"/>
        <w:spacing w:line="280" w:lineRule="exact"/>
        <w:jc w:val="left"/>
        <w:rPr>
          <w:rFonts w:ascii="Times New Roman" w:hAnsi="Times New Roman" w:cs="Times New Roman"/>
          <w:b/>
          <w:bCs/>
        </w:rPr>
      </w:pPr>
      <w:bookmarkStart w:id="272" w:name="_Toc989157"/>
      <w:r>
        <w:rPr>
          <w:rFonts w:ascii="Times New Roman" w:hAnsi="Times New Roman" w:cs="Times New Roman"/>
          <w:b/>
          <w:bCs/>
        </w:rPr>
        <w:t>30、递延所得税资产/递延所得税负债</w:t>
      </w:r>
      <w:bookmarkEnd w:id="272"/>
    </w:p>
    <w:p>
      <w:pPr>
        <w:keepNext/>
        <w:keepLines/>
        <w:spacing w:before="300" w:after="300" w:line="280" w:lineRule="exact"/>
        <w:outlineLvl w:val="3"/>
        <w:rPr>
          <w:rFonts w:ascii="Times New Roman" w:hAnsi="Times New Roman" w:eastAsia="宋体" w:cs="Times New Roman"/>
          <w:b/>
          <w:bCs/>
          <w:szCs w:val="21"/>
        </w:rPr>
      </w:pPr>
      <w:bookmarkStart w:id="273" w:name="_Toc989158"/>
      <w:r>
        <w:rPr>
          <w:rFonts w:ascii="Times New Roman" w:hAnsi="Times New Roman" w:eastAsia="宋体" w:cs="Times New Roman"/>
          <w:b/>
          <w:bCs/>
          <w:szCs w:val="21"/>
        </w:rPr>
        <w:t>（1） 未经抵销的递延所得税资产</w:t>
      </w:r>
      <w:bookmarkEnd w:id="273"/>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7"/>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w:t>
            </w:r>
          </w:p>
        </w:tc>
        <w:tc>
          <w:tcPr>
            <w:tcW w:w="385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期末余额</w:t>
            </w:r>
          </w:p>
        </w:tc>
        <w:tc>
          <w:tcPr>
            <w:tcW w:w="385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可抵扣暂时性差异</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递延所得税资产</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可抵扣暂时性差异</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递延所得税资产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资产减值准备</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8,794,323.56</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2,196,446.12</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949,675.72</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235,114.18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可抵扣亏损</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347,919,993.04</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86,979,998.26</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347,919,993.04</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86,979,998.26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租赁负债</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13,894,227.36</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2,969,381.12</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17,353,310.88</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3,771,572.24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合计</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370,608,543.96</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92,145,825.50</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366,222,979.64</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90,986,684.68</w:t>
            </w:r>
          </w:p>
        </w:tc>
      </w:tr>
    </w:tbl>
    <w:p>
      <w:pPr>
        <w:keepNext/>
        <w:keepLines/>
        <w:spacing w:before="300" w:after="300" w:line="280" w:lineRule="exact"/>
        <w:outlineLvl w:val="3"/>
        <w:rPr>
          <w:rFonts w:ascii="Times New Roman" w:hAnsi="Times New Roman" w:eastAsia="宋体" w:cs="Times New Roman"/>
          <w:b/>
          <w:bCs/>
          <w:szCs w:val="21"/>
        </w:rPr>
      </w:pPr>
      <w:bookmarkStart w:id="274" w:name="_Toc989159"/>
      <w:r>
        <w:rPr>
          <w:rFonts w:ascii="Times New Roman" w:hAnsi="Times New Roman" w:eastAsia="宋体" w:cs="Times New Roman"/>
          <w:b/>
          <w:bCs/>
          <w:szCs w:val="21"/>
        </w:rPr>
        <w:t>（2） 未经抵销的递延所得税负债</w:t>
      </w:r>
      <w:bookmarkEnd w:id="274"/>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7"/>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w:t>
            </w:r>
          </w:p>
        </w:tc>
        <w:tc>
          <w:tcPr>
            <w:tcW w:w="385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期末余额</w:t>
            </w:r>
          </w:p>
        </w:tc>
        <w:tc>
          <w:tcPr>
            <w:tcW w:w="385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应纳税暂时性差异</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递延所得税负债</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应纳税暂时性差异</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递延所得税负债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固定资产一次性税前扣除税会差异</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89,036,311.47</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20,847,358.20</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89,036,311.47</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20,847,358.20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使用权资产</w:t>
            </w:r>
            <w:bookmarkStart w:id="517" w:name="_GoBack"/>
            <w:bookmarkEnd w:id="517"/>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13,154,215.16</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2,805,439.91</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16,988,384.28</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3,698,345.47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合计</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102,190,526.63</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23,652,798.11</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106,024,695.75</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24,545,703.67</w:t>
            </w:r>
          </w:p>
        </w:tc>
      </w:tr>
    </w:tbl>
    <w:p>
      <w:pPr>
        <w:keepNext/>
        <w:keepLines/>
        <w:spacing w:before="300" w:after="300" w:line="280" w:lineRule="exact"/>
        <w:outlineLvl w:val="3"/>
        <w:rPr>
          <w:rFonts w:ascii="Times New Roman" w:hAnsi="Times New Roman" w:eastAsia="宋体" w:cs="Times New Roman"/>
          <w:b/>
          <w:bCs/>
          <w:szCs w:val="21"/>
        </w:rPr>
      </w:pPr>
      <w:bookmarkStart w:id="275" w:name="_Toc989160"/>
      <w:r>
        <w:rPr>
          <w:rFonts w:ascii="Times New Roman" w:hAnsi="Times New Roman" w:eastAsia="宋体" w:cs="Times New Roman"/>
          <w:b/>
          <w:bCs/>
          <w:szCs w:val="21"/>
        </w:rPr>
        <w:t>（3） 以抵销后净额列示的递延所得税资产或负债</w:t>
      </w:r>
      <w:bookmarkEnd w:id="275"/>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7"/>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递延所得税资产和负债期末互抵金额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抵销后递延所得税资产或负债期末余额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递延所得税资产和负债期初互抵金额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抵销后递延所得税资产或负债期初余额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递延所得税资产</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21,527,093.48</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70,618,732.02</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22,420,041.54</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68,566,643.14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递延所得税负债</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21,527,093.48</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2,125,704.63</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22,420,041.54</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2,125,662.13</w:t>
            </w:r>
          </w:p>
        </w:tc>
      </w:tr>
    </w:tbl>
    <w:p>
      <w:pPr>
        <w:keepNext/>
        <w:keepLines/>
        <w:spacing w:before="300" w:after="300" w:line="280" w:lineRule="exact"/>
        <w:outlineLvl w:val="3"/>
        <w:rPr>
          <w:rFonts w:ascii="Times New Roman" w:hAnsi="Times New Roman" w:eastAsia="宋体" w:cs="Times New Roman"/>
          <w:b/>
          <w:bCs/>
          <w:szCs w:val="21"/>
        </w:rPr>
      </w:pPr>
      <w:bookmarkStart w:id="276" w:name="_Toc989161"/>
      <w:r>
        <w:rPr>
          <w:rFonts w:ascii="Times New Roman" w:hAnsi="Times New Roman" w:eastAsia="宋体" w:cs="Times New Roman"/>
          <w:b/>
          <w:bCs/>
          <w:szCs w:val="21"/>
        </w:rPr>
        <w:t>（4） 未确认递延所得税资产明细</w:t>
      </w:r>
      <w:bookmarkEnd w:id="276"/>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可抵扣暂时性差异</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267,030,238.32</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130,829,653.97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可抵扣亏损</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691,164,247.78</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533,591,167.50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958,194,486.10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664,420,821.47</w:t>
            </w:r>
          </w:p>
        </w:tc>
      </w:tr>
    </w:tbl>
    <w:p>
      <w:pPr>
        <w:keepNext/>
        <w:keepLines/>
        <w:spacing w:before="300" w:after="300" w:line="280" w:lineRule="exact"/>
        <w:outlineLvl w:val="3"/>
        <w:rPr>
          <w:rFonts w:ascii="Times New Roman" w:hAnsi="Times New Roman" w:eastAsia="宋体" w:cs="Times New Roman"/>
          <w:b/>
          <w:bCs/>
          <w:szCs w:val="21"/>
        </w:rPr>
      </w:pPr>
      <w:bookmarkStart w:id="277" w:name="_Toc989162"/>
      <w:r>
        <w:rPr>
          <w:rFonts w:ascii="Times New Roman" w:hAnsi="Times New Roman" w:eastAsia="宋体" w:cs="Times New Roman"/>
          <w:b/>
          <w:bCs/>
          <w:szCs w:val="21"/>
        </w:rPr>
        <w:t>（5） 未确认递延所得税资产的可抵扣亏损将于以下年度到期</w:t>
      </w:r>
      <w:bookmarkEnd w:id="277"/>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09"/>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年份</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期末金额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期初金额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2023 年</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2,430,462.36</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2024 年</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2,193,063.92</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2,193,063.92</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2025 年</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8,209,918.55</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9,509,884.80</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2026 年</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166,119,654.58</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184,551,633.68</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2027 年</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366,646,774.95</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334,906,122.74</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2028年</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147,994,835.78</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合计</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691,164,247.78</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533,591,167.50</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r>
    </w:tbl>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其他说明</w:t>
      </w:r>
    </w:p>
    <w:p>
      <w:pPr>
        <w:pStyle w:val="8"/>
        <w:rPr>
          <w:rFonts w:ascii="Times New Roman" w:hAnsi="Times New Roman" w:cs="Times New Roman"/>
          <w:sz w:val="18"/>
          <w:szCs w:val="18"/>
        </w:rPr>
      </w:pPr>
      <w:r>
        <w:rPr>
          <w:rFonts w:ascii="Times New Roman" w:hAnsi="Times New Roman" w:cs="Times New Roman"/>
          <w:sz w:val="18"/>
          <w:szCs w:val="18"/>
        </w:rPr>
        <w:t>无</w:t>
      </w:r>
    </w:p>
    <w:p>
      <w:pPr>
        <w:pStyle w:val="8"/>
        <w:rPr>
          <w:rFonts w:ascii="Times New Roman" w:hAnsi="Times New Roman" w:cs="Times New Roman"/>
          <w:sz w:val="18"/>
          <w:szCs w:val="18"/>
        </w:rPr>
      </w:pPr>
      <w:r>
        <w:rPr>
          <w:rFonts w:ascii="Times New Roman" w:hAnsi="Times New Roman" w:cs="Times New Roman"/>
          <w:sz w:val="18"/>
          <w:szCs w:val="18"/>
        </w:rPr>
        <w:t> </w:t>
      </w:r>
    </w:p>
    <w:p>
      <w:pPr>
        <w:pStyle w:val="3"/>
        <w:spacing w:line="280" w:lineRule="exact"/>
        <w:jc w:val="left"/>
        <w:rPr>
          <w:rFonts w:ascii="Times New Roman" w:hAnsi="Times New Roman" w:cs="Times New Roman"/>
          <w:b/>
          <w:bCs/>
        </w:rPr>
      </w:pPr>
      <w:bookmarkStart w:id="278" w:name="_Toc989163"/>
      <w:r>
        <w:rPr>
          <w:rFonts w:ascii="Times New Roman" w:hAnsi="Times New Roman" w:cs="Times New Roman"/>
          <w:b/>
          <w:bCs/>
        </w:rPr>
        <w:t>31、其他非流动资产</w:t>
      </w:r>
      <w:bookmarkEnd w:id="278"/>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期末余额</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减值准备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账面价值</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减值准备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账面价值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预付设备工程款</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123,419,546.89</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123,419,546.89</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90,825,964.31</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90,825,964.31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增值税留抵税额</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474,860,245.27</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474,860,245.27</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452,659,003.56</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452,659,003.56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合计</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598,279,792.16</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598,279,792.16</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543,484,967.87</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543,484,967.87</w:t>
            </w:r>
          </w:p>
        </w:tc>
      </w:tr>
    </w:tbl>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其他说明：</w:t>
      </w:r>
    </w:p>
    <w:p>
      <w:pPr>
        <w:rPr>
          <w:rFonts w:ascii="Times New Roman" w:hAnsi="Times New Roman" w:cs="Times New Roman"/>
        </w:rPr>
      </w:pPr>
    </w:p>
    <w:p>
      <w:pPr>
        <w:pStyle w:val="3"/>
        <w:spacing w:line="280" w:lineRule="exact"/>
        <w:jc w:val="left"/>
        <w:rPr>
          <w:rFonts w:ascii="Times New Roman" w:hAnsi="Times New Roman" w:cs="Times New Roman"/>
          <w:b/>
          <w:bCs/>
        </w:rPr>
      </w:pPr>
      <w:bookmarkStart w:id="279" w:name="_Toc989164"/>
      <w:r>
        <w:rPr>
          <w:rFonts w:ascii="Times New Roman" w:hAnsi="Times New Roman" w:cs="Times New Roman"/>
          <w:b/>
          <w:bCs/>
        </w:rPr>
        <w:t>32、短期借款</w:t>
      </w:r>
      <w:bookmarkEnd w:id="279"/>
    </w:p>
    <w:p>
      <w:pPr>
        <w:keepNext/>
        <w:keepLines/>
        <w:spacing w:before="300" w:after="300" w:line="280" w:lineRule="exact"/>
        <w:outlineLvl w:val="3"/>
        <w:rPr>
          <w:rFonts w:ascii="Times New Roman" w:hAnsi="Times New Roman" w:eastAsia="宋体" w:cs="Times New Roman"/>
          <w:b/>
          <w:bCs/>
          <w:szCs w:val="21"/>
        </w:rPr>
      </w:pPr>
      <w:bookmarkStart w:id="280" w:name="_Toc989165"/>
      <w:r>
        <w:rPr>
          <w:rFonts w:ascii="Times New Roman" w:hAnsi="Times New Roman" w:eastAsia="宋体" w:cs="Times New Roman"/>
          <w:b/>
          <w:bCs/>
          <w:szCs w:val="21"/>
        </w:rPr>
        <w:t>（1） 短期借款分类</w:t>
      </w:r>
      <w:bookmarkEnd w:id="280"/>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质押借款</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76,335,244.50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抵押借款</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36,000,000.00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56,000,000.00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保证借款</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634,200,000.00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798,119,147.79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信用借款</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56,728,414.89</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30,792,830.50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应收票据贴现借款</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521,554,696.75</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628,660,018.42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应付短期借款利息</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123,079.32</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1,098,261.10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1,324,941,435.46</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1,514,670,257.81</w:t>
            </w:r>
          </w:p>
        </w:tc>
      </w:tr>
    </w:tbl>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短期借款分类的说明：</w:t>
      </w:r>
    </w:p>
    <w:p>
      <w:pPr>
        <w:rPr>
          <w:rFonts w:ascii="Times New Roman" w:hAnsi="Times New Roman" w:cs="Times New Roman"/>
        </w:rPr>
      </w:pPr>
    </w:p>
    <w:p>
      <w:pPr>
        <w:keepNext/>
        <w:keepLines/>
        <w:spacing w:before="300" w:after="300" w:line="280" w:lineRule="exact"/>
        <w:outlineLvl w:val="3"/>
        <w:rPr>
          <w:rFonts w:ascii="Times New Roman" w:hAnsi="Times New Roman" w:eastAsia="宋体" w:cs="Times New Roman"/>
          <w:b/>
          <w:bCs/>
          <w:szCs w:val="21"/>
        </w:rPr>
      </w:pPr>
      <w:bookmarkStart w:id="281" w:name="_Toc989166"/>
      <w:r>
        <w:rPr>
          <w:rFonts w:ascii="Times New Roman" w:hAnsi="Times New Roman" w:eastAsia="宋体" w:cs="Times New Roman"/>
          <w:b/>
          <w:bCs/>
          <w:szCs w:val="21"/>
        </w:rPr>
        <w:t>（2） 已逾期未偿还的短期借款情况</w:t>
      </w:r>
      <w:bookmarkEnd w:id="281"/>
    </w:p>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本期末已逾期未偿还的短期借款总额为元，其中重要的已逾期未偿还的短期借款情况如下：</w:t>
      </w:r>
    </w:p>
    <w:p>
      <w:pPr>
        <w:spacing w:before="120" w:after="12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7"/>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借款单位</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期末余额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借款利率</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逾期时间</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逾期利率</w:t>
            </w:r>
          </w:p>
        </w:tc>
      </w:tr>
    </w:tbl>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其他说明</w:t>
      </w:r>
    </w:p>
    <w:p>
      <w:pPr>
        <w:rPr>
          <w:rFonts w:ascii="Times New Roman" w:hAnsi="Times New Roman" w:cs="Times New Roman"/>
        </w:rPr>
      </w:pPr>
    </w:p>
    <w:p>
      <w:pPr>
        <w:pStyle w:val="3"/>
        <w:spacing w:line="280" w:lineRule="exact"/>
        <w:jc w:val="left"/>
        <w:rPr>
          <w:rFonts w:ascii="Times New Roman" w:hAnsi="Times New Roman" w:cs="Times New Roman"/>
          <w:b/>
          <w:bCs/>
        </w:rPr>
      </w:pPr>
      <w:bookmarkStart w:id="282" w:name="_Toc989167"/>
      <w:r>
        <w:rPr>
          <w:rFonts w:ascii="Times New Roman" w:hAnsi="Times New Roman" w:cs="Times New Roman"/>
          <w:b/>
          <w:bCs/>
        </w:rPr>
        <w:t>33、交易性金融负债</w:t>
      </w:r>
      <w:bookmarkEnd w:id="282"/>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rPr>
                <w:rFonts w:ascii="Times New Roman" w:hAnsi="Times New Roman" w:eastAsia="宋体" w:cs="Times New Roman"/>
                <w:sz w:val="18"/>
                <w:szCs w:val="18"/>
              </w:rPr>
            </w:pPr>
            <w:r>
              <w:rPr>
                <w:rFonts w:ascii="Times New Roman" w:hAnsi="Times New Roman" w:eastAsia="宋体" w:cs="Times New Roman"/>
                <w:sz w:val="18"/>
                <w:szCs w:val="18"/>
              </w:rPr>
              <w:t>其中：</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rPr>
                <w:rFonts w:ascii="Times New Roman" w:hAnsi="Times New Roman" w:eastAsia="宋体" w:cs="Times New Roman"/>
                <w:sz w:val="18"/>
                <w:szCs w:val="18"/>
              </w:rPr>
            </w:pPr>
            <w:r>
              <w:rPr>
                <w:rFonts w:ascii="Times New Roman" w:hAnsi="Times New Roman" w:eastAsia="宋体" w:cs="Times New Roman"/>
                <w:sz w:val="18"/>
                <w:szCs w:val="18"/>
              </w:rPr>
              <w:t>其中：</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r>
    </w:tbl>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其他说明：</w:t>
      </w:r>
    </w:p>
    <w:p>
      <w:pPr>
        <w:rPr>
          <w:rFonts w:ascii="Times New Roman" w:hAnsi="Times New Roman" w:cs="Times New Roman"/>
        </w:rPr>
      </w:pPr>
    </w:p>
    <w:p>
      <w:pPr>
        <w:pStyle w:val="3"/>
        <w:spacing w:line="280" w:lineRule="exact"/>
        <w:jc w:val="left"/>
        <w:rPr>
          <w:rFonts w:ascii="Times New Roman" w:hAnsi="Times New Roman" w:cs="Times New Roman"/>
          <w:b/>
          <w:bCs/>
        </w:rPr>
      </w:pPr>
      <w:bookmarkStart w:id="283" w:name="_Toc989168"/>
      <w:r>
        <w:rPr>
          <w:rFonts w:ascii="Times New Roman" w:hAnsi="Times New Roman" w:cs="Times New Roman"/>
          <w:b/>
          <w:bCs/>
        </w:rPr>
        <w:t>34、衍生金融负债</w:t>
      </w:r>
      <w:bookmarkEnd w:id="283"/>
    </w:p>
    <w:p>
      <w:pPr>
        <w:spacing w:before="120" w:after="12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期初余额</w:t>
            </w:r>
          </w:p>
        </w:tc>
      </w:tr>
    </w:tbl>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其他说明：</w:t>
      </w:r>
    </w:p>
    <w:p>
      <w:pPr>
        <w:rPr>
          <w:rFonts w:ascii="Times New Roman" w:hAnsi="Times New Roman" w:cs="Times New Roman"/>
        </w:rPr>
      </w:pPr>
    </w:p>
    <w:p>
      <w:pPr>
        <w:pStyle w:val="3"/>
        <w:spacing w:line="280" w:lineRule="exact"/>
        <w:jc w:val="left"/>
        <w:rPr>
          <w:rFonts w:ascii="Times New Roman" w:hAnsi="Times New Roman" w:cs="Times New Roman"/>
          <w:b/>
          <w:bCs/>
        </w:rPr>
      </w:pPr>
      <w:bookmarkStart w:id="284" w:name="_Toc989169"/>
      <w:r>
        <w:rPr>
          <w:rFonts w:ascii="Times New Roman" w:hAnsi="Times New Roman" w:cs="Times New Roman"/>
          <w:b/>
          <w:bCs/>
        </w:rPr>
        <w:t>35、应付票据</w:t>
      </w:r>
      <w:bookmarkEnd w:id="284"/>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种类</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商业承兑汇票</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70,000,000.00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银行承兑汇票</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520,187,500.00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631,831,450.18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590,187,500.00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631,831,450.18</w:t>
            </w:r>
          </w:p>
        </w:tc>
      </w:tr>
    </w:tbl>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本期末已到期未支付的应付票据总额为0.00元。</w:t>
      </w:r>
    </w:p>
    <w:p>
      <w:pPr>
        <w:pStyle w:val="3"/>
        <w:spacing w:line="280" w:lineRule="exact"/>
        <w:jc w:val="left"/>
        <w:rPr>
          <w:rFonts w:ascii="Times New Roman" w:hAnsi="Times New Roman" w:cs="Times New Roman"/>
          <w:b/>
          <w:bCs/>
        </w:rPr>
      </w:pPr>
      <w:bookmarkStart w:id="285" w:name="_Toc989170"/>
      <w:r>
        <w:rPr>
          <w:rFonts w:ascii="Times New Roman" w:hAnsi="Times New Roman" w:cs="Times New Roman"/>
          <w:b/>
          <w:bCs/>
        </w:rPr>
        <w:t>36、应付账款</w:t>
      </w:r>
      <w:bookmarkEnd w:id="285"/>
    </w:p>
    <w:p>
      <w:pPr>
        <w:keepNext/>
        <w:keepLines/>
        <w:spacing w:before="300" w:after="300" w:line="280" w:lineRule="exact"/>
        <w:outlineLvl w:val="3"/>
        <w:rPr>
          <w:rFonts w:ascii="Times New Roman" w:hAnsi="Times New Roman" w:eastAsia="宋体" w:cs="Times New Roman"/>
          <w:b/>
          <w:bCs/>
          <w:sz w:val="18"/>
          <w:szCs w:val="18"/>
        </w:rPr>
      </w:pPr>
      <w:bookmarkStart w:id="286" w:name="_Toc989171"/>
      <w:r>
        <w:rPr>
          <w:rFonts w:ascii="Times New Roman" w:hAnsi="Times New Roman" w:eastAsia="宋体" w:cs="Times New Roman"/>
          <w:b/>
          <w:bCs/>
          <w:sz w:val="18"/>
          <w:szCs w:val="18"/>
        </w:rPr>
        <w:t>（1） 应付账款列示</w:t>
      </w:r>
      <w:bookmarkEnd w:id="286"/>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应付材料采购款</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548,284,103.20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483,164,320.31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应付固定资产采购款</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78,234,563.20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91,424,812.59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626,518,666.40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574,589,132.90</w:t>
            </w:r>
          </w:p>
        </w:tc>
      </w:tr>
    </w:tbl>
    <w:p>
      <w:pPr>
        <w:keepNext/>
        <w:keepLines/>
        <w:spacing w:before="300" w:after="300" w:line="280" w:lineRule="exact"/>
        <w:outlineLvl w:val="3"/>
        <w:rPr>
          <w:rFonts w:ascii="Times New Roman" w:hAnsi="Times New Roman" w:eastAsia="宋体" w:cs="Times New Roman"/>
          <w:b/>
          <w:bCs/>
          <w:sz w:val="18"/>
          <w:szCs w:val="18"/>
        </w:rPr>
      </w:pPr>
      <w:bookmarkStart w:id="287" w:name="_Toc989172"/>
      <w:r>
        <w:rPr>
          <w:rFonts w:ascii="Times New Roman" w:hAnsi="Times New Roman" w:eastAsia="宋体" w:cs="Times New Roman"/>
          <w:b/>
          <w:bCs/>
          <w:sz w:val="18"/>
          <w:szCs w:val="18"/>
        </w:rPr>
        <w:t>（2） 账龄超过1年的重要应付账款</w:t>
      </w:r>
      <w:bookmarkEnd w:id="287"/>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未偿还或结转的原因</w:t>
            </w:r>
          </w:p>
        </w:tc>
      </w:tr>
    </w:tbl>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其他说明：</w:t>
      </w:r>
    </w:p>
    <w:p>
      <w:pPr>
        <w:rPr>
          <w:rFonts w:ascii="Times New Roman" w:hAnsi="Times New Roman" w:cs="Times New Roman"/>
        </w:rPr>
      </w:pPr>
    </w:p>
    <w:p>
      <w:pPr>
        <w:pStyle w:val="3"/>
        <w:spacing w:line="280" w:lineRule="exact"/>
        <w:jc w:val="left"/>
        <w:rPr>
          <w:rFonts w:ascii="Times New Roman" w:hAnsi="Times New Roman" w:cs="Times New Roman"/>
          <w:b/>
          <w:bCs/>
        </w:rPr>
      </w:pPr>
      <w:bookmarkStart w:id="288" w:name="_Toc989173"/>
      <w:r>
        <w:rPr>
          <w:rFonts w:ascii="Times New Roman" w:hAnsi="Times New Roman" w:cs="Times New Roman"/>
          <w:b/>
          <w:bCs/>
        </w:rPr>
        <w:t>37、预收款项</w:t>
      </w:r>
      <w:bookmarkEnd w:id="288"/>
    </w:p>
    <w:p>
      <w:pPr>
        <w:keepNext/>
        <w:keepLines/>
        <w:spacing w:before="300" w:after="300" w:line="280" w:lineRule="exact"/>
        <w:outlineLvl w:val="3"/>
        <w:rPr>
          <w:rFonts w:ascii="Times New Roman" w:hAnsi="Times New Roman" w:eastAsia="宋体" w:cs="Times New Roman"/>
          <w:b/>
          <w:bCs/>
          <w:sz w:val="18"/>
          <w:szCs w:val="18"/>
        </w:rPr>
      </w:pPr>
      <w:bookmarkStart w:id="289" w:name="_Toc989174"/>
      <w:r>
        <w:rPr>
          <w:rFonts w:ascii="Times New Roman" w:hAnsi="Times New Roman" w:eastAsia="宋体" w:cs="Times New Roman"/>
          <w:b/>
          <w:bCs/>
          <w:sz w:val="18"/>
          <w:szCs w:val="18"/>
        </w:rPr>
        <w:t>（1） 预收款项列示</w:t>
      </w:r>
      <w:bookmarkEnd w:id="289"/>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期初余额</w:t>
            </w:r>
          </w:p>
        </w:tc>
      </w:tr>
    </w:tbl>
    <w:p>
      <w:pPr>
        <w:keepNext/>
        <w:keepLines/>
        <w:spacing w:before="300" w:after="300" w:line="280" w:lineRule="exact"/>
        <w:outlineLvl w:val="3"/>
        <w:rPr>
          <w:rFonts w:ascii="Times New Roman" w:hAnsi="Times New Roman" w:eastAsia="宋体" w:cs="Times New Roman"/>
          <w:b/>
          <w:bCs/>
          <w:sz w:val="18"/>
          <w:szCs w:val="18"/>
        </w:rPr>
      </w:pPr>
      <w:bookmarkStart w:id="290" w:name="_Toc989175"/>
      <w:r>
        <w:rPr>
          <w:rFonts w:ascii="Times New Roman" w:hAnsi="Times New Roman" w:eastAsia="宋体" w:cs="Times New Roman"/>
          <w:b/>
          <w:bCs/>
          <w:sz w:val="18"/>
          <w:szCs w:val="18"/>
        </w:rPr>
        <w:t>（2） 账龄超过1年的重要预收款项</w:t>
      </w:r>
      <w:bookmarkEnd w:id="290"/>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未偿还或结转的原因</w:t>
            </w:r>
          </w:p>
        </w:tc>
      </w:tr>
    </w:tbl>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其他说明：</w:t>
      </w:r>
    </w:p>
    <w:p>
      <w:pPr>
        <w:rPr>
          <w:rFonts w:ascii="Times New Roman" w:hAnsi="Times New Roman" w:cs="Times New Roman"/>
        </w:rPr>
      </w:pPr>
    </w:p>
    <w:p>
      <w:pPr>
        <w:pStyle w:val="3"/>
        <w:spacing w:line="280" w:lineRule="exact"/>
        <w:jc w:val="left"/>
        <w:rPr>
          <w:rFonts w:ascii="Times New Roman" w:hAnsi="Times New Roman" w:cs="Times New Roman"/>
          <w:b/>
          <w:bCs/>
        </w:rPr>
      </w:pPr>
      <w:bookmarkStart w:id="291" w:name="_Toc989176"/>
      <w:r>
        <w:rPr>
          <w:rFonts w:ascii="Times New Roman" w:hAnsi="Times New Roman" w:cs="Times New Roman"/>
          <w:b/>
          <w:bCs/>
        </w:rPr>
        <w:t>38、合同负债</w:t>
      </w:r>
      <w:bookmarkEnd w:id="291"/>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预收货款</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190,605,760.36</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185,629,725.61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190,605,760.36</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185,629,725.61</w:t>
            </w:r>
          </w:p>
        </w:tc>
      </w:tr>
    </w:tbl>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报告期内账面价值发生重大变动的金额和原因</w:t>
      </w:r>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20"/>
        <w:gridCol w:w="820"/>
        <w:gridCol w:w="799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w:t>
            </w:r>
          </w:p>
        </w:tc>
        <w:tc>
          <w:tcPr>
            <w:tcW w:w="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变动金额</w:t>
            </w:r>
          </w:p>
        </w:tc>
        <w:tc>
          <w:tcPr>
            <w:tcW w:w="800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变动原因</w:t>
            </w:r>
          </w:p>
        </w:tc>
      </w:tr>
    </w:tbl>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公司需遵守《深圳证券交易所上市公司自律监管指引第3号——行业信息披露》中食品及酒制造相关业的披露要求</w:t>
      </w:r>
    </w:p>
    <w:p>
      <w:pPr>
        <w:rPr>
          <w:rFonts w:ascii="Times New Roman" w:hAnsi="Times New Roman" w:cs="Times New Roman"/>
        </w:rPr>
      </w:pPr>
    </w:p>
    <w:p>
      <w:pPr>
        <w:pStyle w:val="3"/>
        <w:spacing w:line="280" w:lineRule="exact"/>
        <w:jc w:val="left"/>
        <w:rPr>
          <w:rFonts w:ascii="Times New Roman" w:hAnsi="Times New Roman" w:cs="Times New Roman"/>
          <w:b/>
          <w:bCs/>
        </w:rPr>
      </w:pPr>
      <w:bookmarkStart w:id="292" w:name="_Toc989177"/>
      <w:r>
        <w:rPr>
          <w:rFonts w:ascii="Times New Roman" w:hAnsi="Times New Roman" w:cs="Times New Roman"/>
          <w:b/>
          <w:bCs/>
        </w:rPr>
        <w:t>39、应付职工薪酬</w:t>
      </w:r>
      <w:bookmarkEnd w:id="292"/>
    </w:p>
    <w:p>
      <w:pPr>
        <w:keepNext/>
        <w:keepLines/>
        <w:spacing w:before="300" w:after="300" w:line="280" w:lineRule="exact"/>
        <w:outlineLvl w:val="3"/>
        <w:rPr>
          <w:rFonts w:ascii="Times New Roman" w:hAnsi="Times New Roman" w:eastAsia="宋体" w:cs="Times New Roman"/>
          <w:b/>
          <w:bCs/>
          <w:szCs w:val="21"/>
        </w:rPr>
      </w:pPr>
      <w:bookmarkStart w:id="293" w:name="_Toc989178"/>
      <w:r>
        <w:rPr>
          <w:rFonts w:ascii="Times New Roman" w:hAnsi="Times New Roman" w:eastAsia="宋体" w:cs="Times New Roman"/>
          <w:b/>
          <w:bCs/>
          <w:szCs w:val="21"/>
        </w:rPr>
        <w:t>（1） 应付职工薪酬列示</w:t>
      </w:r>
      <w:bookmarkEnd w:id="293"/>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7"/>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期初余额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本期增加</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本期减少</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一、短期薪酬</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38,034,174.23</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249,834,841.59</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251,611,218.64</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36,257,797.18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二、离职后福利-设定提存计划</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15,216,552.95</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15,216,552.95</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合计</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38,034,174.23</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265,051,394.54</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266,827,771.59</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36,257,797.18</w:t>
            </w:r>
          </w:p>
        </w:tc>
      </w:tr>
    </w:tbl>
    <w:p>
      <w:pPr>
        <w:keepNext/>
        <w:keepLines/>
        <w:spacing w:before="300" w:after="300" w:line="280" w:lineRule="exact"/>
        <w:outlineLvl w:val="3"/>
        <w:rPr>
          <w:rFonts w:ascii="Times New Roman" w:hAnsi="Times New Roman" w:eastAsia="宋体" w:cs="Times New Roman"/>
          <w:b/>
          <w:bCs/>
          <w:szCs w:val="21"/>
        </w:rPr>
      </w:pPr>
      <w:bookmarkStart w:id="294" w:name="_Toc989179"/>
      <w:r>
        <w:rPr>
          <w:rFonts w:ascii="Times New Roman" w:hAnsi="Times New Roman" w:eastAsia="宋体" w:cs="Times New Roman"/>
          <w:b/>
          <w:bCs/>
          <w:szCs w:val="21"/>
        </w:rPr>
        <w:t>（2） 短期薪酬列示</w:t>
      </w:r>
      <w:bookmarkEnd w:id="294"/>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7"/>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期初余额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本期增加</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本期减少</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1、工资、奖金、津贴和补贴</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38,021,674.23</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228,295,655.98</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230,059,533.03</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36,257,797.18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2、职工福利费</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10,361,148.61</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10,361,148.61</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3、社会保险费</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7,672,158.14</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7,672,158.14</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rPr>
                <w:rFonts w:ascii="Times New Roman" w:hAnsi="Times New Roman" w:eastAsia="宋体" w:cs="Times New Roman"/>
                <w:sz w:val="18"/>
                <w:szCs w:val="18"/>
              </w:rPr>
            </w:pPr>
            <w:r>
              <w:rPr>
                <w:rFonts w:ascii="Times New Roman" w:hAnsi="Times New Roman" w:eastAsia="宋体" w:cs="Times New Roman"/>
                <w:sz w:val="18"/>
                <w:szCs w:val="18"/>
              </w:rPr>
              <w:t>其中：医疗保险费</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6,924,503.50</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6,924,503.50</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900" w:firstLineChars="500"/>
              <w:rPr>
                <w:rFonts w:ascii="Times New Roman" w:hAnsi="Times New Roman" w:eastAsia="宋体" w:cs="Times New Roman"/>
                <w:sz w:val="18"/>
                <w:szCs w:val="18"/>
              </w:rPr>
            </w:pPr>
            <w:r>
              <w:rPr>
                <w:rFonts w:ascii="Times New Roman" w:hAnsi="Times New Roman" w:eastAsia="宋体" w:cs="Times New Roman"/>
                <w:sz w:val="18"/>
                <w:szCs w:val="18"/>
              </w:rPr>
              <w:t>工伤保险费</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747,016.18</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747,016.18</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900" w:firstLineChars="500"/>
              <w:rPr>
                <w:rFonts w:ascii="Times New Roman" w:hAnsi="Times New Roman" w:eastAsia="宋体" w:cs="Times New Roman"/>
                <w:sz w:val="18"/>
                <w:szCs w:val="18"/>
              </w:rPr>
            </w:pPr>
            <w:r>
              <w:rPr>
                <w:rFonts w:ascii="Times New Roman" w:hAnsi="Times New Roman" w:eastAsia="宋体" w:cs="Times New Roman"/>
                <w:sz w:val="18"/>
                <w:szCs w:val="18"/>
              </w:rPr>
              <w:t>生育保险费</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638.46</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638.46</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4、住房公积金</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1,824,641.00</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1,824,641.00</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5、工会经费和职工教育经费</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293,266.38</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293,266.38</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8、其他短期薪酬</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12,500.00</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1,387,971.48</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1,400,471.48</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合计</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38,034,174.23</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249,834,841.59</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251,611,218.64</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36,257,797.18</w:t>
            </w:r>
          </w:p>
        </w:tc>
      </w:tr>
    </w:tbl>
    <w:p>
      <w:pPr>
        <w:keepNext/>
        <w:keepLines/>
        <w:spacing w:before="300" w:after="300" w:line="280" w:lineRule="exact"/>
        <w:outlineLvl w:val="3"/>
        <w:rPr>
          <w:rFonts w:ascii="Times New Roman" w:hAnsi="Times New Roman" w:eastAsia="宋体" w:cs="Times New Roman"/>
          <w:b/>
          <w:bCs/>
          <w:szCs w:val="21"/>
        </w:rPr>
      </w:pPr>
      <w:bookmarkStart w:id="295" w:name="_Toc989180"/>
      <w:r>
        <w:rPr>
          <w:rFonts w:ascii="Times New Roman" w:hAnsi="Times New Roman" w:eastAsia="宋体" w:cs="Times New Roman"/>
          <w:b/>
          <w:bCs/>
          <w:szCs w:val="21"/>
        </w:rPr>
        <w:t>（3） 设定提存计划列示</w:t>
      </w:r>
      <w:bookmarkEnd w:id="295"/>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7"/>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期初余额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本期增加</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本期减少</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1、基本养老保险</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14,581,739.16</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14,581,739.16</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2、失业保险费</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634,813.79</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634,813.79</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合计</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15,216,552.95</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15,216,552.95</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bl>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其他说明</w:t>
      </w:r>
    </w:p>
    <w:p>
      <w:pPr>
        <w:rPr>
          <w:rFonts w:ascii="Times New Roman" w:hAnsi="Times New Roman" w:cs="Times New Roman"/>
        </w:rPr>
      </w:pPr>
    </w:p>
    <w:p>
      <w:pPr>
        <w:pStyle w:val="3"/>
        <w:spacing w:line="280" w:lineRule="exact"/>
        <w:jc w:val="left"/>
        <w:rPr>
          <w:rFonts w:ascii="Times New Roman" w:hAnsi="Times New Roman" w:cs="Times New Roman"/>
          <w:b/>
          <w:bCs/>
        </w:rPr>
      </w:pPr>
      <w:bookmarkStart w:id="296" w:name="_Toc989181"/>
      <w:r>
        <w:rPr>
          <w:rFonts w:ascii="Times New Roman" w:hAnsi="Times New Roman" w:cs="Times New Roman"/>
          <w:b/>
          <w:bCs/>
        </w:rPr>
        <w:t>40、应交税费</w:t>
      </w:r>
      <w:bookmarkEnd w:id="296"/>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增值税</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282,693.43</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1,551,138.74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企业所得税</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3,046,326.67</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3,366,633.79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个人所得税</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356,224.34</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448,325.13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城市维护建设税</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13,985.09</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108,599.34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房产税</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1,593,452.66</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1,475,170.80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土地使用税</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1,215,533.40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1,225,623.65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印花税</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2,464,300.95</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3,432,645.40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教育费附加</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9,989.35</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77,570.96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水资源税</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157,476.90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109,084.50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环保税</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9,101.85</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6,271.27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9,149,084.64</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11,801,063.58</w:t>
            </w:r>
          </w:p>
        </w:tc>
      </w:tr>
    </w:tbl>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其他说明</w:t>
      </w:r>
    </w:p>
    <w:p>
      <w:pPr>
        <w:pStyle w:val="8"/>
        <w:rPr>
          <w:rFonts w:ascii="Times New Roman" w:hAnsi="Times New Roman" w:cs="Times New Roman"/>
          <w:sz w:val="18"/>
          <w:szCs w:val="18"/>
        </w:rPr>
      </w:pPr>
      <w:r>
        <w:rPr>
          <w:rFonts w:ascii="Times New Roman" w:hAnsi="Times New Roman" w:cs="Times New Roman"/>
          <w:sz w:val="18"/>
          <w:szCs w:val="18"/>
        </w:rPr>
        <w:t>无</w:t>
      </w:r>
    </w:p>
    <w:p>
      <w:pPr>
        <w:pStyle w:val="3"/>
        <w:spacing w:line="280" w:lineRule="exact"/>
        <w:jc w:val="left"/>
        <w:rPr>
          <w:rFonts w:ascii="Times New Roman" w:hAnsi="Times New Roman" w:cs="Times New Roman"/>
          <w:b/>
          <w:bCs/>
        </w:rPr>
      </w:pPr>
      <w:bookmarkStart w:id="297" w:name="_Toc989182"/>
      <w:r>
        <w:rPr>
          <w:rFonts w:ascii="Times New Roman" w:hAnsi="Times New Roman" w:cs="Times New Roman"/>
          <w:b/>
          <w:bCs/>
        </w:rPr>
        <w:t>41、其他应付款</w:t>
      </w:r>
      <w:bookmarkEnd w:id="297"/>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其他应付款</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227,904,527.32</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227,027,091.46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227,904,527.32</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227,027,091.46</w:t>
            </w:r>
          </w:p>
        </w:tc>
      </w:tr>
    </w:tbl>
    <w:p>
      <w:pPr>
        <w:keepNext/>
        <w:keepLines/>
        <w:spacing w:before="300" w:after="300" w:line="280" w:lineRule="exact"/>
        <w:outlineLvl w:val="3"/>
        <w:rPr>
          <w:rFonts w:ascii="Times New Roman" w:hAnsi="Times New Roman" w:eastAsia="宋体" w:cs="Times New Roman"/>
          <w:b/>
          <w:bCs/>
          <w:sz w:val="18"/>
          <w:szCs w:val="18"/>
        </w:rPr>
      </w:pPr>
      <w:bookmarkStart w:id="298" w:name="_Toc989183"/>
      <w:r>
        <w:rPr>
          <w:rFonts w:ascii="Times New Roman" w:hAnsi="Times New Roman" w:eastAsia="宋体" w:cs="Times New Roman"/>
          <w:b/>
          <w:bCs/>
          <w:sz w:val="18"/>
          <w:szCs w:val="18"/>
        </w:rPr>
        <w:t>（1） 应付利息</w:t>
      </w:r>
      <w:bookmarkEnd w:id="298"/>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期初余额</w:t>
            </w:r>
          </w:p>
        </w:tc>
      </w:tr>
    </w:tbl>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重要的已逾期未支付的利息情况：</w:t>
      </w:r>
    </w:p>
    <w:p>
      <w:pPr>
        <w:spacing w:before="120" w:after="12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借款单位</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逾期金额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逾期原因</w:t>
            </w:r>
          </w:p>
        </w:tc>
      </w:tr>
    </w:tbl>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其他说明：</w:t>
      </w:r>
    </w:p>
    <w:p>
      <w:pPr>
        <w:rPr>
          <w:rFonts w:ascii="Times New Roman" w:hAnsi="Times New Roman" w:cs="Times New Roman"/>
        </w:rPr>
      </w:pPr>
    </w:p>
    <w:p>
      <w:pPr>
        <w:keepNext/>
        <w:keepLines/>
        <w:spacing w:before="300" w:after="300" w:line="280" w:lineRule="exact"/>
        <w:outlineLvl w:val="3"/>
        <w:rPr>
          <w:rFonts w:ascii="Times New Roman" w:hAnsi="Times New Roman" w:eastAsia="宋体" w:cs="Times New Roman"/>
          <w:b/>
          <w:bCs/>
          <w:sz w:val="18"/>
          <w:szCs w:val="18"/>
        </w:rPr>
      </w:pPr>
      <w:bookmarkStart w:id="299" w:name="_Toc989184"/>
      <w:r>
        <w:rPr>
          <w:rFonts w:ascii="Times New Roman" w:hAnsi="Times New Roman" w:eastAsia="宋体" w:cs="Times New Roman"/>
          <w:b/>
          <w:bCs/>
          <w:sz w:val="18"/>
          <w:szCs w:val="18"/>
        </w:rPr>
        <w:t>（2） 应付股利</w:t>
      </w:r>
      <w:bookmarkEnd w:id="299"/>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期初余额</w:t>
            </w:r>
          </w:p>
        </w:tc>
      </w:tr>
    </w:tbl>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其他说明，包括重要的超过1年未支付的应付股利，应披露未支付原因：</w:t>
      </w:r>
    </w:p>
    <w:p>
      <w:pPr>
        <w:rPr>
          <w:rFonts w:ascii="Times New Roman" w:hAnsi="Times New Roman" w:cs="Times New Roman"/>
        </w:rPr>
      </w:pPr>
    </w:p>
    <w:p>
      <w:pPr>
        <w:keepNext/>
        <w:keepLines/>
        <w:spacing w:before="300" w:after="300" w:line="280" w:lineRule="exact"/>
        <w:outlineLvl w:val="3"/>
        <w:rPr>
          <w:rFonts w:ascii="Times New Roman" w:hAnsi="Times New Roman" w:eastAsia="宋体" w:cs="Times New Roman"/>
          <w:b/>
          <w:bCs/>
          <w:sz w:val="18"/>
          <w:szCs w:val="18"/>
        </w:rPr>
      </w:pPr>
      <w:bookmarkStart w:id="300" w:name="_Toc989185"/>
      <w:r>
        <w:rPr>
          <w:rFonts w:ascii="Times New Roman" w:hAnsi="Times New Roman" w:eastAsia="宋体" w:cs="Times New Roman"/>
          <w:b/>
          <w:bCs/>
          <w:sz w:val="18"/>
          <w:szCs w:val="18"/>
        </w:rPr>
        <w:t>（3） 其他应付款</w:t>
      </w:r>
      <w:bookmarkEnd w:id="300"/>
    </w:p>
    <w:p>
      <w:pPr>
        <w:keepNext/>
        <w:keepLines/>
        <w:spacing w:before="300" w:after="300" w:line="280" w:lineRule="exact"/>
        <w:outlineLvl w:val="4"/>
        <w:rPr>
          <w:rFonts w:ascii="Times New Roman" w:hAnsi="Times New Roman" w:eastAsia="宋体" w:cs="Times New Roman"/>
          <w:b/>
          <w:bCs/>
          <w:sz w:val="18"/>
          <w:szCs w:val="18"/>
        </w:rPr>
      </w:pPr>
      <w:bookmarkStart w:id="301" w:name="_Toc989186"/>
      <w:r>
        <w:rPr>
          <w:rFonts w:ascii="Times New Roman" w:hAnsi="Times New Roman" w:eastAsia="宋体" w:cs="Times New Roman"/>
          <w:b/>
          <w:bCs/>
          <w:sz w:val="18"/>
          <w:szCs w:val="18"/>
        </w:rPr>
        <w:t>1） 按款项性质列示其他应付款</w:t>
      </w:r>
      <w:bookmarkEnd w:id="301"/>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保证金、押金</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120,696,414.66</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109,956,716.19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预提费用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93,291,051.61</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92,451,458.66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应付子公司原个人股东股权收购款</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4,242,309.04</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16,453,809.04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9,674,752.01</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8,165,107.57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227,904,527.32</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227,027,091.46</w:t>
            </w:r>
          </w:p>
        </w:tc>
      </w:tr>
    </w:tbl>
    <w:p>
      <w:pPr>
        <w:keepNext/>
        <w:keepLines/>
        <w:spacing w:before="300" w:after="300" w:line="280" w:lineRule="exact"/>
        <w:outlineLvl w:val="4"/>
        <w:rPr>
          <w:rFonts w:ascii="Times New Roman" w:hAnsi="Times New Roman" w:eastAsia="宋体" w:cs="Times New Roman"/>
          <w:b/>
          <w:bCs/>
          <w:sz w:val="18"/>
          <w:szCs w:val="18"/>
        </w:rPr>
      </w:pPr>
      <w:bookmarkStart w:id="302" w:name="_Toc989187"/>
      <w:r>
        <w:rPr>
          <w:rFonts w:ascii="Times New Roman" w:hAnsi="Times New Roman" w:eastAsia="宋体" w:cs="Times New Roman"/>
          <w:b/>
          <w:bCs/>
          <w:sz w:val="18"/>
          <w:szCs w:val="18"/>
        </w:rPr>
        <w:t>2） 账龄超过1年的重要其他应付款</w:t>
      </w:r>
      <w:bookmarkEnd w:id="302"/>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未偿还或结转的原因</w:t>
            </w:r>
          </w:p>
        </w:tc>
      </w:tr>
    </w:tbl>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其他说明</w:t>
      </w:r>
    </w:p>
    <w:p>
      <w:pPr>
        <w:rPr>
          <w:rFonts w:ascii="Times New Roman" w:hAnsi="Times New Roman" w:cs="Times New Roman"/>
        </w:rPr>
      </w:pPr>
    </w:p>
    <w:p>
      <w:pPr>
        <w:pStyle w:val="3"/>
        <w:spacing w:line="280" w:lineRule="exact"/>
        <w:jc w:val="left"/>
        <w:rPr>
          <w:rFonts w:ascii="Times New Roman" w:hAnsi="Times New Roman" w:cs="Times New Roman"/>
          <w:b/>
          <w:bCs/>
        </w:rPr>
      </w:pPr>
      <w:bookmarkStart w:id="303" w:name="_Toc989188"/>
      <w:r>
        <w:rPr>
          <w:rFonts w:ascii="Times New Roman" w:hAnsi="Times New Roman" w:cs="Times New Roman"/>
          <w:b/>
          <w:bCs/>
        </w:rPr>
        <w:t>42、持有待售负债</w:t>
      </w:r>
      <w:bookmarkEnd w:id="303"/>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期初余额</w:t>
            </w:r>
          </w:p>
        </w:tc>
      </w:tr>
    </w:tbl>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其他说明</w:t>
      </w:r>
    </w:p>
    <w:p>
      <w:pPr>
        <w:rPr>
          <w:rFonts w:ascii="Times New Roman" w:hAnsi="Times New Roman" w:cs="Times New Roman"/>
        </w:rPr>
      </w:pPr>
    </w:p>
    <w:p>
      <w:pPr>
        <w:pStyle w:val="3"/>
        <w:spacing w:line="280" w:lineRule="exact"/>
        <w:jc w:val="left"/>
        <w:rPr>
          <w:rFonts w:ascii="Times New Roman" w:hAnsi="Times New Roman" w:cs="Times New Roman"/>
          <w:b/>
          <w:bCs/>
        </w:rPr>
      </w:pPr>
      <w:bookmarkStart w:id="304" w:name="_Toc989189"/>
      <w:r>
        <w:rPr>
          <w:rFonts w:ascii="Times New Roman" w:hAnsi="Times New Roman" w:cs="Times New Roman"/>
          <w:b/>
          <w:bCs/>
        </w:rPr>
        <w:t>43、一年内到期的非流动负债</w:t>
      </w:r>
      <w:bookmarkEnd w:id="304"/>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一年内到期的长期借款</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130,900,000.00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131,000,000.00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一年内到期的应付债券</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一年内到期的长期应付款</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3,499,477.59</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4,094,285.62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一年内到期的租赁负债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8,485,358.45</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10,463,132.73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一年内应付的长期借款利息</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443,921.39</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288,028.13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143,328,757.43</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145,845,446.48</w:t>
            </w:r>
          </w:p>
        </w:tc>
      </w:tr>
    </w:tbl>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其他说明：</w:t>
      </w:r>
    </w:p>
    <w:p>
      <w:pPr>
        <w:rPr>
          <w:rFonts w:ascii="Times New Roman" w:hAnsi="Times New Roman" w:cs="Times New Roman"/>
        </w:rPr>
      </w:pPr>
    </w:p>
    <w:p>
      <w:pPr>
        <w:pStyle w:val="3"/>
        <w:spacing w:line="280" w:lineRule="exact"/>
        <w:jc w:val="left"/>
        <w:rPr>
          <w:rFonts w:ascii="Times New Roman" w:hAnsi="Times New Roman" w:cs="Times New Roman"/>
          <w:b/>
          <w:bCs/>
        </w:rPr>
      </w:pPr>
      <w:bookmarkStart w:id="305" w:name="_Toc989190"/>
      <w:r>
        <w:rPr>
          <w:rFonts w:ascii="Times New Roman" w:hAnsi="Times New Roman" w:cs="Times New Roman"/>
          <w:b/>
          <w:bCs/>
        </w:rPr>
        <w:t>44、其他流动负债</w:t>
      </w:r>
      <w:bookmarkEnd w:id="305"/>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待转销项税额</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13,774,085.14</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15,948,516.17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13,774,085.14</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15,948,516.17</w:t>
            </w:r>
          </w:p>
        </w:tc>
      </w:tr>
    </w:tbl>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短期应付债券的增减变动：</w:t>
      </w:r>
    </w:p>
    <w:p>
      <w:pPr>
        <w:spacing w:before="120" w:after="12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04"/>
        <w:gridCol w:w="804"/>
        <w:gridCol w:w="804"/>
        <w:gridCol w:w="803"/>
        <w:gridCol w:w="803"/>
        <w:gridCol w:w="803"/>
        <w:gridCol w:w="803"/>
        <w:gridCol w:w="803"/>
        <w:gridCol w:w="803"/>
        <w:gridCol w:w="803"/>
        <w:gridCol w:w="803"/>
        <w:gridCol w:w="80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债券名称</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面值</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发行日期</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债券期限</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发行金额</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期初余额</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本期发行</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按面值计提利息</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溢折价摊销</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本期偿还</w:t>
            </w:r>
          </w:p>
        </w:tc>
        <w:tc>
          <w:tcPr>
            <w:tcW w:w="803"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Times New Roman"/>
                <w:sz w:val="18"/>
                <w:szCs w:val="18"/>
              </w:rPr>
            </w:pP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0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合计</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8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bl>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其他说明：</w:t>
      </w:r>
    </w:p>
    <w:p>
      <w:pPr>
        <w:rPr>
          <w:rFonts w:ascii="Times New Roman" w:hAnsi="Times New Roman" w:cs="Times New Roman"/>
        </w:rPr>
      </w:pPr>
    </w:p>
    <w:p>
      <w:pPr>
        <w:pStyle w:val="3"/>
        <w:spacing w:line="280" w:lineRule="exact"/>
        <w:jc w:val="left"/>
        <w:rPr>
          <w:rFonts w:ascii="Times New Roman" w:hAnsi="Times New Roman" w:cs="Times New Roman"/>
          <w:b/>
          <w:bCs/>
        </w:rPr>
      </w:pPr>
      <w:bookmarkStart w:id="306" w:name="_Toc989191"/>
      <w:r>
        <w:rPr>
          <w:rFonts w:ascii="Times New Roman" w:hAnsi="Times New Roman" w:cs="Times New Roman"/>
          <w:b/>
          <w:bCs/>
        </w:rPr>
        <w:t>45、长期借款</w:t>
      </w:r>
      <w:bookmarkEnd w:id="306"/>
    </w:p>
    <w:p>
      <w:pPr>
        <w:keepNext/>
        <w:keepLines/>
        <w:spacing w:before="300" w:after="300" w:line="280" w:lineRule="exact"/>
        <w:outlineLvl w:val="3"/>
        <w:rPr>
          <w:rFonts w:ascii="Times New Roman" w:hAnsi="Times New Roman" w:eastAsia="宋体" w:cs="Times New Roman"/>
          <w:b/>
          <w:bCs/>
          <w:sz w:val="18"/>
          <w:szCs w:val="18"/>
        </w:rPr>
      </w:pPr>
      <w:bookmarkStart w:id="307" w:name="_Toc989192"/>
      <w:r>
        <w:rPr>
          <w:rFonts w:ascii="Times New Roman" w:hAnsi="Times New Roman" w:eastAsia="宋体" w:cs="Times New Roman"/>
          <w:b/>
          <w:bCs/>
          <w:sz w:val="18"/>
          <w:szCs w:val="18"/>
        </w:rPr>
        <w:t>（1） 长期借款分类</w:t>
      </w:r>
      <w:bookmarkEnd w:id="307"/>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抵押借款</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241,441,297.64</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220,500,000.00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保证借款</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196,900,000.00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68,000,000.00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减： 一年内到期的长期借款</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-130,900,000.00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-131,000,000.00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307,441,297.64</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157,500,000.00</w:t>
            </w:r>
          </w:p>
        </w:tc>
      </w:tr>
    </w:tbl>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长期借款分类的说明：</w:t>
      </w:r>
    </w:p>
    <w:p>
      <w:pPr>
        <w:widowControl/>
        <w:rPr>
          <w:rFonts w:ascii="Times New Roman" w:hAnsi="Times New Roman" w:eastAsia="宋体" w:cs="Times New Roman"/>
          <w:sz w:val="18"/>
          <w:szCs w:val="18"/>
        </w:rPr>
      </w:pPr>
      <w:r>
        <w:rPr>
          <w:rFonts w:ascii="Times New Roman" w:hAnsi="Times New Roman" w:eastAsia="宋体" w:cs="Times New Roman"/>
          <w:sz w:val="18"/>
          <w:szCs w:val="18"/>
        </w:rPr>
        <w:t xml:space="preserve">抵押借款的抵押资产类别以及金额,参见附注七、81。 </w:t>
      </w: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其他说明，包括利率区间：</w:t>
      </w:r>
    </w:p>
    <w:p>
      <w:pPr>
        <w:widowControl/>
        <w:rPr>
          <w:rFonts w:ascii="Times New Roman" w:hAnsi="Times New Roman" w:eastAsia="宋体" w:cs="Times New Roman"/>
          <w:sz w:val="18"/>
          <w:szCs w:val="18"/>
        </w:rPr>
      </w:pPr>
      <w:r>
        <w:rPr>
          <w:rFonts w:ascii="Times New Roman" w:hAnsi="Times New Roman" w:eastAsia="宋体" w:cs="Times New Roman"/>
          <w:sz w:val="18"/>
          <w:szCs w:val="18"/>
        </w:rPr>
        <w:t xml:space="preserve">长期借款利率区间为年化利率 4.0%-4.7%。 </w:t>
      </w:r>
    </w:p>
    <w:p>
      <w:pPr>
        <w:pStyle w:val="3"/>
        <w:spacing w:line="280" w:lineRule="exact"/>
        <w:jc w:val="left"/>
        <w:rPr>
          <w:rFonts w:ascii="Times New Roman" w:hAnsi="Times New Roman" w:cs="Times New Roman"/>
          <w:b/>
          <w:bCs/>
        </w:rPr>
      </w:pPr>
      <w:bookmarkStart w:id="308" w:name="_Toc989193"/>
      <w:r>
        <w:rPr>
          <w:rFonts w:ascii="Times New Roman" w:hAnsi="Times New Roman" w:cs="Times New Roman"/>
          <w:b/>
          <w:bCs/>
        </w:rPr>
        <w:t>46、应付债券</w:t>
      </w:r>
      <w:bookmarkEnd w:id="308"/>
    </w:p>
    <w:p>
      <w:pPr>
        <w:keepNext/>
        <w:keepLines/>
        <w:spacing w:before="300" w:after="300" w:line="280" w:lineRule="exact"/>
        <w:outlineLvl w:val="3"/>
        <w:rPr>
          <w:rFonts w:ascii="Times New Roman" w:hAnsi="Times New Roman" w:eastAsia="宋体" w:cs="Times New Roman"/>
          <w:b/>
          <w:bCs/>
          <w:szCs w:val="21"/>
        </w:rPr>
      </w:pPr>
      <w:bookmarkStart w:id="309" w:name="_Toc989194"/>
      <w:r>
        <w:rPr>
          <w:rFonts w:ascii="Times New Roman" w:hAnsi="Times New Roman" w:eastAsia="宋体" w:cs="Times New Roman"/>
          <w:b/>
          <w:bCs/>
          <w:szCs w:val="21"/>
        </w:rPr>
        <w:t>（1） 应付债券</w:t>
      </w:r>
      <w:bookmarkEnd w:id="309"/>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可转换公司债券</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874,980,998.54</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856,507,705.96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可转换公司债券应付利息</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9,149,502.74</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4,458,118.94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884,130,501.28</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860,965,824.90</w:t>
            </w:r>
          </w:p>
        </w:tc>
      </w:tr>
    </w:tbl>
    <w:p>
      <w:pPr>
        <w:keepNext/>
        <w:keepLines/>
        <w:spacing w:before="300" w:after="300" w:line="280" w:lineRule="exact"/>
        <w:outlineLvl w:val="3"/>
        <w:rPr>
          <w:rFonts w:ascii="Times New Roman" w:hAnsi="Times New Roman" w:eastAsia="宋体" w:cs="Times New Roman"/>
          <w:b/>
          <w:bCs/>
          <w:szCs w:val="21"/>
        </w:rPr>
      </w:pPr>
      <w:bookmarkStart w:id="310" w:name="_Toc989195"/>
      <w:r>
        <w:rPr>
          <w:rFonts w:ascii="Times New Roman" w:hAnsi="Times New Roman" w:eastAsia="宋体" w:cs="Times New Roman"/>
          <w:b/>
          <w:bCs/>
          <w:szCs w:val="21"/>
        </w:rPr>
        <w:t>（2） 应付债券的增减变动（不包括划分为金融负债的优先股、永续债等其他金融工具）</w:t>
      </w:r>
      <w:bookmarkEnd w:id="310"/>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04"/>
        <w:gridCol w:w="804"/>
        <w:gridCol w:w="804"/>
        <w:gridCol w:w="803"/>
        <w:gridCol w:w="803"/>
        <w:gridCol w:w="803"/>
        <w:gridCol w:w="803"/>
        <w:gridCol w:w="803"/>
        <w:gridCol w:w="803"/>
        <w:gridCol w:w="803"/>
        <w:gridCol w:w="803"/>
        <w:gridCol w:w="80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债券名称</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面值</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发行日期</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债券期限</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发行金额</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期初余额</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本期发行</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按面值计提利息</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溢折价摊销</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本期偿还</w:t>
            </w:r>
          </w:p>
        </w:tc>
        <w:tc>
          <w:tcPr>
            <w:tcW w:w="803"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本期转股</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0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龙大转债</w:t>
            </w:r>
          </w:p>
        </w:tc>
        <w:tc>
          <w:tcPr>
            <w:tcW w:w="8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950,000,000.00</w:t>
            </w:r>
          </w:p>
        </w:tc>
        <w:tc>
          <w:tcPr>
            <w:tcW w:w="80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2020年07月13日</w:t>
            </w:r>
          </w:p>
        </w:tc>
        <w:tc>
          <w:tcPr>
            <w:tcW w:w="80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6年</w:t>
            </w:r>
          </w:p>
        </w:tc>
        <w:tc>
          <w:tcPr>
            <w:tcW w:w="8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950,000,000.00</w:t>
            </w:r>
          </w:p>
        </w:tc>
        <w:tc>
          <w:tcPr>
            <w:tcW w:w="8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860,965,824.90</w:t>
            </w:r>
          </w:p>
        </w:tc>
        <w:tc>
          <w:tcPr>
            <w:tcW w:w="8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4,691,383.80</w:t>
            </w:r>
          </w:p>
        </w:tc>
        <w:tc>
          <w:tcPr>
            <w:tcW w:w="8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-18,476,692.58</w:t>
            </w:r>
          </w:p>
        </w:tc>
        <w:tc>
          <w:tcPr>
            <w:tcW w:w="8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3,400.00</w:t>
            </w:r>
          </w:p>
        </w:tc>
        <w:tc>
          <w:tcPr>
            <w:tcW w:w="8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884,130,501.28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合计</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8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950,000,000.00</w:t>
            </w:r>
          </w:p>
        </w:tc>
        <w:tc>
          <w:tcPr>
            <w:tcW w:w="8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860,965,824.90</w:t>
            </w:r>
          </w:p>
        </w:tc>
        <w:tc>
          <w:tcPr>
            <w:tcW w:w="8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8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4,691,383.80</w:t>
            </w:r>
          </w:p>
        </w:tc>
        <w:tc>
          <w:tcPr>
            <w:tcW w:w="8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-18,476,692.58</w:t>
            </w:r>
          </w:p>
        </w:tc>
        <w:tc>
          <w:tcPr>
            <w:tcW w:w="8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8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3,400.00</w:t>
            </w:r>
          </w:p>
        </w:tc>
        <w:tc>
          <w:tcPr>
            <w:tcW w:w="8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884,130,501.28</w:t>
            </w:r>
          </w:p>
        </w:tc>
      </w:tr>
    </w:tbl>
    <w:p>
      <w:pPr>
        <w:keepNext/>
        <w:keepLines/>
        <w:spacing w:before="300" w:after="300" w:line="280" w:lineRule="exact"/>
        <w:outlineLvl w:val="3"/>
        <w:rPr>
          <w:rFonts w:ascii="Times New Roman" w:hAnsi="Times New Roman" w:eastAsia="宋体" w:cs="Times New Roman"/>
          <w:b/>
          <w:bCs/>
          <w:szCs w:val="21"/>
        </w:rPr>
      </w:pPr>
      <w:bookmarkStart w:id="311" w:name="_Toc989196"/>
      <w:r>
        <w:rPr>
          <w:rFonts w:ascii="Times New Roman" w:hAnsi="Times New Roman" w:eastAsia="宋体" w:cs="Times New Roman"/>
          <w:b/>
          <w:bCs/>
          <w:szCs w:val="21"/>
        </w:rPr>
        <w:t>（3） 可转换公司债券的转股条件、转股时间说明</w:t>
      </w:r>
      <w:bookmarkEnd w:id="311"/>
    </w:p>
    <w:p>
      <w:pPr>
        <w:pStyle w:val="8"/>
        <w:spacing w:before="0" w:beforeAutospacing="0" w:after="0" w:afterAutospacing="0" w:line="276" w:lineRule="auto"/>
        <w:ind w:firstLine="360"/>
        <w:rPr>
          <w:rFonts w:ascii="Times New Roman" w:hAnsi="Times New Roman" w:eastAsia="等线" w:cs="Times New Roman"/>
          <w:sz w:val="21"/>
          <w:szCs w:val="21"/>
        </w:rPr>
      </w:pPr>
      <w:r>
        <w:rPr>
          <w:rFonts w:ascii="Times New Roman" w:hAnsi="Times New Roman" w:cs="Times New Roman"/>
          <w:sz w:val="18"/>
          <w:szCs w:val="18"/>
        </w:rPr>
        <w:t>经证监许可</w:t>
      </w:r>
      <w:r>
        <w:rPr>
          <w:rFonts w:ascii="Times New Roman" w:hAnsi="Times New Roman" w:eastAsia="等线" w:cs="Times New Roman"/>
          <w:sz w:val="18"/>
          <w:szCs w:val="18"/>
        </w:rPr>
        <w:t>[2020]1077</w:t>
      </w:r>
      <w:r>
        <w:rPr>
          <w:rFonts w:ascii="Times New Roman" w:hAnsi="Times New Roman" w:cs="Times New Roman"/>
          <w:sz w:val="18"/>
          <w:szCs w:val="18"/>
        </w:rPr>
        <w:t>号文核准，本公司于</w:t>
      </w:r>
      <w:r>
        <w:rPr>
          <w:rFonts w:ascii="Times New Roman" w:hAnsi="Times New Roman" w:eastAsia="等线" w:cs="Times New Roman"/>
          <w:sz w:val="18"/>
          <w:szCs w:val="18"/>
        </w:rPr>
        <w:t>2020</w:t>
      </w:r>
      <w:r>
        <w:rPr>
          <w:rFonts w:ascii="Times New Roman" w:hAnsi="Times New Roman" w:cs="Times New Roman"/>
          <w:sz w:val="18"/>
          <w:szCs w:val="18"/>
        </w:rPr>
        <w:t>年</w:t>
      </w:r>
      <w:r>
        <w:rPr>
          <w:rFonts w:ascii="Times New Roman" w:hAnsi="Times New Roman" w:eastAsia="等线" w:cs="Times New Roman"/>
          <w:sz w:val="18"/>
          <w:szCs w:val="18"/>
        </w:rPr>
        <w:t>7</w:t>
      </w:r>
      <w:r>
        <w:rPr>
          <w:rFonts w:ascii="Times New Roman" w:hAnsi="Times New Roman" w:cs="Times New Roman"/>
          <w:sz w:val="18"/>
          <w:szCs w:val="18"/>
        </w:rPr>
        <w:t>月</w:t>
      </w:r>
      <w:r>
        <w:rPr>
          <w:rFonts w:ascii="Times New Roman" w:hAnsi="Times New Roman" w:eastAsia="等线" w:cs="Times New Roman"/>
          <w:sz w:val="18"/>
          <w:szCs w:val="18"/>
        </w:rPr>
        <w:t>13</w:t>
      </w:r>
      <w:r>
        <w:rPr>
          <w:rFonts w:ascii="Times New Roman" w:hAnsi="Times New Roman" w:cs="Times New Roman"/>
          <w:sz w:val="18"/>
          <w:szCs w:val="18"/>
        </w:rPr>
        <w:t>日发行票面金额为</w:t>
      </w:r>
      <w:r>
        <w:rPr>
          <w:rFonts w:ascii="Times New Roman" w:hAnsi="Times New Roman" w:eastAsia="等线" w:cs="Times New Roman"/>
          <w:sz w:val="18"/>
          <w:szCs w:val="18"/>
        </w:rPr>
        <w:t>100</w:t>
      </w:r>
      <w:r>
        <w:rPr>
          <w:rFonts w:ascii="Times New Roman" w:hAnsi="Times New Roman" w:cs="Times New Roman"/>
          <w:sz w:val="18"/>
          <w:szCs w:val="18"/>
        </w:rPr>
        <w:t>元的可转换债券</w:t>
      </w:r>
      <w:r>
        <w:rPr>
          <w:rFonts w:ascii="Times New Roman" w:hAnsi="Times New Roman" w:eastAsia="等线" w:cs="Times New Roman"/>
          <w:sz w:val="18"/>
          <w:szCs w:val="18"/>
        </w:rPr>
        <w:t>9,500,000</w:t>
      </w:r>
      <w:r>
        <w:rPr>
          <w:rFonts w:ascii="Times New Roman" w:hAnsi="Times New Roman" w:cs="Times New Roman"/>
          <w:sz w:val="18"/>
          <w:szCs w:val="18"/>
        </w:rPr>
        <w:t>张。债券票面年利率第一年</w:t>
      </w:r>
      <w:r>
        <w:rPr>
          <w:rFonts w:ascii="Times New Roman" w:hAnsi="Times New Roman" w:eastAsia="等线" w:cs="Times New Roman"/>
          <w:sz w:val="18"/>
          <w:szCs w:val="18"/>
        </w:rPr>
        <w:t>0.30%</w:t>
      </w:r>
      <w:r>
        <w:rPr>
          <w:rFonts w:ascii="Times New Roman" w:hAnsi="Times New Roman" w:cs="Times New Roman"/>
          <w:sz w:val="18"/>
          <w:szCs w:val="18"/>
        </w:rPr>
        <w:t>、第二年</w:t>
      </w:r>
      <w:r>
        <w:rPr>
          <w:rFonts w:ascii="Times New Roman" w:hAnsi="Times New Roman" w:eastAsia="等线" w:cs="Times New Roman"/>
          <w:sz w:val="18"/>
          <w:szCs w:val="18"/>
        </w:rPr>
        <w:t>0.60%</w:t>
      </w:r>
      <w:r>
        <w:rPr>
          <w:rFonts w:ascii="Times New Roman" w:hAnsi="Times New Roman" w:cs="Times New Roman"/>
          <w:sz w:val="18"/>
          <w:szCs w:val="18"/>
        </w:rPr>
        <w:t>、第三年</w:t>
      </w:r>
      <w:r>
        <w:rPr>
          <w:rFonts w:ascii="Times New Roman" w:hAnsi="Times New Roman" w:eastAsia="等线" w:cs="Times New Roman"/>
          <w:sz w:val="18"/>
          <w:szCs w:val="18"/>
        </w:rPr>
        <w:t>1.00%</w:t>
      </w:r>
      <w:r>
        <w:rPr>
          <w:rFonts w:ascii="Times New Roman" w:hAnsi="Times New Roman" w:cs="Times New Roman"/>
          <w:sz w:val="18"/>
          <w:szCs w:val="18"/>
        </w:rPr>
        <w:t>、第四年</w:t>
      </w:r>
      <w:r>
        <w:rPr>
          <w:rFonts w:ascii="Times New Roman" w:hAnsi="Times New Roman" w:eastAsia="等线" w:cs="Times New Roman"/>
          <w:sz w:val="18"/>
          <w:szCs w:val="18"/>
        </w:rPr>
        <w:t>1.50%</w:t>
      </w:r>
      <w:r>
        <w:rPr>
          <w:rFonts w:ascii="Times New Roman" w:hAnsi="Times New Roman" w:cs="Times New Roman"/>
          <w:sz w:val="18"/>
          <w:szCs w:val="18"/>
        </w:rPr>
        <w:t>、第五年</w:t>
      </w:r>
      <w:r>
        <w:rPr>
          <w:rFonts w:ascii="Times New Roman" w:hAnsi="Times New Roman" w:eastAsia="等线" w:cs="Times New Roman"/>
          <w:sz w:val="18"/>
          <w:szCs w:val="18"/>
        </w:rPr>
        <w:t>1.80%</w:t>
      </w:r>
      <w:r>
        <w:rPr>
          <w:rFonts w:ascii="Times New Roman" w:hAnsi="Times New Roman" w:cs="Times New Roman"/>
          <w:sz w:val="18"/>
          <w:szCs w:val="18"/>
        </w:rPr>
        <w:t>、第六年</w:t>
      </w:r>
      <w:r>
        <w:rPr>
          <w:rFonts w:ascii="Times New Roman" w:hAnsi="Times New Roman" w:eastAsia="等线" w:cs="Times New Roman"/>
          <w:sz w:val="18"/>
          <w:szCs w:val="18"/>
        </w:rPr>
        <w:t>2.00%</w:t>
      </w:r>
      <w:r>
        <w:rPr>
          <w:rFonts w:ascii="Times New Roman" w:hAnsi="Times New Roman" w:cs="Times New Roman"/>
          <w:sz w:val="18"/>
          <w:szCs w:val="18"/>
        </w:rPr>
        <w:t>，每年的付息日为本次发行的可转债发行首日起每满一年的当日，如该日为法定节假日或休息日，则顺延至下一个交易日，顺延期间不另付息。每相邻的两个付息日之间为一个计息年度。每年的付息债权登记日为每年付息日的前一交易日，公司将在每年付息日之后的五个交易日内支付当年利息，到期一次归还本金。</w:t>
      </w:r>
    </w:p>
    <w:p>
      <w:pPr>
        <w:pStyle w:val="8"/>
        <w:spacing w:before="0" w:beforeAutospacing="0" w:after="0" w:afterAutospacing="0" w:line="276" w:lineRule="auto"/>
        <w:ind w:firstLine="360"/>
        <w:rPr>
          <w:rFonts w:ascii="Times New Roman" w:hAnsi="Times New Roman" w:eastAsia="等线" w:cs="Times New Roman"/>
          <w:sz w:val="21"/>
          <w:szCs w:val="21"/>
        </w:rPr>
      </w:pPr>
      <w:r>
        <w:rPr>
          <w:rFonts w:ascii="Times New Roman" w:hAnsi="Times New Roman" w:cs="Times New Roman"/>
          <w:sz w:val="18"/>
          <w:szCs w:val="18"/>
        </w:rPr>
        <w:t>本次发行可转债的初始转股价格为</w:t>
      </w:r>
      <w:r>
        <w:rPr>
          <w:rFonts w:ascii="Times New Roman" w:hAnsi="Times New Roman" w:eastAsia="等线" w:cs="Times New Roman"/>
          <w:sz w:val="18"/>
          <w:szCs w:val="18"/>
        </w:rPr>
        <w:t>9.56</w:t>
      </w:r>
      <w:r>
        <w:rPr>
          <w:rFonts w:ascii="Times New Roman" w:hAnsi="Times New Roman" w:cs="Times New Roman"/>
          <w:sz w:val="18"/>
          <w:szCs w:val="18"/>
        </w:rPr>
        <w:t>元</w:t>
      </w:r>
      <w:r>
        <w:rPr>
          <w:rFonts w:ascii="Times New Roman" w:hAnsi="Times New Roman" w:eastAsia="等线" w:cs="Times New Roman"/>
          <w:sz w:val="18"/>
          <w:szCs w:val="18"/>
        </w:rPr>
        <w:t>/</w:t>
      </w:r>
      <w:r>
        <w:rPr>
          <w:rFonts w:ascii="Times New Roman" w:hAnsi="Times New Roman" w:cs="Times New Roman"/>
          <w:sz w:val="18"/>
          <w:szCs w:val="18"/>
        </w:rPr>
        <w:t>股，在本次发行之后，当公司因派送股票股利、转增股本、增发新股或配股、派送现金股利等情况（不包括因本次发行的可转债转股而增加的股本）使公司股份发生变化时，将依次对转股价格进行相应调整。</w:t>
      </w:r>
    </w:p>
    <w:p>
      <w:pPr>
        <w:pStyle w:val="8"/>
        <w:spacing w:before="0" w:beforeAutospacing="0" w:after="0" w:afterAutospacing="0" w:line="276" w:lineRule="auto"/>
        <w:ind w:firstLine="360"/>
        <w:rPr>
          <w:rFonts w:ascii="Times New Roman" w:hAnsi="Times New Roman" w:eastAsia="等线" w:cs="Times New Roman"/>
          <w:sz w:val="21"/>
          <w:szCs w:val="21"/>
        </w:rPr>
      </w:pPr>
      <w:r>
        <w:rPr>
          <w:rFonts w:ascii="Times New Roman" w:hAnsi="Times New Roman" w:cs="Times New Roman"/>
          <w:sz w:val="18"/>
          <w:szCs w:val="18"/>
        </w:rPr>
        <w:t>公司于</w:t>
      </w:r>
      <w:r>
        <w:rPr>
          <w:rFonts w:ascii="Times New Roman" w:hAnsi="Times New Roman" w:eastAsia="等线" w:cs="Times New Roman"/>
          <w:sz w:val="18"/>
          <w:szCs w:val="18"/>
        </w:rPr>
        <w:t>2020</w:t>
      </w:r>
      <w:r>
        <w:rPr>
          <w:rFonts w:ascii="Times New Roman" w:hAnsi="Times New Roman" w:cs="Times New Roman"/>
          <w:sz w:val="18"/>
          <w:szCs w:val="18"/>
        </w:rPr>
        <w:t>年</w:t>
      </w:r>
      <w:r>
        <w:rPr>
          <w:rFonts w:ascii="Times New Roman" w:hAnsi="Times New Roman" w:eastAsia="等线" w:cs="Times New Roman"/>
          <w:sz w:val="18"/>
          <w:szCs w:val="18"/>
        </w:rPr>
        <w:t>12</w:t>
      </w:r>
      <w:r>
        <w:rPr>
          <w:rFonts w:ascii="Times New Roman" w:hAnsi="Times New Roman" w:cs="Times New Roman"/>
          <w:sz w:val="18"/>
          <w:szCs w:val="18"/>
        </w:rPr>
        <w:t>月</w:t>
      </w:r>
      <w:r>
        <w:rPr>
          <w:rFonts w:ascii="Times New Roman" w:hAnsi="Times New Roman" w:eastAsia="等线" w:cs="Times New Roman"/>
          <w:sz w:val="18"/>
          <w:szCs w:val="18"/>
        </w:rPr>
        <w:t>11</w:t>
      </w:r>
      <w:r>
        <w:rPr>
          <w:rFonts w:ascii="Times New Roman" w:hAnsi="Times New Roman" w:cs="Times New Roman"/>
          <w:sz w:val="18"/>
          <w:szCs w:val="18"/>
        </w:rPr>
        <w:t>日在中国证券登记结算有限责任公司深圳分公司办理完成了</w:t>
      </w:r>
      <w:r>
        <w:rPr>
          <w:rFonts w:ascii="Times New Roman" w:hAnsi="Times New Roman" w:eastAsia="等线" w:cs="Times New Roman"/>
          <w:sz w:val="18"/>
          <w:szCs w:val="18"/>
        </w:rPr>
        <w:t>3</w:t>
      </w:r>
      <w:r>
        <w:rPr>
          <w:rFonts w:ascii="Times New Roman" w:hAnsi="Times New Roman" w:cs="Times New Roman"/>
          <w:sz w:val="18"/>
          <w:szCs w:val="18"/>
        </w:rPr>
        <w:t>名股权激励对象限制性股票的回购注销事宜，公司总股本由</w:t>
      </w:r>
      <w:r>
        <w:rPr>
          <w:rFonts w:ascii="Times New Roman" w:hAnsi="Times New Roman" w:eastAsia="等线" w:cs="Times New Roman"/>
          <w:sz w:val="18"/>
          <w:szCs w:val="18"/>
        </w:rPr>
        <w:t>998,288,980</w:t>
      </w:r>
      <w:r>
        <w:rPr>
          <w:rFonts w:ascii="Times New Roman" w:hAnsi="Times New Roman" w:cs="Times New Roman"/>
          <w:sz w:val="18"/>
          <w:szCs w:val="18"/>
        </w:rPr>
        <w:t>股变更为</w:t>
      </w:r>
      <w:r>
        <w:rPr>
          <w:rFonts w:ascii="Times New Roman" w:hAnsi="Times New Roman" w:eastAsia="等线" w:cs="Times New Roman"/>
          <w:sz w:val="18"/>
          <w:szCs w:val="18"/>
        </w:rPr>
        <w:t>995,938,580</w:t>
      </w:r>
      <w:r>
        <w:rPr>
          <w:rFonts w:ascii="Times New Roman" w:hAnsi="Times New Roman" w:cs="Times New Roman"/>
          <w:sz w:val="18"/>
          <w:szCs w:val="18"/>
        </w:rPr>
        <w:t>股，共计</w:t>
      </w:r>
      <w:r>
        <w:rPr>
          <w:rFonts w:ascii="Times New Roman" w:hAnsi="Times New Roman" w:eastAsia="等线" w:cs="Times New Roman"/>
          <w:sz w:val="18"/>
          <w:szCs w:val="18"/>
        </w:rPr>
        <w:t>2,350,400</w:t>
      </w:r>
      <w:r>
        <w:rPr>
          <w:rFonts w:ascii="Times New Roman" w:hAnsi="Times New Roman" w:cs="Times New Roman"/>
          <w:sz w:val="18"/>
          <w:szCs w:val="18"/>
        </w:rPr>
        <w:t>股限制性股票回购注销完成。根据公司可转换公司债券转股价格调整的相关条款，“龙大转债”的转股价格作相应调整：调整前“龙大转债”转股价格为</w:t>
      </w:r>
      <w:r>
        <w:rPr>
          <w:rFonts w:ascii="Times New Roman" w:hAnsi="Times New Roman" w:eastAsia="等线" w:cs="Times New Roman"/>
          <w:sz w:val="18"/>
          <w:szCs w:val="18"/>
        </w:rPr>
        <w:t>9.56</w:t>
      </w:r>
      <w:r>
        <w:rPr>
          <w:rFonts w:ascii="Times New Roman" w:hAnsi="Times New Roman" w:cs="Times New Roman"/>
          <w:sz w:val="18"/>
          <w:szCs w:val="18"/>
        </w:rPr>
        <w:t>元</w:t>
      </w:r>
      <w:r>
        <w:rPr>
          <w:rFonts w:ascii="Times New Roman" w:hAnsi="Times New Roman" w:eastAsia="等线" w:cs="Times New Roman"/>
          <w:sz w:val="18"/>
          <w:szCs w:val="18"/>
        </w:rPr>
        <w:t>/</w:t>
      </w:r>
      <w:r>
        <w:rPr>
          <w:rFonts w:ascii="Times New Roman" w:hAnsi="Times New Roman" w:cs="Times New Roman"/>
          <w:sz w:val="18"/>
          <w:szCs w:val="18"/>
        </w:rPr>
        <w:t>股，调整后转股价格为</w:t>
      </w:r>
      <w:r>
        <w:rPr>
          <w:rFonts w:ascii="Times New Roman" w:hAnsi="Times New Roman" w:eastAsia="等线" w:cs="Times New Roman"/>
          <w:sz w:val="18"/>
          <w:szCs w:val="18"/>
        </w:rPr>
        <w:t>9.57</w:t>
      </w:r>
      <w:r>
        <w:rPr>
          <w:rFonts w:ascii="Times New Roman" w:hAnsi="Times New Roman" w:cs="Times New Roman"/>
          <w:sz w:val="18"/>
          <w:szCs w:val="18"/>
        </w:rPr>
        <w:t>元</w:t>
      </w:r>
      <w:r>
        <w:rPr>
          <w:rFonts w:ascii="Times New Roman" w:hAnsi="Times New Roman" w:eastAsia="等线" w:cs="Times New Roman"/>
          <w:sz w:val="18"/>
          <w:szCs w:val="18"/>
        </w:rPr>
        <w:t>/</w:t>
      </w:r>
      <w:r>
        <w:rPr>
          <w:rFonts w:ascii="Times New Roman" w:hAnsi="Times New Roman" w:cs="Times New Roman"/>
          <w:sz w:val="18"/>
          <w:szCs w:val="18"/>
        </w:rPr>
        <w:t>股。调整后的转股价格自</w:t>
      </w:r>
      <w:r>
        <w:rPr>
          <w:rFonts w:ascii="Times New Roman" w:hAnsi="Times New Roman" w:eastAsia="等线" w:cs="Times New Roman"/>
          <w:sz w:val="18"/>
          <w:szCs w:val="18"/>
        </w:rPr>
        <w:t>2020</w:t>
      </w:r>
      <w:r>
        <w:rPr>
          <w:rFonts w:ascii="Times New Roman" w:hAnsi="Times New Roman" w:cs="Times New Roman"/>
          <w:sz w:val="18"/>
          <w:szCs w:val="18"/>
        </w:rPr>
        <w:t>年</w:t>
      </w:r>
      <w:r>
        <w:rPr>
          <w:rFonts w:ascii="Times New Roman" w:hAnsi="Times New Roman" w:eastAsia="等线" w:cs="Times New Roman"/>
          <w:sz w:val="18"/>
          <w:szCs w:val="18"/>
        </w:rPr>
        <w:t>12</w:t>
      </w:r>
      <w:r>
        <w:rPr>
          <w:rFonts w:ascii="Times New Roman" w:hAnsi="Times New Roman" w:cs="Times New Roman"/>
          <w:sz w:val="18"/>
          <w:szCs w:val="18"/>
        </w:rPr>
        <w:t>月</w:t>
      </w:r>
      <w:r>
        <w:rPr>
          <w:rFonts w:ascii="Times New Roman" w:hAnsi="Times New Roman" w:eastAsia="等线" w:cs="Times New Roman"/>
          <w:sz w:val="18"/>
          <w:szCs w:val="18"/>
        </w:rPr>
        <w:t>14</w:t>
      </w:r>
      <w:r>
        <w:rPr>
          <w:rFonts w:ascii="Times New Roman" w:hAnsi="Times New Roman" w:cs="Times New Roman"/>
          <w:sz w:val="18"/>
          <w:szCs w:val="18"/>
        </w:rPr>
        <w:t>日起生效。</w:t>
      </w:r>
    </w:p>
    <w:p>
      <w:pPr>
        <w:pStyle w:val="8"/>
        <w:spacing w:before="0" w:beforeAutospacing="0" w:after="0" w:afterAutospacing="0" w:line="276" w:lineRule="auto"/>
        <w:ind w:firstLine="360"/>
        <w:rPr>
          <w:rFonts w:ascii="Times New Roman" w:hAnsi="Times New Roman" w:eastAsia="等线" w:cs="Times New Roman"/>
          <w:sz w:val="21"/>
          <w:szCs w:val="21"/>
        </w:rPr>
      </w:pPr>
      <w:r>
        <w:rPr>
          <w:rFonts w:ascii="Times New Roman" w:hAnsi="Times New Roman" w:eastAsia="等线" w:cs="Times New Roman"/>
          <w:sz w:val="18"/>
          <w:szCs w:val="18"/>
        </w:rPr>
        <w:t>2021</w:t>
      </w:r>
      <w:r>
        <w:rPr>
          <w:rFonts w:ascii="Times New Roman" w:hAnsi="Times New Roman" w:cs="Times New Roman"/>
          <w:sz w:val="18"/>
          <w:szCs w:val="18"/>
        </w:rPr>
        <w:t>年</w:t>
      </w:r>
      <w:r>
        <w:rPr>
          <w:rFonts w:ascii="Times New Roman" w:hAnsi="Times New Roman" w:eastAsia="等线" w:cs="Times New Roman"/>
          <w:sz w:val="18"/>
          <w:szCs w:val="18"/>
        </w:rPr>
        <w:t>4</w:t>
      </w:r>
      <w:r>
        <w:rPr>
          <w:rFonts w:ascii="Times New Roman" w:hAnsi="Times New Roman" w:cs="Times New Roman"/>
          <w:sz w:val="18"/>
          <w:szCs w:val="18"/>
        </w:rPr>
        <w:t>月</w:t>
      </w:r>
      <w:r>
        <w:rPr>
          <w:rFonts w:ascii="Times New Roman" w:hAnsi="Times New Roman" w:eastAsia="等线" w:cs="Times New Roman"/>
          <w:sz w:val="18"/>
          <w:szCs w:val="18"/>
        </w:rPr>
        <w:t>30</w:t>
      </w:r>
      <w:r>
        <w:rPr>
          <w:rFonts w:ascii="Times New Roman" w:hAnsi="Times New Roman" w:cs="Times New Roman"/>
          <w:sz w:val="18"/>
          <w:szCs w:val="18"/>
        </w:rPr>
        <w:t>日，公司实施完成了</w:t>
      </w:r>
      <w:r>
        <w:rPr>
          <w:rFonts w:ascii="Times New Roman" w:hAnsi="Times New Roman" w:eastAsia="等线" w:cs="Times New Roman"/>
          <w:sz w:val="18"/>
          <w:szCs w:val="18"/>
        </w:rPr>
        <w:t>2020</w:t>
      </w:r>
      <w:r>
        <w:rPr>
          <w:rFonts w:ascii="Times New Roman" w:hAnsi="Times New Roman" w:cs="Times New Roman"/>
          <w:sz w:val="18"/>
          <w:szCs w:val="18"/>
        </w:rPr>
        <w:t>年度权益分派方案。根据公司可转换公司债券转股价格调整的相关条款，“龙大转债”的转股价格由</w:t>
      </w:r>
      <w:r>
        <w:rPr>
          <w:rFonts w:ascii="Times New Roman" w:hAnsi="Times New Roman" w:eastAsia="等线" w:cs="Times New Roman"/>
          <w:sz w:val="18"/>
          <w:szCs w:val="18"/>
        </w:rPr>
        <w:t>9.57</w:t>
      </w:r>
      <w:r>
        <w:rPr>
          <w:rFonts w:ascii="Times New Roman" w:hAnsi="Times New Roman" w:cs="Times New Roman"/>
          <w:sz w:val="18"/>
          <w:szCs w:val="18"/>
        </w:rPr>
        <w:t>元</w:t>
      </w:r>
      <w:r>
        <w:rPr>
          <w:rFonts w:ascii="Times New Roman" w:hAnsi="Times New Roman" w:eastAsia="等线" w:cs="Times New Roman"/>
          <w:sz w:val="18"/>
          <w:szCs w:val="18"/>
        </w:rPr>
        <w:t>/</w:t>
      </w:r>
      <w:r>
        <w:rPr>
          <w:rFonts w:ascii="Times New Roman" w:hAnsi="Times New Roman" w:cs="Times New Roman"/>
          <w:sz w:val="18"/>
          <w:szCs w:val="18"/>
        </w:rPr>
        <w:t>股调整为</w:t>
      </w:r>
      <w:r>
        <w:rPr>
          <w:rFonts w:ascii="Times New Roman" w:hAnsi="Times New Roman" w:eastAsia="等线" w:cs="Times New Roman"/>
          <w:sz w:val="18"/>
          <w:szCs w:val="18"/>
        </w:rPr>
        <w:t>9.38</w:t>
      </w:r>
      <w:r>
        <w:rPr>
          <w:rFonts w:ascii="Times New Roman" w:hAnsi="Times New Roman" w:cs="Times New Roman"/>
          <w:sz w:val="18"/>
          <w:szCs w:val="18"/>
        </w:rPr>
        <w:t>元</w:t>
      </w:r>
      <w:r>
        <w:rPr>
          <w:rFonts w:ascii="Times New Roman" w:hAnsi="Times New Roman" w:eastAsia="等线" w:cs="Times New Roman"/>
          <w:sz w:val="18"/>
          <w:szCs w:val="18"/>
        </w:rPr>
        <w:t>/</w:t>
      </w:r>
      <w:r>
        <w:rPr>
          <w:rFonts w:ascii="Times New Roman" w:hAnsi="Times New Roman" w:cs="Times New Roman"/>
          <w:sz w:val="18"/>
          <w:szCs w:val="18"/>
        </w:rPr>
        <w:t>股。调整后的转股价格自</w:t>
      </w:r>
      <w:r>
        <w:rPr>
          <w:rFonts w:ascii="Times New Roman" w:hAnsi="Times New Roman" w:eastAsia="等线" w:cs="Times New Roman"/>
          <w:sz w:val="18"/>
          <w:szCs w:val="18"/>
        </w:rPr>
        <w:t>2021</w:t>
      </w:r>
      <w:r>
        <w:rPr>
          <w:rFonts w:ascii="Times New Roman" w:hAnsi="Times New Roman" w:cs="Times New Roman"/>
          <w:sz w:val="18"/>
          <w:szCs w:val="18"/>
        </w:rPr>
        <w:t>年</w:t>
      </w:r>
      <w:r>
        <w:rPr>
          <w:rFonts w:ascii="Times New Roman" w:hAnsi="Times New Roman" w:eastAsia="等线" w:cs="Times New Roman"/>
          <w:sz w:val="18"/>
          <w:szCs w:val="18"/>
        </w:rPr>
        <w:t>4</w:t>
      </w:r>
      <w:r>
        <w:rPr>
          <w:rFonts w:ascii="Times New Roman" w:hAnsi="Times New Roman" w:cs="Times New Roman"/>
          <w:sz w:val="18"/>
          <w:szCs w:val="18"/>
        </w:rPr>
        <w:t>月</w:t>
      </w:r>
      <w:r>
        <w:rPr>
          <w:rFonts w:ascii="Times New Roman" w:hAnsi="Times New Roman" w:eastAsia="等线" w:cs="Times New Roman"/>
          <w:sz w:val="18"/>
          <w:szCs w:val="18"/>
        </w:rPr>
        <w:t>30</w:t>
      </w:r>
      <w:r>
        <w:rPr>
          <w:rFonts w:ascii="Times New Roman" w:hAnsi="Times New Roman" w:cs="Times New Roman"/>
          <w:sz w:val="18"/>
          <w:szCs w:val="18"/>
        </w:rPr>
        <w:t>日起生效。</w:t>
      </w:r>
    </w:p>
    <w:p>
      <w:pPr>
        <w:pStyle w:val="8"/>
        <w:spacing w:before="0" w:beforeAutospacing="0" w:after="0" w:afterAutospacing="0" w:line="276" w:lineRule="auto"/>
        <w:ind w:firstLine="360"/>
        <w:rPr>
          <w:rFonts w:ascii="Times New Roman" w:hAnsi="Times New Roman" w:eastAsia="等线" w:cs="Times New Roman"/>
          <w:sz w:val="21"/>
          <w:szCs w:val="21"/>
        </w:rPr>
      </w:pPr>
      <w:r>
        <w:rPr>
          <w:rFonts w:ascii="Times New Roman" w:hAnsi="Times New Roman" w:cs="Times New Roman"/>
          <w:sz w:val="18"/>
          <w:szCs w:val="18"/>
        </w:rPr>
        <w:t>自前次转股价格调整日</w:t>
      </w:r>
      <w:r>
        <w:rPr>
          <w:rFonts w:ascii="Times New Roman" w:hAnsi="Times New Roman" w:eastAsia="等线" w:cs="Times New Roman"/>
          <w:sz w:val="18"/>
          <w:szCs w:val="18"/>
        </w:rPr>
        <w:t>2021</w:t>
      </w:r>
      <w:r>
        <w:rPr>
          <w:rFonts w:ascii="Times New Roman" w:hAnsi="Times New Roman" w:cs="Times New Roman"/>
          <w:sz w:val="18"/>
          <w:szCs w:val="18"/>
        </w:rPr>
        <w:t>年</w:t>
      </w:r>
      <w:r>
        <w:rPr>
          <w:rFonts w:ascii="Times New Roman" w:hAnsi="Times New Roman" w:eastAsia="等线" w:cs="Times New Roman"/>
          <w:sz w:val="18"/>
          <w:szCs w:val="18"/>
        </w:rPr>
        <w:t>4</w:t>
      </w:r>
      <w:r>
        <w:rPr>
          <w:rFonts w:ascii="Times New Roman" w:hAnsi="Times New Roman" w:cs="Times New Roman"/>
          <w:sz w:val="18"/>
          <w:szCs w:val="18"/>
        </w:rPr>
        <w:t>月</w:t>
      </w:r>
      <w:r>
        <w:rPr>
          <w:rFonts w:ascii="Times New Roman" w:hAnsi="Times New Roman" w:eastAsia="等线" w:cs="Times New Roman"/>
          <w:sz w:val="18"/>
          <w:szCs w:val="18"/>
        </w:rPr>
        <w:t>30</w:t>
      </w:r>
      <w:r>
        <w:rPr>
          <w:rFonts w:ascii="Times New Roman" w:hAnsi="Times New Roman" w:cs="Times New Roman"/>
          <w:sz w:val="18"/>
          <w:szCs w:val="18"/>
        </w:rPr>
        <w:t>日起至</w:t>
      </w:r>
      <w:r>
        <w:rPr>
          <w:rFonts w:ascii="Times New Roman" w:hAnsi="Times New Roman" w:eastAsia="等线" w:cs="Times New Roman"/>
          <w:sz w:val="18"/>
          <w:szCs w:val="18"/>
        </w:rPr>
        <w:t>2021</w:t>
      </w:r>
      <w:r>
        <w:rPr>
          <w:rFonts w:ascii="Times New Roman" w:hAnsi="Times New Roman" w:cs="Times New Roman"/>
          <w:sz w:val="18"/>
          <w:szCs w:val="18"/>
        </w:rPr>
        <w:t>年</w:t>
      </w:r>
      <w:r>
        <w:rPr>
          <w:rFonts w:ascii="Times New Roman" w:hAnsi="Times New Roman" w:eastAsia="等线" w:cs="Times New Roman"/>
          <w:sz w:val="18"/>
          <w:szCs w:val="18"/>
        </w:rPr>
        <w:t>8</w:t>
      </w:r>
      <w:r>
        <w:rPr>
          <w:rFonts w:ascii="Times New Roman" w:hAnsi="Times New Roman" w:cs="Times New Roman"/>
          <w:sz w:val="18"/>
          <w:szCs w:val="18"/>
        </w:rPr>
        <w:t>月</w:t>
      </w:r>
      <w:r>
        <w:rPr>
          <w:rFonts w:ascii="Times New Roman" w:hAnsi="Times New Roman" w:eastAsia="等线" w:cs="Times New Roman"/>
          <w:sz w:val="18"/>
          <w:szCs w:val="18"/>
        </w:rPr>
        <w:t>2</w:t>
      </w:r>
      <w:r>
        <w:rPr>
          <w:rFonts w:ascii="Times New Roman" w:hAnsi="Times New Roman" w:cs="Times New Roman"/>
          <w:sz w:val="18"/>
          <w:szCs w:val="18"/>
        </w:rPr>
        <w:t>日，公司总股本因激励对象自主行权以及公司非公开发行股票上市成功发生变化，根据公司可转换公司债券转股价格调整的相关条款，“龙大转债”的转股价由</w:t>
      </w:r>
      <w:r>
        <w:rPr>
          <w:rFonts w:ascii="Times New Roman" w:hAnsi="Times New Roman" w:eastAsia="等线" w:cs="Times New Roman"/>
          <w:sz w:val="18"/>
          <w:szCs w:val="18"/>
        </w:rPr>
        <w:t>9.38</w:t>
      </w:r>
      <w:r>
        <w:rPr>
          <w:rFonts w:ascii="Times New Roman" w:hAnsi="Times New Roman" w:cs="Times New Roman"/>
          <w:sz w:val="18"/>
          <w:szCs w:val="18"/>
        </w:rPr>
        <w:t>元</w:t>
      </w:r>
      <w:r>
        <w:rPr>
          <w:rFonts w:ascii="Times New Roman" w:hAnsi="Times New Roman" w:eastAsia="等线" w:cs="Times New Roman"/>
          <w:sz w:val="18"/>
          <w:szCs w:val="18"/>
        </w:rPr>
        <w:t>/</w:t>
      </w:r>
      <w:r>
        <w:rPr>
          <w:rFonts w:ascii="Times New Roman" w:hAnsi="Times New Roman" w:cs="Times New Roman"/>
          <w:sz w:val="18"/>
          <w:szCs w:val="18"/>
        </w:rPr>
        <w:t>股调整为</w:t>
      </w:r>
      <w:r>
        <w:rPr>
          <w:rFonts w:ascii="Times New Roman" w:hAnsi="Times New Roman" w:eastAsia="等线" w:cs="Times New Roman"/>
          <w:sz w:val="18"/>
          <w:szCs w:val="18"/>
        </w:rPr>
        <w:t>9.29</w:t>
      </w:r>
      <w:r>
        <w:rPr>
          <w:rFonts w:ascii="Times New Roman" w:hAnsi="Times New Roman" w:cs="Times New Roman"/>
          <w:sz w:val="18"/>
          <w:szCs w:val="18"/>
        </w:rPr>
        <w:t>元</w:t>
      </w:r>
      <w:r>
        <w:rPr>
          <w:rFonts w:ascii="Times New Roman" w:hAnsi="Times New Roman" w:eastAsia="等线" w:cs="Times New Roman"/>
          <w:sz w:val="18"/>
          <w:szCs w:val="18"/>
        </w:rPr>
        <w:t>/</w:t>
      </w:r>
      <w:r>
        <w:rPr>
          <w:rFonts w:ascii="Times New Roman" w:hAnsi="Times New Roman" w:cs="Times New Roman"/>
          <w:sz w:val="18"/>
          <w:szCs w:val="18"/>
        </w:rPr>
        <w:t>股。调整后的转股价格自</w:t>
      </w:r>
      <w:r>
        <w:rPr>
          <w:rFonts w:ascii="Times New Roman" w:hAnsi="Times New Roman" w:eastAsia="等线" w:cs="Times New Roman"/>
          <w:sz w:val="18"/>
          <w:szCs w:val="18"/>
        </w:rPr>
        <w:t>2021</w:t>
      </w:r>
      <w:r>
        <w:rPr>
          <w:rFonts w:ascii="Times New Roman" w:hAnsi="Times New Roman" w:cs="Times New Roman"/>
          <w:sz w:val="18"/>
          <w:szCs w:val="18"/>
        </w:rPr>
        <w:t>年</w:t>
      </w:r>
      <w:r>
        <w:rPr>
          <w:rFonts w:ascii="Times New Roman" w:hAnsi="Times New Roman" w:eastAsia="等线" w:cs="Times New Roman"/>
          <w:sz w:val="18"/>
          <w:szCs w:val="18"/>
        </w:rPr>
        <w:t>8</w:t>
      </w:r>
      <w:r>
        <w:rPr>
          <w:rFonts w:ascii="Times New Roman" w:hAnsi="Times New Roman" w:cs="Times New Roman"/>
          <w:sz w:val="18"/>
          <w:szCs w:val="18"/>
        </w:rPr>
        <w:t>月</w:t>
      </w:r>
      <w:r>
        <w:rPr>
          <w:rFonts w:ascii="Times New Roman" w:hAnsi="Times New Roman" w:eastAsia="等线" w:cs="Times New Roman"/>
          <w:sz w:val="18"/>
          <w:szCs w:val="18"/>
        </w:rPr>
        <w:t>12</w:t>
      </w:r>
      <w:r>
        <w:rPr>
          <w:rFonts w:ascii="Times New Roman" w:hAnsi="Times New Roman" w:cs="Times New Roman"/>
          <w:sz w:val="18"/>
          <w:szCs w:val="18"/>
        </w:rPr>
        <w:t>日起生效。</w:t>
      </w:r>
    </w:p>
    <w:p>
      <w:pPr>
        <w:pStyle w:val="8"/>
        <w:spacing w:before="0" w:beforeAutospacing="0" w:after="0" w:afterAutospacing="0" w:line="276" w:lineRule="auto"/>
        <w:ind w:firstLine="360"/>
        <w:rPr>
          <w:rFonts w:ascii="Times New Roman" w:hAnsi="Times New Roman" w:eastAsia="等线" w:cs="Times New Roman"/>
          <w:sz w:val="21"/>
          <w:szCs w:val="21"/>
        </w:rPr>
      </w:pPr>
      <w:r>
        <w:rPr>
          <w:rFonts w:ascii="Times New Roman" w:hAnsi="Times New Roman" w:eastAsia="等线" w:cs="Times New Roman"/>
          <w:sz w:val="18"/>
          <w:szCs w:val="18"/>
        </w:rPr>
        <w:t>2022</w:t>
      </w:r>
      <w:r>
        <w:rPr>
          <w:rFonts w:ascii="Times New Roman" w:hAnsi="Times New Roman" w:cs="Times New Roman"/>
          <w:sz w:val="18"/>
          <w:szCs w:val="18"/>
        </w:rPr>
        <w:t>年</w:t>
      </w:r>
      <w:r>
        <w:rPr>
          <w:rFonts w:ascii="Times New Roman" w:hAnsi="Times New Roman" w:eastAsia="等线" w:cs="Times New Roman"/>
          <w:sz w:val="18"/>
          <w:szCs w:val="18"/>
        </w:rPr>
        <w:t>3</w:t>
      </w:r>
      <w:r>
        <w:rPr>
          <w:rFonts w:ascii="Times New Roman" w:hAnsi="Times New Roman" w:cs="Times New Roman"/>
          <w:sz w:val="18"/>
          <w:szCs w:val="18"/>
        </w:rPr>
        <w:t>月</w:t>
      </w:r>
      <w:r>
        <w:rPr>
          <w:rFonts w:ascii="Times New Roman" w:hAnsi="Times New Roman" w:eastAsia="等线" w:cs="Times New Roman"/>
          <w:sz w:val="18"/>
          <w:szCs w:val="18"/>
        </w:rPr>
        <w:t>31</w:t>
      </w:r>
      <w:r>
        <w:rPr>
          <w:rFonts w:ascii="Times New Roman" w:hAnsi="Times New Roman" w:cs="Times New Roman"/>
          <w:sz w:val="18"/>
          <w:szCs w:val="18"/>
        </w:rPr>
        <w:t>日，因公司</w:t>
      </w:r>
      <w:r>
        <w:rPr>
          <w:rFonts w:ascii="Times New Roman" w:hAnsi="Times New Roman" w:eastAsia="等线" w:cs="Times New Roman"/>
          <w:sz w:val="18"/>
          <w:szCs w:val="18"/>
        </w:rPr>
        <w:t>2019</w:t>
      </w:r>
      <w:r>
        <w:rPr>
          <w:rFonts w:ascii="Times New Roman" w:hAnsi="Times New Roman" w:cs="Times New Roman"/>
          <w:sz w:val="18"/>
          <w:szCs w:val="18"/>
        </w:rPr>
        <w:t>年股票期权与限制性股票激励计划第一个、第二个行权期行权及公司限制性股票回购注销，公司对可转换债券当期转股价格进行调整，修正后的转股价格为</w:t>
      </w:r>
      <w:r>
        <w:rPr>
          <w:rFonts w:ascii="Times New Roman" w:hAnsi="Times New Roman" w:eastAsia="等线" w:cs="Times New Roman"/>
          <w:sz w:val="18"/>
          <w:szCs w:val="18"/>
        </w:rPr>
        <w:t>9.28</w:t>
      </w:r>
      <w:r>
        <w:rPr>
          <w:rFonts w:ascii="Times New Roman" w:hAnsi="Times New Roman" w:cs="Times New Roman"/>
          <w:sz w:val="18"/>
          <w:szCs w:val="18"/>
        </w:rPr>
        <w:t>元</w:t>
      </w:r>
      <w:r>
        <w:rPr>
          <w:rFonts w:ascii="Times New Roman" w:hAnsi="Times New Roman" w:eastAsia="等线" w:cs="Times New Roman"/>
          <w:sz w:val="18"/>
          <w:szCs w:val="18"/>
        </w:rPr>
        <w:t>/</w:t>
      </w:r>
      <w:r>
        <w:rPr>
          <w:rFonts w:ascii="Times New Roman" w:hAnsi="Times New Roman" w:cs="Times New Roman"/>
          <w:sz w:val="18"/>
          <w:szCs w:val="18"/>
        </w:rPr>
        <w:t>股。</w:t>
      </w:r>
    </w:p>
    <w:p>
      <w:pPr>
        <w:pStyle w:val="8"/>
        <w:spacing w:before="0" w:beforeAutospacing="0" w:after="0" w:afterAutospacing="0" w:line="276" w:lineRule="auto"/>
        <w:ind w:firstLine="360"/>
        <w:rPr>
          <w:rFonts w:ascii="Times New Roman" w:hAnsi="Times New Roman" w:eastAsia="等线" w:cs="Times New Roman"/>
          <w:sz w:val="21"/>
          <w:szCs w:val="21"/>
        </w:rPr>
      </w:pPr>
      <w:r>
        <w:rPr>
          <w:rFonts w:ascii="Times New Roman" w:hAnsi="Times New Roman" w:eastAsia="等线" w:cs="Times New Roman"/>
          <w:sz w:val="18"/>
          <w:szCs w:val="18"/>
        </w:rPr>
        <w:t>2022</w:t>
      </w:r>
      <w:r>
        <w:rPr>
          <w:rFonts w:ascii="Times New Roman" w:hAnsi="Times New Roman" w:cs="Times New Roman"/>
          <w:sz w:val="18"/>
          <w:szCs w:val="18"/>
        </w:rPr>
        <w:t>年</w:t>
      </w:r>
      <w:r>
        <w:rPr>
          <w:rFonts w:ascii="Times New Roman" w:hAnsi="Times New Roman" w:eastAsia="等线" w:cs="Times New Roman"/>
          <w:sz w:val="18"/>
          <w:szCs w:val="18"/>
        </w:rPr>
        <w:t>8</w:t>
      </w:r>
      <w:r>
        <w:rPr>
          <w:rFonts w:ascii="Times New Roman" w:hAnsi="Times New Roman" w:cs="Times New Roman"/>
          <w:sz w:val="18"/>
          <w:szCs w:val="18"/>
        </w:rPr>
        <w:t>月</w:t>
      </w:r>
      <w:r>
        <w:rPr>
          <w:rFonts w:ascii="Times New Roman" w:hAnsi="Times New Roman" w:eastAsia="等线" w:cs="Times New Roman"/>
          <w:sz w:val="18"/>
          <w:szCs w:val="18"/>
        </w:rPr>
        <w:t>19</w:t>
      </w:r>
      <w:r>
        <w:rPr>
          <w:rFonts w:ascii="Times New Roman" w:hAnsi="Times New Roman" w:cs="Times New Roman"/>
          <w:sz w:val="18"/>
          <w:szCs w:val="18"/>
        </w:rPr>
        <w:t>日，因公司</w:t>
      </w:r>
      <w:r>
        <w:rPr>
          <w:rFonts w:ascii="Times New Roman" w:hAnsi="Times New Roman" w:eastAsia="等线" w:cs="Times New Roman"/>
          <w:sz w:val="18"/>
          <w:szCs w:val="18"/>
        </w:rPr>
        <w:t>2019</w:t>
      </w:r>
      <w:r>
        <w:rPr>
          <w:rFonts w:ascii="Times New Roman" w:hAnsi="Times New Roman" w:cs="Times New Roman"/>
          <w:sz w:val="18"/>
          <w:szCs w:val="18"/>
        </w:rPr>
        <w:t>年股票期权与限制性股票激励计划第二个行权期行权及公司限制性股票回购注销，公司对可转换债券当期转股价格进行调整，修正后的转股价格为</w:t>
      </w:r>
      <w:r>
        <w:rPr>
          <w:rFonts w:ascii="Times New Roman" w:hAnsi="Times New Roman" w:eastAsia="等线" w:cs="Times New Roman"/>
          <w:sz w:val="18"/>
          <w:szCs w:val="18"/>
        </w:rPr>
        <w:t>9.30</w:t>
      </w:r>
      <w:r>
        <w:rPr>
          <w:rFonts w:ascii="Times New Roman" w:hAnsi="Times New Roman" w:cs="Times New Roman"/>
          <w:sz w:val="18"/>
          <w:szCs w:val="18"/>
        </w:rPr>
        <w:t>元</w:t>
      </w:r>
      <w:r>
        <w:rPr>
          <w:rFonts w:ascii="Times New Roman" w:hAnsi="Times New Roman" w:eastAsia="等线" w:cs="Times New Roman"/>
          <w:sz w:val="18"/>
          <w:szCs w:val="18"/>
        </w:rPr>
        <w:t>/</w:t>
      </w:r>
      <w:r>
        <w:rPr>
          <w:rFonts w:ascii="Times New Roman" w:hAnsi="Times New Roman" w:cs="Times New Roman"/>
          <w:sz w:val="18"/>
          <w:szCs w:val="18"/>
        </w:rPr>
        <w:t>股。</w:t>
      </w:r>
    </w:p>
    <w:p>
      <w:pPr>
        <w:pStyle w:val="8"/>
        <w:spacing w:before="0" w:beforeAutospacing="0" w:after="0" w:afterAutospacing="0" w:line="276" w:lineRule="auto"/>
        <w:ind w:firstLine="360"/>
        <w:rPr>
          <w:rFonts w:ascii="Times New Roman" w:hAnsi="Times New Roman" w:eastAsia="等线" w:cs="Times New Roman"/>
          <w:sz w:val="21"/>
          <w:szCs w:val="21"/>
        </w:rPr>
      </w:pPr>
      <w:r>
        <w:rPr>
          <w:rFonts w:ascii="Times New Roman" w:hAnsi="Times New Roman" w:cs="Times New Roman"/>
          <w:sz w:val="18"/>
          <w:szCs w:val="18"/>
        </w:rPr>
        <w:t>本次可转债转股期自可转债发行结束之日满六个月后的第一个交易日起至可转债到期日止，即</w:t>
      </w:r>
      <w:r>
        <w:rPr>
          <w:rFonts w:ascii="Times New Roman" w:hAnsi="Times New Roman" w:eastAsia="等线" w:cs="Times New Roman"/>
          <w:sz w:val="18"/>
          <w:szCs w:val="18"/>
        </w:rPr>
        <w:t>2021</w:t>
      </w:r>
      <w:r>
        <w:rPr>
          <w:rFonts w:ascii="Times New Roman" w:hAnsi="Times New Roman" w:cs="Times New Roman"/>
          <w:sz w:val="18"/>
          <w:szCs w:val="18"/>
        </w:rPr>
        <w:t>年</w:t>
      </w:r>
      <w:r>
        <w:rPr>
          <w:rFonts w:ascii="Times New Roman" w:hAnsi="Times New Roman" w:eastAsia="等线" w:cs="Times New Roman"/>
          <w:sz w:val="18"/>
          <w:szCs w:val="18"/>
        </w:rPr>
        <w:t>1</w:t>
      </w:r>
      <w:r>
        <w:rPr>
          <w:rFonts w:ascii="Times New Roman" w:hAnsi="Times New Roman" w:cs="Times New Roman"/>
          <w:sz w:val="18"/>
          <w:szCs w:val="18"/>
        </w:rPr>
        <w:t>月</w:t>
      </w:r>
      <w:r>
        <w:rPr>
          <w:rFonts w:ascii="Times New Roman" w:hAnsi="Times New Roman" w:eastAsia="等线" w:cs="Times New Roman"/>
          <w:sz w:val="18"/>
          <w:szCs w:val="18"/>
        </w:rPr>
        <w:t>13</w:t>
      </w:r>
      <w:r>
        <w:rPr>
          <w:rFonts w:ascii="Times New Roman" w:hAnsi="Times New Roman" w:cs="Times New Roman"/>
          <w:sz w:val="18"/>
          <w:szCs w:val="18"/>
        </w:rPr>
        <w:t>日至</w:t>
      </w:r>
      <w:r>
        <w:rPr>
          <w:rFonts w:ascii="Times New Roman" w:hAnsi="Times New Roman" w:eastAsia="等线" w:cs="Times New Roman"/>
          <w:sz w:val="18"/>
          <w:szCs w:val="18"/>
        </w:rPr>
        <w:t>2026</w:t>
      </w:r>
      <w:r>
        <w:rPr>
          <w:rFonts w:ascii="Times New Roman" w:hAnsi="Times New Roman" w:cs="Times New Roman"/>
          <w:sz w:val="18"/>
          <w:szCs w:val="18"/>
        </w:rPr>
        <w:t>年</w:t>
      </w:r>
      <w:r>
        <w:rPr>
          <w:rFonts w:ascii="Times New Roman" w:hAnsi="Times New Roman" w:eastAsia="等线" w:cs="Times New Roman"/>
          <w:sz w:val="18"/>
          <w:szCs w:val="18"/>
        </w:rPr>
        <w:t>7</w:t>
      </w:r>
      <w:r>
        <w:rPr>
          <w:rFonts w:ascii="Times New Roman" w:hAnsi="Times New Roman" w:cs="Times New Roman"/>
          <w:sz w:val="18"/>
          <w:szCs w:val="18"/>
        </w:rPr>
        <w:t>月</w:t>
      </w:r>
      <w:r>
        <w:rPr>
          <w:rFonts w:ascii="Times New Roman" w:hAnsi="Times New Roman" w:eastAsia="等线" w:cs="Times New Roman"/>
          <w:sz w:val="18"/>
          <w:szCs w:val="18"/>
        </w:rPr>
        <w:t>12</w:t>
      </w:r>
      <w:r>
        <w:rPr>
          <w:rFonts w:ascii="Times New Roman" w:hAnsi="Times New Roman" w:cs="Times New Roman"/>
          <w:sz w:val="18"/>
          <w:szCs w:val="18"/>
        </w:rPr>
        <w:t>日。</w:t>
      </w:r>
    </w:p>
    <w:p>
      <w:pPr>
        <w:keepNext/>
        <w:keepLines/>
        <w:spacing w:before="300" w:after="300" w:line="280" w:lineRule="exact"/>
        <w:outlineLvl w:val="3"/>
        <w:rPr>
          <w:rFonts w:ascii="Times New Roman" w:hAnsi="Times New Roman" w:eastAsia="宋体" w:cs="Times New Roman"/>
          <w:b/>
          <w:bCs/>
          <w:szCs w:val="21"/>
        </w:rPr>
      </w:pPr>
      <w:bookmarkStart w:id="312" w:name="_Toc989197"/>
      <w:r>
        <w:rPr>
          <w:rFonts w:ascii="Times New Roman" w:hAnsi="Times New Roman" w:eastAsia="宋体" w:cs="Times New Roman"/>
          <w:b/>
          <w:bCs/>
          <w:szCs w:val="21"/>
        </w:rPr>
        <w:t>（4） 划分为金融负债的其他金融工具说明</w:t>
      </w:r>
      <w:bookmarkEnd w:id="312"/>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期末发行在外的优先股、永续债等其他金融工具基本情况</w:t>
      </w:r>
    </w:p>
    <w:p>
      <w:pPr>
        <w:rPr>
          <w:rFonts w:ascii="Times New Roman" w:hAnsi="Times New Roman" w:cs="Times New Roman"/>
        </w:rPr>
      </w:pP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期末发行在外的优先股、永续债等金融工具变动情况表</w:t>
      </w:r>
    </w:p>
    <w:p>
      <w:pPr>
        <w:spacing w:before="120" w:after="12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71"/>
        <w:gridCol w:w="1071"/>
        <w:gridCol w:w="1071"/>
        <w:gridCol w:w="1071"/>
        <w:gridCol w:w="1071"/>
        <w:gridCol w:w="1071"/>
        <w:gridCol w:w="1071"/>
        <w:gridCol w:w="1071"/>
        <w:gridCol w:w="107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发行在外的金融工具</w:t>
            </w:r>
          </w:p>
        </w:tc>
        <w:tc>
          <w:tcPr>
            <w:tcW w:w="214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期初</w:t>
            </w:r>
          </w:p>
        </w:tc>
        <w:tc>
          <w:tcPr>
            <w:tcW w:w="214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本期增加</w:t>
            </w:r>
          </w:p>
        </w:tc>
        <w:tc>
          <w:tcPr>
            <w:tcW w:w="214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本期减少</w:t>
            </w:r>
          </w:p>
        </w:tc>
        <w:tc>
          <w:tcPr>
            <w:tcW w:w="214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期末</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continue"/>
            <w:tcBorders>
              <w:top w:val="single" w:color="auto" w:sz="2" w:space="0"/>
              <w:left w:val="single" w:color="auto" w:sz="2" w:space="0"/>
              <w:bottom w:val="single" w:color="auto" w:sz="2" w:space="0"/>
              <w:right w:val="single" w:color="auto" w:sz="2" w:space="0"/>
            </w:tcBorders>
            <w:vAlign w:val="center"/>
          </w:tcPr>
          <w:p>
            <w:pPr>
              <w:rPr>
                <w:rFonts w:ascii="Times New Roman" w:hAnsi="Times New Roman" w:cs="Times New Roman"/>
              </w:rPr>
            </w:p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数量</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账面价值</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数量</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账面价值</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数量</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账面价值</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数量</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账面价值</w:t>
            </w:r>
          </w:p>
        </w:tc>
      </w:tr>
    </w:tbl>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其他金融工具划分为金融负债的依据说明</w:t>
      </w:r>
    </w:p>
    <w:p>
      <w:pPr>
        <w:rPr>
          <w:rFonts w:ascii="Times New Roman" w:hAnsi="Times New Roman" w:cs="Times New Roman"/>
        </w:rPr>
      </w:pP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其他说明</w:t>
      </w:r>
    </w:p>
    <w:p>
      <w:pPr>
        <w:rPr>
          <w:rFonts w:ascii="Times New Roman" w:hAnsi="Times New Roman" w:cs="Times New Roman"/>
        </w:rPr>
      </w:pPr>
    </w:p>
    <w:p>
      <w:pPr>
        <w:pStyle w:val="3"/>
        <w:spacing w:line="280" w:lineRule="exact"/>
        <w:jc w:val="left"/>
        <w:rPr>
          <w:rFonts w:ascii="Times New Roman" w:hAnsi="Times New Roman" w:cs="Times New Roman"/>
          <w:b/>
          <w:bCs/>
        </w:rPr>
      </w:pPr>
      <w:bookmarkStart w:id="313" w:name="_Toc989198"/>
      <w:r>
        <w:rPr>
          <w:rFonts w:ascii="Times New Roman" w:hAnsi="Times New Roman" w:cs="Times New Roman"/>
          <w:b/>
          <w:bCs/>
        </w:rPr>
        <w:t>47、租赁负债</w:t>
      </w:r>
      <w:bookmarkEnd w:id="313"/>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房屋及建筑物</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19,820,825.97</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25,761,767.57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土地</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43,354,920.65</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42,776,748.52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减： 一年内到期的租赁负债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-8,485,358.45</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-10,463,132.73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54,690,388.17</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58,075,383.36</w:t>
            </w:r>
          </w:p>
        </w:tc>
      </w:tr>
    </w:tbl>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其他说明：</w:t>
      </w:r>
    </w:p>
    <w:p>
      <w:pPr>
        <w:rPr>
          <w:rFonts w:ascii="Times New Roman" w:hAnsi="Times New Roman" w:cs="Times New Roman"/>
        </w:rPr>
      </w:pPr>
    </w:p>
    <w:p>
      <w:pPr>
        <w:pStyle w:val="3"/>
        <w:spacing w:line="280" w:lineRule="exact"/>
        <w:jc w:val="left"/>
        <w:rPr>
          <w:rFonts w:ascii="Times New Roman" w:hAnsi="Times New Roman" w:cs="Times New Roman"/>
          <w:b/>
          <w:bCs/>
        </w:rPr>
      </w:pPr>
      <w:bookmarkStart w:id="314" w:name="_Toc989199"/>
      <w:r>
        <w:rPr>
          <w:rFonts w:ascii="Times New Roman" w:hAnsi="Times New Roman" w:cs="Times New Roman"/>
          <w:b/>
          <w:bCs/>
        </w:rPr>
        <w:t>48、长期应付款</w:t>
      </w:r>
      <w:bookmarkEnd w:id="314"/>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长期应付款</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54,500,043.70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2,791,007.44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54,500,043.70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2,791,007.44</w:t>
            </w:r>
          </w:p>
        </w:tc>
      </w:tr>
    </w:tbl>
    <w:p>
      <w:pPr>
        <w:keepNext/>
        <w:keepLines/>
        <w:spacing w:before="300" w:after="300" w:line="280" w:lineRule="exact"/>
        <w:outlineLvl w:val="3"/>
        <w:rPr>
          <w:rFonts w:ascii="Times New Roman" w:hAnsi="Times New Roman" w:eastAsia="宋体" w:cs="Times New Roman"/>
          <w:b/>
          <w:bCs/>
          <w:sz w:val="18"/>
          <w:szCs w:val="18"/>
        </w:rPr>
      </w:pPr>
      <w:bookmarkStart w:id="315" w:name="_Toc989200"/>
      <w:r>
        <w:rPr>
          <w:rFonts w:ascii="Times New Roman" w:hAnsi="Times New Roman" w:eastAsia="宋体" w:cs="Times New Roman"/>
          <w:b/>
          <w:bCs/>
          <w:sz w:val="18"/>
          <w:szCs w:val="18"/>
        </w:rPr>
        <w:t>（1） 按款项性质列示长期应付款</w:t>
      </w:r>
      <w:bookmarkEnd w:id="315"/>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应付融资租赁款</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57,999,521.29</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6,885,293.06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减： 一年内到期部分</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3,499,477.59</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4,094,285.62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54,500,043.70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2,791,007.44</w:t>
            </w:r>
          </w:p>
        </w:tc>
      </w:tr>
    </w:tbl>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其他说明：</w:t>
      </w:r>
    </w:p>
    <w:p>
      <w:pPr>
        <w:pStyle w:val="8"/>
        <w:rPr>
          <w:rFonts w:ascii="Times New Roman" w:hAnsi="Times New Roman" w:cs="Times New Roman"/>
          <w:sz w:val="18"/>
          <w:szCs w:val="18"/>
        </w:rPr>
      </w:pPr>
      <w:r>
        <w:rPr>
          <w:rFonts w:ascii="Times New Roman" w:hAnsi="Times New Roman" w:cs="Times New Roman"/>
          <w:sz w:val="18"/>
          <w:szCs w:val="18"/>
        </w:rPr>
        <w:t>无</w:t>
      </w:r>
    </w:p>
    <w:p>
      <w:pPr>
        <w:keepNext/>
        <w:keepLines/>
        <w:spacing w:before="300" w:after="300" w:line="280" w:lineRule="exact"/>
        <w:outlineLvl w:val="3"/>
        <w:rPr>
          <w:rFonts w:ascii="Times New Roman" w:hAnsi="Times New Roman" w:eastAsia="宋体" w:cs="Times New Roman"/>
          <w:b/>
          <w:bCs/>
          <w:sz w:val="18"/>
          <w:szCs w:val="18"/>
        </w:rPr>
      </w:pPr>
      <w:bookmarkStart w:id="316" w:name="_Toc989201"/>
      <w:r>
        <w:rPr>
          <w:rFonts w:ascii="Times New Roman" w:hAnsi="Times New Roman" w:eastAsia="宋体" w:cs="Times New Roman"/>
          <w:b/>
          <w:bCs/>
          <w:sz w:val="18"/>
          <w:szCs w:val="18"/>
        </w:rPr>
        <w:t>（2） 专项应付款</w:t>
      </w:r>
      <w:bookmarkEnd w:id="316"/>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7"/>
        <w:gridCol w:w="1607"/>
        <w:gridCol w:w="160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期初余额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本期增加</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本期减少</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期末余额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形成原因</w:t>
            </w:r>
          </w:p>
        </w:tc>
      </w:tr>
    </w:tbl>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其他说明：</w:t>
      </w:r>
    </w:p>
    <w:p>
      <w:pPr>
        <w:pStyle w:val="8"/>
        <w:rPr>
          <w:rFonts w:ascii="Times New Roman" w:hAnsi="Times New Roman" w:cs="Times New Roman"/>
          <w:sz w:val="18"/>
          <w:szCs w:val="18"/>
        </w:rPr>
      </w:pPr>
      <w:r>
        <w:rPr>
          <w:rFonts w:ascii="Times New Roman" w:hAnsi="Times New Roman" w:cs="Times New Roman"/>
          <w:sz w:val="18"/>
          <w:szCs w:val="18"/>
        </w:rPr>
        <w:t>无</w:t>
      </w:r>
    </w:p>
    <w:p>
      <w:pPr>
        <w:pStyle w:val="3"/>
        <w:spacing w:line="280" w:lineRule="exact"/>
        <w:jc w:val="left"/>
        <w:rPr>
          <w:rFonts w:ascii="Times New Roman" w:hAnsi="Times New Roman" w:cs="Times New Roman"/>
          <w:b/>
          <w:bCs/>
        </w:rPr>
      </w:pPr>
      <w:bookmarkStart w:id="317" w:name="_Toc989202"/>
      <w:r>
        <w:rPr>
          <w:rFonts w:ascii="Times New Roman" w:hAnsi="Times New Roman" w:cs="Times New Roman"/>
          <w:b/>
          <w:bCs/>
        </w:rPr>
        <w:t>49、长期应付职工薪酬</w:t>
      </w:r>
      <w:bookmarkEnd w:id="317"/>
    </w:p>
    <w:p>
      <w:pPr>
        <w:keepNext/>
        <w:keepLines/>
        <w:spacing w:before="300" w:after="300" w:line="280" w:lineRule="exact"/>
        <w:outlineLvl w:val="3"/>
        <w:rPr>
          <w:rFonts w:ascii="Times New Roman" w:hAnsi="Times New Roman" w:eastAsia="宋体" w:cs="Times New Roman"/>
          <w:b/>
          <w:bCs/>
          <w:sz w:val="18"/>
          <w:szCs w:val="18"/>
        </w:rPr>
      </w:pPr>
      <w:bookmarkStart w:id="318" w:name="_Toc989203"/>
      <w:r>
        <w:rPr>
          <w:rFonts w:ascii="Times New Roman" w:hAnsi="Times New Roman" w:eastAsia="宋体" w:cs="Times New Roman"/>
          <w:b/>
          <w:bCs/>
          <w:sz w:val="18"/>
          <w:szCs w:val="18"/>
        </w:rPr>
        <w:t>（1） 长期应付职工薪酬表</w:t>
      </w:r>
      <w:bookmarkEnd w:id="318"/>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期初余额</w:t>
            </w:r>
          </w:p>
        </w:tc>
      </w:tr>
    </w:tbl>
    <w:p>
      <w:pPr>
        <w:keepNext/>
        <w:keepLines/>
        <w:spacing w:before="300" w:after="300" w:line="280" w:lineRule="exact"/>
        <w:outlineLvl w:val="3"/>
        <w:rPr>
          <w:rFonts w:ascii="Times New Roman" w:hAnsi="Times New Roman" w:eastAsia="宋体" w:cs="Times New Roman"/>
          <w:b/>
          <w:bCs/>
          <w:sz w:val="18"/>
          <w:szCs w:val="18"/>
        </w:rPr>
      </w:pPr>
      <w:bookmarkStart w:id="319" w:name="_Toc989204"/>
      <w:r>
        <w:rPr>
          <w:rFonts w:ascii="Times New Roman" w:hAnsi="Times New Roman" w:eastAsia="宋体" w:cs="Times New Roman"/>
          <w:b/>
          <w:bCs/>
          <w:sz w:val="18"/>
          <w:szCs w:val="18"/>
        </w:rPr>
        <w:t>（2） 设定受益计划变动情况</w:t>
      </w:r>
      <w:bookmarkEnd w:id="319"/>
    </w:p>
    <w:p>
      <w:pPr>
        <w:spacing w:before="120" w:after="120" w:line="240" w:lineRule="exact"/>
        <w:rPr>
          <w:rFonts w:ascii="Times New Roman" w:hAnsi="Times New Roman" w:eastAsia="宋体" w:cs="Times New Roman"/>
          <w:sz w:val="18"/>
          <w:szCs w:val="18"/>
        </w:rPr>
      </w:pPr>
      <w:r>
        <w:rPr>
          <w:rFonts w:ascii="Times New Roman" w:hAnsi="Times New Roman" w:eastAsia="宋体" w:cs="Times New Roman"/>
          <w:sz w:val="18"/>
          <w:szCs w:val="18"/>
        </w:rPr>
        <w:t>设定受益计划义务现值：</w:t>
      </w:r>
    </w:p>
    <w:p>
      <w:pPr>
        <w:spacing w:before="120" w:after="12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上期发生额</w:t>
            </w:r>
          </w:p>
        </w:tc>
      </w:tr>
    </w:tbl>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计划资产：</w:t>
      </w:r>
    </w:p>
    <w:p>
      <w:pPr>
        <w:spacing w:before="120" w:after="12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上期发生额</w:t>
            </w:r>
          </w:p>
        </w:tc>
      </w:tr>
    </w:tbl>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设定受益计划净负债（净资产）</w:t>
      </w:r>
    </w:p>
    <w:p>
      <w:pPr>
        <w:spacing w:before="120" w:after="12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上期发生额</w:t>
            </w:r>
          </w:p>
        </w:tc>
      </w:tr>
    </w:tbl>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设定受益计划的内容及与之相关风险、对公司未来现金流量、时间和不确定性的影响说明：</w:t>
      </w:r>
    </w:p>
    <w:p>
      <w:pPr>
        <w:rPr>
          <w:rFonts w:ascii="Times New Roman" w:hAnsi="Times New Roman" w:cs="Times New Roman"/>
        </w:rPr>
      </w:pP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设定受益计划重大精算假设及敏感性分析结果说明：</w:t>
      </w:r>
    </w:p>
    <w:p>
      <w:pPr>
        <w:rPr>
          <w:rFonts w:ascii="Times New Roman" w:hAnsi="Times New Roman" w:cs="Times New Roman"/>
        </w:rPr>
      </w:pP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其他说明：</w:t>
      </w:r>
    </w:p>
    <w:p>
      <w:pPr>
        <w:rPr>
          <w:rFonts w:ascii="Times New Roman" w:hAnsi="Times New Roman" w:cs="Times New Roman"/>
        </w:rPr>
      </w:pPr>
    </w:p>
    <w:p>
      <w:pPr>
        <w:pStyle w:val="3"/>
        <w:spacing w:line="280" w:lineRule="exact"/>
        <w:jc w:val="left"/>
        <w:rPr>
          <w:rFonts w:ascii="Times New Roman" w:hAnsi="Times New Roman" w:cs="Times New Roman"/>
          <w:b/>
          <w:bCs/>
        </w:rPr>
      </w:pPr>
      <w:bookmarkStart w:id="320" w:name="_Toc989205"/>
      <w:r>
        <w:rPr>
          <w:rFonts w:ascii="Times New Roman" w:hAnsi="Times New Roman" w:cs="Times New Roman"/>
          <w:b/>
          <w:bCs/>
        </w:rPr>
        <w:t>50、预计负债</w:t>
      </w:r>
      <w:bookmarkEnd w:id="320"/>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09"/>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期末余额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期初余额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形成原因</w:t>
            </w:r>
          </w:p>
        </w:tc>
      </w:tr>
    </w:tbl>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其他说明，包括重要预计负债的相关重要假设、估计说明：</w:t>
      </w:r>
    </w:p>
    <w:p>
      <w:pPr>
        <w:rPr>
          <w:rFonts w:ascii="Times New Roman" w:hAnsi="Times New Roman" w:cs="Times New Roman"/>
        </w:rPr>
      </w:pPr>
    </w:p>
    <w:p>
      <w:pPr>
        <w:pStyle w:val="3"/>
        <w:spacing w:line="280" w:lineRule="exact"/>
        <w:jc w:val="left"/>
        <w:rPr>
          <w:rFonts w:ascii="Times New Roman" w:hAnsi="Times New Roman" w:cs="Times New Roman"/>
          <w:b/>
          <w:bCs/>
        </w:rPr>
      </w:pPr>
      <w:bookmarkStart w:id="321" w:name="_Toc989206"/>
      <w:r>
        <w:rPr>
          <w:rFonts w:ascii="Times New Roman" w:hAnsi="Times New Roman" w:cs="Times New Roman"/>
          <w:b/>
          <w:bCs/>
        </w:rPr>
        <w:t>51、递延收益</w:t>
      </w:r>
      <w:bookmarkEnd w:id="321"/>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7"/>
        <w:gridCol w:w="1607"/>
        <w:gridCol w:w="160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期初余额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本期增加</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本期减少</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期末余额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形成原因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政府补助</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46,570,043.69</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1,992,460.00</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44,577,583.69</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 与资产相关</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合计</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46,570,043.69</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1,992,460.00</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44,577,583.69</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r>
    </w:tbl>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涉及政府补助的项目：</w:t>
      </w:r>
    </w:p>
    <w:p>
      <w:pPr>
        <w:spacing w:before="120" w:after="12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71"/>
        <w:gridCol w:w="1071"/>
        <w:gridCol w:w="1071"/>
        <w:gridCol w:w="1071"/>
        <w:gridCol w:w="1071"/>
        <w:gridCol w:w="1071"/>
        <w:gridCol w:w="1071"/>
        <w:gridCol w:w="1071"/>
        <w:gridCol w:w="107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负债项目</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期初余额</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本期新增补助金额</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本期计入营业外收入金额</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本期计入其他收益金额</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本期冲减成本费用金额</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其他变动</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期末余额</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与资产相关/与收益相关</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2020年城乡冷链和国家物流枢纽</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2,950,000.00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75,000.00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2,875,000.00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与资产相关</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新上和技术改造项目</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2,213,666.68</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114,499.98</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2,099,166.70</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与资产相关</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20年省级现代农业产业园</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12,146,299.17</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617,500.00</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11,528,799.17</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与资产相关</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农产品供应链专项资金</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2,355,712.34</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453,927.78</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1,901,784.56</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与资产相关</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大气污染防治资金</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236,666.34</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10,000.02</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226,666.32</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与资产相关</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猪粪沼气棚项目</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950,000.06</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49,999.98</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900,000.08</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与资产相关</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生态农业示范项目</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862,947.03</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45,208.56</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817,738.47</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与资产相关</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生猪标准化建设资金</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179,999.94</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10,000.02</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169,999.92</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与资产相关</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规模化标准养殖小区污水处理项目（崔格庄猪场）</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3,422,400.00</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161,100.00</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3,261,300.00</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与资产相关</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生猪调出大县奖励2011年</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1,246,499.94</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69,250.02</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1,177,249.92</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与资产相关</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生猪调出大县奖励2014年</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577,272.00</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23,892.00</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553,380.00</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与资产相关</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畜禽粪污资源化利用项目</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1,474,433.28</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99,400.02</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1,375,033.26</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与资产相关</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粮食产后服务中心</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1,050,000.00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75,000.00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975,000.00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与资产相关</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供应链流通企业项目</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1,404,146.91</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187,681.62</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1,216,465.29</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与资产相关</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产业引导资金</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15,500,000.00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15,500,000.00</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与资产相关</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合计</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46,570,043.69</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1,992,460.00</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44,577,583.69</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p>
        </w:tc>
      </w:tr>
    </w:tbl>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其他说明：</w:t>
      </w:r>
    </w:p>
    <w:p>
      <w:pPr>
        <w:pStyle w:val="8"/>
        <w:rPr>
          <w:rFonts w:ascii="Times New Roman" w:hAnsi="Times New Roman" w:cs="Times New Roman"/>
          <w:sz w:val="18"/>
          <w:szCs w:val="18"/>
        </w:rPr>
      </w:pPr>
      <w:r>
        <w:rPr>
          <w:rFonts w:ascii="Times New Roman" w:hAnsi="Times New Roman" w:cs="Times New Roman"/>
          <w:sz w:val="18"/>
          <w:szCs w:val="18"/>
        </w:rPr>
        <w:t>无</w:t>
      </w:r>
    </w:p>
    <w:p>
      <w:pPr>
        <w:pStyle w:val="3"/>
        <w:spacing w:line="280" w:lineRule="exact"/>
        <w:jc w:val="left"/>
        <w:rPr>
          <w:rFonts w:ascii="Times New Roman" w:hAnsi="Times New Roman" w:cs="Times New Roman"/>
          <w:b/>
          <w:bCs/>
        </w:rPr>
      </w:pPr>
      <w:bookmarkStart w:id="322" w:name="_Toc989207"/>
      <w:r>
        <w:rPr>
          <w:rFonts w:ascii="Times New Roman" w:hAnsi="Times New Roman" w:cs="Times New Roman"/>
          <w:b/>
          <w:bCs/>
        </w:rPr>
        <w:t>52、其他非流动负债</w:t>
      </w:r>
      <w:bookmarkEnd w:id="322"/>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期初余额</w:t>
            </w:r>
          </w:p>
        </w:tc>
      </w:tr>
    </w:tbl>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其他说明：</w:t>
      </w:r>
    </w:p>
    <w:p>
      <w:pPr>
        <w:rPr>
          <w:rFonts w:ascii="Times New Roman" w:hAnsi="Times New Roman" w:cs="Times New Roman"/>
        </w:rPr>
      </w:pPr>
    </w:p>
    <w:p>
      <w:pPr>
        <w:pStyle w:val="3"/>
        <w:spacing w:line="280" w:lineRule="exact"/>
        <w:jc w:val="left"/>
        <w:rPr>
          <w:rFonts w:ascii="Times New Roman" w:hAnsi="Times New Roman" w:cs="Times New Roman"/>
          <w:b/>
          <w:bCs/>
        </w:rPr>
      </w:pPr>
      <w:bookmarkStart w:id="323" w:name="_Toc989208"/>
      <w:r>
        <w:rPr>
          <w:rFonts w:ascii="Times New Roman" w:hAnsi="Times New Roman" w:cs="Times New Roman"/>
          <w:b/>
          <w:bCs/>
        </w:rPr>
        <w:t>53、股本</w:t>
      </w:r>
      <w:bookmarkEnd w:id="323"/>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204"/>
        <w:gridCol w:w="1205"/>
        <w:gridCol w:w="1205"/>
        <w:gridCol w:w="1205"/>
        <w:gridCol w:w="1205"/>
        <w:gridCol w:w="1205"/>
        <w:gridCol w:w="1205"/>
        <w:gridCol w:w="120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120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期初余额</w:t>
            </w:r>
          </w:p>
        </w:tc>
        <w:tc>
          <w:tcPr>
            <w:tcW w:w="6024"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本次变动增减（+、-）</w:t>
            </w:r>
          </w:p>
        </w:tc>
        <w:tc>
          <w:tcPr>
            <w:tcW w:w="120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1205"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发行新股</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送股</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公积金转股</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其他</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小计</w:t>
            </w:r>
          </w:p>
        </w:tc>
        <w:tc>
          <w:tcPr>
            <w:tcW w:w="1205"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股份总数</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1,079,128,488.00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31,237.00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31,237.00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1,079,159,725.00</w:t>
            </w:r>
          </w:p>
        </w:tc>
      </w:tr>
    </w:tbl>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其他说明：</w:t>
      </w:r>
    </w:p>
    <w:p>
      <w:pPr>
        <w:rPr>
          <w:rFonts w:ascii="Times New Roman" w:hAnsi="Times New Roman" w:cs="Times New Roman"/>
        </w:rPr>
      </w:pPr>
    </w:p>
    <w:p>
      <w:pPr>
        <w:pStyle w:val="3"/>
        <w:spacing w:line="280" w:lineRule="exact"/>
        <w:jc w:val="left"/>
        <w:rPr>
          <w:rFonts w:ascii="Times New Roman" w:hAnsi="Times New Roman" w:cs="Times New Roman"/>
          <w:b/>
          <w:bCs/>
        </w:rPr>
      </w:pPr>
      <w:bookmarkStart w:id="324" w:name="_Toc989209"/>
      <w:r>
        <w:rPr>
          <w:rFonts w:ascii="Times New Roman" w:hAnsi="Times New Roman" w:cs="Times New Roman"/>
          <w:b/>
          <w:bCs/>
        </w:rPr>
        <w:t>54、其他权益工具</w:t>
      </w:r>
      <w:bookmarkEnd w:id="324"/>
    </w:p>
    <w:p>
      <w:pPr>
        <w:keepNext/>
        <w:keepLines/>
        <w:spacing w:before="300" w:after="300" w:line="280" w:lineRule="exact"/>
        <w:outlineLvl w:val="3"/>
        <w:rPr>
          <w:rFonts w:ascii="Times New Roman" w:hAnsi="Times New Roman" w:eastAsia="宋体" w:cs="Times New Roman"/>
          <w:b/>
          <w:bCs/>
          <w:sz w:val="18"/>
          <w:szCs w:val="18"/>
        </w:rPr>
      </w:pPr>
      <w:bookmarkStart w:id="325" w:name="_Toc989210"/>
      <w:r>
        <w:rPr>
          <w:rFonts w:ascii="Times New Roman" w:hAnsi="Times New Roman" w:eastAsia="宋体" w:cs="Times New Roman"/>
          <w:b/>
          <w:bCs/>
          <w:sz w:val="18"/>
          <w:szCs w:val="18"/>
        </w:rPr>
        <w:t>（1） 期末发行在外的优先股、永续债等其他金融工具基本情况</w:t>
      </w:r>
      <w:bookmarkEnd w:id="325"/>
    </w:p>
    <w:p>
      <w:pPr>
        <w:widowControl/>
        <w:rPr>
          <w:rFonts w:ascii="Times New Roman" w:hAnsi="Times New Roman" w:cs="Times New Roman"/>
          <w:kern w:val="0"/>
          <w:sz w:val="18"/>
          <w:szCs w:val="18"/>
          <w14:ligatures w14:val="none"/>
        </w:rPr>
      </w:pPr>
      <w:r>
        <w:rPr>
          <w:rFonts w:ascii="Times New Roman" w:hAnsi="Times New Roman" w:cs="Times New Roman"/>
          <w:color w:val="000000"/>
          <w:szCs w:val="21"/>
        </w:rPr>
        <w:t xml:space="preserve">见附注五、38。 </w:t>
      </w:r>
    </w:p>
    <w:p>
      <w:pPr>
        <w:keepNext/>
        <w:keepLines/>
        <w:spacing w:before="300" w:after="300" w:line="280" w:lineRule="exact"/>
        <w:outlineLvl w:val="3"/>
        <w:rPr>
          <w:rFonts w:ascii="Times New Roman" w:hAnsi="Times New Roman" w:eastAsia="宋体" w:cs="Times New Roman"/>
          <w:b/>
          <w:bCs/>
          <w:sz w:val="18"/>
          <w:szCs w:val="18"/>
        </w:rPr>
      </w:pPr>
      <w:bookmarkStart w:id="326" w:name="_Toc989211"/>
      <w:r>
        <w:rPr>
          <w:rFonts w:ascii="Times New Roman" w:hAnsi="Times New Roman" w:eastAsia="宋体" w:cs="Times New Roman"/>
          <w:b/>
          <w:bCs/>
          <w:sz w:val="18"/>
          <w:szCs w:val="18"/>
        </w:rPr>
        <w:t>（2） 期末发行在外的优先股、永续债等金融工具变动情况表</w:t>
      </w:r>
      <w:bookmarkEnd w:id="326"/>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71"/>
        <w:gridCol w:w="1071"/>
        <w:gridCol w:w="1071"/>
        <w:gridCol w:w="1071"/>
        <w:gridCol w:w="1071"/>
        <w:gridCol w:w="1071"/>
        <w:gridCol w:w="1071"/>
        <w:gridCol w:w="1071"/>
        <w:gridCol w:w="107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发行在外的金融工具</w:t>
            </w:r>
          </w:p>
        </w:tc>
        <w:tc>
          <w:tcPr>
            <w:tcW w:w="214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期初</w:t>
            </w:r>
          </w:p>
        </w:tc>
        <w:tc>
          <w:tcPr>
            <w:tcW w:w="214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本期增加</w:t>
            </w:r>
          </w:p>
        </w:tc>
        <w:tc>
          <w:tcPr>
            <w:tcW w:w="214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本期减少</w:t>
            </w:r>
          </w:p>
        </w:tc>
        <w:tc>
          <w:tcPr>
            <w:tcW w:w="214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期末</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数量</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账面价值</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数量</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账面价值</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数量</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账面价值</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数量</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账面价值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可转换公司债券</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9,460,611.00</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171,571,679.93</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34</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616.60</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9,460,577.00</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171,571,063.33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合计</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9,460,611.00</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171,571,679.93</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34</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616.60</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9,460,577.00</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171,571,063.33</w:t>
            </w:r>
          </w:p>
        </w:tc>
      </w:tr>
    </w:tbl>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其他权益工具本期增减变动情况、变动原因说明，以及相关会计处理的依据：</w:t>
      </w:r>
    </w:p>
    <w:p>
      <w:pPr>
        <w:rPr>
          <w:rFonts w:ascii="Times New Roman" w:hAnsi="Times New Roman" w:cs="Times New Roman"/>
        </w:rPr>
      </w:pP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其他说明：</w:t>
      </w:r>
    </w:p>
    <w:p>
      <w:pPr>
        <w:widowControl/>
        <w:rPr>
          <w:rFonts w:ascii="Times New Roman" w:hAnsi="Times New Roman" w:eastAsia="宋体" w:cs="Times New Roman"/>
          <w:sz w:val="18"/>
          <w:szCs w:val="18"/>
        </w:rPr>
      </w:pPr>
      <w:r>
        <w:rPr>
          <w:rFonts w:ascii="Times New Roman" w:hAnsi="Times New Roman" w:eastAsia="宋体" w:cs="Times New Roman"/>
          <w:sz w:val="18"/>
          <w:szCs w:val="18"/>
        </w:rPr>
        <w:t xml:space="preserve">其他权益工具增减变动情况见附注五、38。 </w:t>
      </w:r>
    </w:p>
    <w:p>
      <w:pPr>
        <w:pStyle w:val="3"/>
        <w:spacing w:line="280" w:lineRule="exact"/>
        <w:jc w:val="left"/>
        <w:rPr>
          <w:rFonts w:ascii="Times New Roman" w:hAnsi="Times New Roman" w:cs="Times New Roman"/>
          <w:b/>
          <w:bCs/>
        </w:rPr>
      </w:pPr>
      <w:bookmarkStart w:id="327" w:name="_Toc989212"/>
      <w:r>
        <w:rPr>
          <w:rFonts w:ascii="Times New Roman" w:hAnsi="Times New Roman" w:cs="Times New Roman"/>
          <w:b/>
          <w:bCs/>
        </w:rPr>
        <w:t>55、资本公积</w:t>
      </w:r>
      <w:bookmarkEnd w:id="327"/>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7"/>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期初余额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本期增加</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本期减少</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资本溢价（股本溢价）</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789,840,995.07</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187,901.06</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2,630,885.32</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787,398,010.81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其他资本公积</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41,989,720.05</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41,989,720.05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合计</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831,830,715.12</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187,901.06</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2,630,885.32</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829,387,730.86</w:t>
            </w:r>
          </w:p>
        </w:tc>
      </w:tr>
    </w:tbl>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其他说明，包括本期增减变动情况、变动原因说明：</w:t>
      </w:r>
    </w:p>
    <w:p>
      <w:pPr>
        <w:pStyle w:val="8"/>
        <w:spacing w:before="0" w:beforeAutospacing="0" w:after="0" w:afterAutospacing="0"/>
        <w:rPr>
          <w:rFonts w:ascii="Times New Roman" w:hAnsi="Times New Roman" w:cs="Times New Roman"/>
          <w:sz w:val="18"/>
          <w:szCs w:val="18"/>
        </w:rPr>
      </w:pPr>
      <w:r>
        <w:rPr>
          <w:rFonts w:ascii="Times New Roman" w:hAnsi="Times New Roman" w:cs="Times New Roman"/>
          <w:sz w:val="18"/>
          <w:szCs w:val="18"/>
        </w:rPr>
        <w:t>1、公司发生可转债转股，由于债转股增加的资本公积（股本溢价）为3,556.7元。</w:t>
      </w:r>
    </w:p>
    <w:p>
      <w:pPr>
        <w:pStyle w:val="8"/>
        <w:spacing w:before="0" w:beforeAutospacing="0" w:after="0" w:afterAutospacing="0"/>
        <w:rPr>
          <w:rFonts w:ascii="Times New Roman" w:hAnsi="Times New Roman" w:cs="Times New Roman"/>
          <w:sz w:val="18"/>
          <w:szCs w:val="18"/>
        </w:rPr>
      </w:pPr>
      <w:r>
        <w:rPr>
          <w:rFonts w:ascii="Times New Roman" w:hAnsi="Times New Roman" w:cs="Times New Roman"/>
          <w:sz w:val="18"/>
          <w:szCs w:val="18"/>
        </w:rPr>
        <w:t>2、因公司2019年股票期权与限制性股票激励计划期权行权，员工自主行权增加资本公积184,344.36元。</w:t>
      </w:r>
    </w:p>
    <w:p>
      <w:pPr>
        <w:pStyle w:val="8"/>
        <w:spacing w:before="0" w:beforeAutospacing="0" w:after="0" w:afterAutospacing="0"/>
        <w:rPr>
          <w:rFonts w:ascii="Times New Roman" w:hAnsi="Times New Roman" w:cs="Times New Roman"/>
          <w:sz w:val="18"/>
          <w:szCs w:val="18"/>
        </w:rPr>
      </w:pPr>
      <w:r>
        <w:rPr>
          <w:rFonts w:ascii="Times New Roman" w:hAnsi="Times New Roman" w:cs="Times New Roman"/>
          <w:sz w:val="18"/>
          <w:szCs w:val="18"/>
        </w:rPr>
        <w:t>3、2023年，本公司子公司成都龙大肉食品有限公司发生少数股东减资，减少资本公积2,630,885.32元。</w:t>
      </w:r>
    </w:p>
    <w:p>
      <w:pPr>
        <w:pStyle w:val="3"/>
        <w:spacing w:line="280" w:lineRule="exact"/>
        <w:jc w:val="left"/>
        <w:rPr>
          <w:rFonts w:ascii="Times New Roman" w:hAnsi="Times New Roman" w:cs="Times New Roman"/>
          <w:b/>
          <w:bCs/>
        </w:rPr>
      </w:pPr>
      <w:bookmarkStart w:id="328" w:name="_Toc989213"/>
      <w:r>
        <w:rPr>
          <w:rFonts w:ascii="Times New Roman" w:hAnsi="Times New Roman" w:cs="Times New Roman"/>
          <w:b/>
          <w:bCs/>
        </w:rPr>
        <w:t>56、库存股</w:t>
      </w:r>
      <w:bookmarkEnd w:id="328"/>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7"/>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期初余额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本期增加</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本期减少</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为员工持股计划或者股权激励而</w:t>
            </w:r>
            <w:r>
              <w:rPr>
                <w:rFonts w:hint="eastAsia" w:ascii="Times New Roman" w:hAnsi="Times New Roman" w:eastAsia="宋体" w:cs="Times New Roman"/>
                <w:sz w:val="18"/>
                <w:szCs w:val="18"/>
              </w:rPr>
              <w:t>回购</w:t>
            </w:r>
            <w:r>
              <w:rPr>
                <w:rFonts w:ascii="Times New Roman" w:hAnsi="Times New Roman" w:eastAsia="宋体" w:cs="Times New Roman"/>
                <w:sz w:val="18"/>
                <w:szCs w:val="18"/>
              </w:rPr>
              <w:t>的本公司股份</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37,244,672.24</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61,768,604.49</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99,013,276.73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合计</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37,244,672.24</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61,768,604.49</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99,013,276.73</w:t>
            </w:r>
          </w:p>
        </w:tc>
      </w:tr>
    </w:tbl>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其他说明，包括本期增减变动情况、变动原因说明：</w:t>
      </w:r>
    </w:p>
    <w:p>
      <w:pPr>
        <w:rPr>
          <w:rFonts w:ascii="Times New Roman" w:hAnsi="Times New Roman" w:cs="Times New Roman"/>
        </w:rPr>
      </w:pPr>
    </w:p>
    <w:p>
      <w:pPr>
        <w:pStyle w:val="3"/>
        <w:spacing w:line="280" w:lineRule="exact"/>
        <w:jc w:val="left"/>
        <w:rPr>
          <w:rFonts w:ascii="Times New Roman" w:hAnsi="Times New Roman" w:cs="Times New Roman"/>
          <w:b/>
          <w:bCs/>
        </w:rPr>
      </w:pPr>
      <w:bookmarkStart w:id="329" w:name="_Toc989214"/>
      <w:r>
        <w:rPr>
          <w:rFonts w:ascii="Times New Roman" w:hAnsi="Times New Roman" w:cs="Times New Roman"/>
          <w:b/>
          <w:bCs/>
        </w:rPr>
        <w:t>57、其他综合收益</w:t>
      </w:r>
      <w:bookmarkEnd w:id="329"/>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71"/>
        <w:gridCol w:w="1071"/>
        <w:gridCol w:w="1071"/>
        <w:gridCol w:w="1071"/>
        <w:gridCol w:w="1071"/>
        <w:gridCol w:w="1071"/>
        <w:gridCol w:w="1071"/>
        <w:gridCol w:w="1071"/>
        <w:gridCol w:w="107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w:t>
            </w:r>
          </w:p>
        </w:tc>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期初余额</w:t>
            </w:r>
          </w:p>
        </w:tc>
        <w:tc>
          <w:tcPr>
            <w:tcW w:w="6426" w:type="dxa"/>
            <w:gridSpan w:val="6"/>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本期发生额</w:t>
            </w:r>
          </w:p>
        </w:tc>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本期所得税前发生额</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减：前期计入其他综合收益当期转入损益</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减：前期计入其他综合收益当期转入留存收益</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减：所得税费用</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税后归属于母公司</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税后归属于少数股东</w:t>
            </w:r>
          </w:p>
        </w:tc>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一、不能重分类进损益的其他综合收益</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-11,777,820.33</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-11,777,820.33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rPr>
                <w:rFonts w:ascii="Times New Roman" w:hAnsi="Times New Roman" w:eastAsia="宋体" w:cs="Times New Roman"/>
                <w:sz w:val="18"/>
                <w:szCs w:val="18"/>
              </w:rPr>
            </w:pPr>
            <w:r>
              <w:rPr>
                <w:rFonts w:ascii="Times New Roman" w:hAnsi="Times New Roman" w:eastAsia="宋体" w:cs="Times New Roman"/>
                <w:sz w:val="18"/>
                <w:szCs w:val="18"/>
              </w:rPr>
              <w:t>其他权益工具投资公允价值变动</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-11,777,820.33</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-11,777,820.33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其他综合收益合计</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-11,777,820.33</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-11,777,820.33</w:t>
            </w:r>
          </w:p>
        </w:tc>
      </w:tr>
    </w:tbl>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其他说明，包括对现金流量套期损益的有效部分转为被套期项目初始确认金额调整：</w:t>
      </w:r>
    </w:p>
    <w:p>
      <w:pPr>
        <w:rPr>
          <w:rFonts w:ascii="Times New Roman" w:hAnsi="Times New Roman" w:cs="Times New Roman"/>
        </w:rPr>
      </w:pPr>
    </w:p>
    <w:p>
      <w:pPr>
        <w:pStyle w:val="3"/>
        <w:spacing w:line="280" w:lineRule="exact"/>
        <w:jc w:val="left"/>
        <w:rPr>
          <w:rFonts w:ascii="Times New Roman" w:hAnsi="Times New Roman" w:cs="Times New Roman"/>
          <w:b/>
          <w:bCs/>
        </w:rPr>
      </w:pPr>
      <w:bookmarkStart w:id="330" w:name="_Toc989215"/>
      <w:r>
        <w:rPr>
          <w:rFonts w:ascii="Times New Roman" w:hAnsi="Times New Roman" w:cs="Times New Roman"/>
          <w:b/>
          <w:bCs/>
        </w:rPr>
        <w:t>58、专项储备</w:t>
      </w:r>
      <w:bookmarkEnd w:id="330"/>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7"/>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期初余额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本期增加</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本期减少</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期末余额</w:t>
            </w:r>
          </w:p>
        </w:tc>
      </w:tr>
    </w:tbl>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其他说明，包括本期增减变动情况、变动原因说明：</w:t>
      </w:r>
    </w:p>
    <w:p>
      <w:pPr>
        <w:rPr>
          <w:rFonts w:ascii="Times New Roman" w:hAnsi="Times New Roman" w:cs="Times New Roman"/>
        </w:rPr>
      </w:pPr>
    </w:p>
    <w:p>
      <w:pPr>
        <w:pStyle w:val="3"/>
        <w:spacing w:line="280" w:lineRule="exact"/>
        <w:jc w:val="left"/>
        <w:rPr>
          <w:rFonts w:ascii="Times New Roman" w:hAnsi="Times New Roman" w:cs="Times New Roman"/>
          <w:b/>
          <w:bCs/>
        </w:rPr>
      </w:pPr>
      <w:bookmarkStart w:id="331" w:name="_Toc989216"/>
      <w:r>
        <w:rPr>
          <w:rFonts w:ascii="Times New Roman" w:hAnsi="Times New Roman" w:cs="Times New Roman"/>
          <w:b/>
          <w:bCs/>
        </w:rPr>
        <w:t>59、盈余公积</w:t>
      </w:r>
      <w:bookmarkEnd w:id="331"/>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7"/>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期初余额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本期增加</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本期减少</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法定盈余公积</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131,858,964.58</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131,858,964.58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任意盈余公积</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131,858,964.58</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131,858,964.58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合计</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263,717,929.16</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263,717,929.16</w:t>
            </w:r>
          </w:p>
        </w:tc>
      </w:tr>
    </w:tbl>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盈余公积说明，包括本期增减变动情况、变动原因说明：</w:t>
      </w:r>
    </w:p>
    <w:p>
      <w:pPr>
        <w:pStyle w:val="8"/>
        <w:spacing w:before="183" w:beforeAutospacing="0" w:after="0" w:afterAutospacing="0" w:line="360" w:lineRule="atLeast"/>
        <w:textAlignment w:val="baseline"/>
        <w:rPr>
          <w:rFonts w:ascii="Times New Roman" w:hAnsi="Times New Roman" w:cs="Times New Roman"/>
          <w:color w:val="000000"/>
          <w:sz w:val="21"/>
          <w:szCs w:val="21"/>
        </w:rPr>
      </w:pPr>
      <w:r>
        <w:rPr>
          <w:rFonts w:ascii="Times New Roman" w:hAnsi="Times New Roman" w:cs="Times New Roman"/>
          <w:color w:val="000000"/>
          <w:spacing w:val="-2"/>
          <w:sz w:val="18"/>
          <w:szCs w:val="18"/>
        </w:rPr>
        <w:t>根据《公司法》、公司章程的规定，本公司按净利润的</w:t>
      </w:r>
      <w:r>
        <w:rPr>
          <w:rFonts w:ascii="Times New Roman" w:hAnsi="Times New Roman" w:cs="Times New Roman"/>
          <w:color w:val="000000"/>
          <w:spacing w:val="-25"/>
          <w:sz w:val="18"/>
          <w:szCs w:val="18"/>
        </w:rPr>
        <w:t> </w:t>
      </w:r>
      <w:r>
        <w:rPr>
          <w:rFonts w:ascii="Times New Roman" w:hAnsi="Times New Roman" w:cs="Times New Roman"/>
          <w:color w:val="000000"/>
          <w:spacing w:val="-2"/>
          <w:sz w:val="18"/>
          <w:szCs w:val="18"/>
        </w:rPr>
        <w:t>10%提取法定盈余公积。法定盈余公积累计额</w:t>
      </w:r>
      <w:r>
        <w:rPr>
          <w:rFonts w:ascii="Times New Roman" w:hAnsi="Times New Roman" w:cs="Times New Roman"/>
          <w:color w:val="000000"/>
          <w:spacing w:val="-3"/>
          <w:sz w:val="18"/>
          <w:szCs w:val="18"/>
        </w:rPr>
        <w:t>达到本公司注册资本50%以上的，不再提取。</w:t>
      </w:r>
    </w:p>
    <w:p>
      <w:pPr>
        <w:pStyle w:val="8"/>
        <w:spacing w:before="144" w:beforeAutospacing="0" w:after="0" w:afterAutospacing="0" w:line="355" w:lineRule="atLeast"/>
        <w:textAlignment w:val="baseline"/>
        <w:rPr>
          <w:rFonts w:ascii="Times New Roman" w:hAnsi="Times New Roman" w:cs="Times New Roman"/>
          <w:color w:val="000000"/>
          <w:sz w:val="21"/>
          <w:szCs w:val="21"/>
        </w:rPr>
      </w:pPr>
      <w:r>
        <w:rPr>
          <w:rFonts w:ascii="Times New Roman" w:hAnsi="Times New Roman" w:cs="Times New Roman"/>
          <w:color w:val="000000"/>
          <w:sz w:val="18"/>
          <w:szCs w:val="18"/>
        </w:rPr>
        <w:t>本公司在提取法定盈余公积金后，可提取任意盈余公积金。经批准，任意盈余公积金可用于弥补以前年</w:t>
      </w:r>
      <w:r>
        <w:rPr>
          <w:rFonts w:ascii="Times New Roman" w:hAnsi="Times New Roman" w:cs="Times New Roman"/>
          <w:color w:val="000000"/>
          <w:spacing w:val="-1"/>
          <w:sz w:val="18"/>
          <w:szCs w:val="18"/>
        </w:rPr>
        <w:t>度亏损或增加股本。</w:t>
      </w:r>
    </w:p>
    <w:p>
      <w:pPr>
        <w:pStyle w:val="3"/>
        <w:spacing w:line="280" w:lineRule="exact"/>
        <w:jc w:val="left"/>
        <w:rPr>
          <w:rFonts w:ascii="Times New Roman" w:hAnsi="Times New Roman" w:cs="Times New Roman"/>
          <w:b/>
          <w:bCs/>
        </w:rPr>
      </w:pPr>
      <w:bookmarkStart w:id="332" w:name="_Toc989217"/>
      <w:r>
        <w:rPr>
          <w:rFonts w:ascii="Times New Roman" w:hAnsi="Times New Roman" w:cs="Times New Roman"/>
          <w:b/>
          <w:bCs/>
        </w:rPr>
        <w:t>60、未分配利润</w:t>
      </w:r>
      <w:bookmarkEnd w:id="332"/>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本期</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上期</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调整前上期末未分配利润</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1,022,982,107.97</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947,273,347.94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调整期初未分配利润合计数（调增+，调减-）</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72,221.95</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调整后期初未分配利润</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1,023,054,329.92</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947,273,347.94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加：本期归属于母公司所有者的净利润</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-624,337,418.82</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36,180,690.39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期末未分配利润</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398,716,911.10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983,454,038.33</w:t>
            </w:r>
          </w:p>
        </w:tc>
      </w:tr>
    </w:tbl>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调整期初未分配利润明细：</w:t>
      </w:r>
    </w:p>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1)、由于《企业会计准则》及其相关新规定进行追溯调整，影响期初未分配利润72,221.95元。</w:t>
      </w:r>
    </w:p>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2)、由于会计政策变更，影响期初未分配利润0.00元。</w:t>
      </w:r>
    </w:p>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3)、由于重大会计差错更正，影响期初未分配利润0.00元。</w:t>
      </w:r>
    </w:p>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4)、由于同一控制导致的合并范围变更，影响期初未分配利润0.00元。</w:t>
      </w:r>
    </w:p>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5)、其他调整合计影响期初未分配利润0.00元。</w:t>
      </w:r>
    </w:p>
    <w:p>
      <w:pPr>
        <w:pStyle w:val="3"/>
        <w:spacing w:line="280" w:lineRule="exact"/>
        <w:jc w:val="left"/>
        <w:rPr>
          <w:rFonts w:ascii="Times New Roman" w:hAnsi="Times New Roman" w:cs="Times New Roman"/>
          <w:b/>
          <w:bCs/>
        </w:rPr>
      </w:pPr>
      <w:bookmarkStart w:id="333" w:name="_Toc989218"/>
      <w:r>
        <w:rPr>
          <w:rFonts w:ascii="Times New Roman" w:hAnsi="Times New Roman" w:cs="Times New Roman"/>
          <w:b/>
          <w:bCs/>
        </w:rPr>
        <w:t>61、营业收入和营业成本</w:t>
      </w:r>
      <w:bookmarkEnd w:id="333"/>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7"/>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w:t>
            </w:r>
          </w:p>
        </w:tc>
        <w:tc>
          <w:tcPr>
            <w:tcW w:w="385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本期发生额</w:t>
            </w:r>
          </w:p>
        </w:tc>
        <w:tc>
          <w:tcPr>
            <w:tcW w:w="385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收入</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成本</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收入</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成本</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主营业务</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6,718,526,542.23</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6,787,762,540.52</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6,807,835,707.66</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6,510,314,236.59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其他业务</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7,895,551.26</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3,490,456.11</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7,381,360.97</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4,033,386.81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合计</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6,726,422,093.49</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6,791,252,996.63</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6,815,217,068.63</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6,514,347,623.40</w:t>
            </w:r>
          </w:p>
        </w:tc>
      </w:tr>
    </w:tbl>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收入相关信息：</w:t>
      </w:r>
    </w:p>
    <w:p>
      <w:pPr>
        <w:spacing w:before="120" w:after="12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7"/>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合同分类</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分部1</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分部2</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商品类型</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其中：</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鲜冻肉</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4,702,452,464.84</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4,702,452,464.84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熟食制品</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115,720,006.76</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115,720,006.76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预制菜</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961,895,497.19</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961,895,497.19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进口贸易</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643,664,521.02</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643,664,521.02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其他</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302,689,603.68</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302,689,603.68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按经营地区分类</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　其中：</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山东省内</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2,622,092,610.46</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2,622,092,610.46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华东其他地区</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1,955,995,790.38</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1,955,995,790.38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华中地区</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933,056,308.83</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933,056,308.83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华北地区</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325,354,266.08</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325,354,266.08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华南地区</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178,766,917.49</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178,766,917.49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东北地区</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405,151,078.22</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405,151,078.22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西南地区</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261,740,606.82</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261,740,606.82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西北地区及其他</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44,264,515.21</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44,264,515.21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市场或客户类型</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　其中：</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合同类型</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　其中：</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按商品转让的时间分类</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　其中：</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按合同期限分类</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　其中：</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按销售渠道分类</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　其中：</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合计</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bl>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与履约义务相关的信息：</w:t>
      </w:r>
    </w:p>
    <w:p>
      <w:pPr>
        <w:pStyle w:val="8"/>
        <w:rPr>
          <w:rFonts w:ascii="Times New Roman" w:hAnsi="Times New Roman" w:cs="Times New Roman"/>
          <w:sz w:val="18"/>
          <w:szCs w:val="18"/>
        </w:rPr>
      </w:pPr>
      <w:r>
        <w:rPr>
          <w:rFonts w:ascii="Times New Roman" w:hAnsi="Times New Roman" w:cs="Times New Roman"/>
          <w:sz w:val="18"/>
          <w:szCs w:val="18"/>
        </w:rPr>
        <w:t>无</w:t>
      </w: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与分摊至剩余履约义务的交易价格相关的信息：</w:t>
      </w: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本报告期末已签订合同、但尚未履行或尚未履行完毕的履约义务所对应的收入金额为0.00元，其中，0.00元预计将于0年度确认收入，0.00元预计将于0年度确认收入，0.00元预计将于0年度确认收入。</w:t>
      </w: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其他说明</w:t>
      </w:r>
    </w:p>
    <w:p>
      <w:pPr>
        <w:rPr>
          <w:rFonts w:ascii="Times New Roman" w:hAnsi="Times New Roman" w:cs="Times New Roman"/>
        </w:rPr>
      </w:pPr>
    </w:p>
    <w:p>
      <w:pPr>
        <w:pStyle w:val="3"/>
        <w:spacing w:line="280" w:lineRule="exact"/>
        <w:jc w:val="left"/>
        <w:rPr>
          <w:rFonts w:ascii="Times New Roman" w:hAnsi="Times New Roman" w:cs="Times New Roman"/>
          <w:b/>
          <w:bCs/>
        </w:rPr>
      </w:pPr>
      <w:bookmarkStart w:id="334" w:name="_Toc989219"/>
      <w:r>
        <w:rPr>
          <w:rFonts w:ascii="Times New Roman" w:hAnsi="Times New Roman" w:cs="Times New Roman"/>
          <w:b/>
          <w:bCs/>
        </w:rPr>
        <w:t>62、税金及附加</w:t>
      </w:r>
      <w:bookmarkEnd w:id="334"/>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城市维护建设税</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89,236.95</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949,451.68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教育费附加</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64,422.47</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678,179.75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房产税</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3,463,965.78</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2,795,912.08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土地使用税</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2,468,475.14</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1,551,576.97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车船使用税</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28,736.42</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20,062.51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印花税</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4,625,569.12</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2,373,990.02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水利建设基金</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1,478.58</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1,707.94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水资源税</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296,060.60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226,773.66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环保税</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16,903.41</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125,207.35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11,054,848.47</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8,722,861.96</w:t>
            </w:r>
          </w:p>
        </w:tc>
      </w:tr>
    </w:tbl>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其他说明：</w:t>
      </w:r>
    </w:p>
    <w:p>
      <w:pPr>
        <w:pStyle w:val="8"/>
        <w:rPr>
          <w:rFonts w:ascii="Times New Roman" w:hAnsi="Times New Roman" w:cs="Times New Roman"/>
          <w:sz w:val="18"/>
          <w:szCs w:val="18"/>
        </w:rPr>
      </w:pPr>
      <w:r>
        <w:rPr>
          <w:rFonts w:ascii="Times New Roman" w:hAnsi="Times New Roman" w:cs="Times New Roman"/>
          <w:sz w:val="18"/>
          <w:szCs w:val="18"/>
        </w:rPr>
        <w:t>无</w:t>
      </w:r>
    </w:p>
    <w:p>
      <w:pPr>
        <w:pStyle w:val="3"/>
        <w:spacing w:line="280" w:lineRule="exact"/>
        <w:jc w:val="left"/>
        <w:rPr>
          <w:rFonts w:ascii="Times New Roman" w:hAnsi="Times New Roman" w:cs="Times New Roman"/>
          <w:b/>
          <w:bCs/>
        </w:rPr>
      </w:pPr>
      <w:bookmarkStart w:id="335" w:name="_Toc989220"/>
      <w:r>
        <w:rPr>
          <w:rFonts w:ascii="Times New Roman" w:hAnsi="Times New Roman" w:cs="Times New Roman"/>
          <w:b/>
          <w:bCs/>
        </w:rPr>
        <w:t>63、销售费用</w:t>
      </w:r>
      <w:bookmarkEnd w:id="335"/>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工资</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40,870,376.23</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42,984,273.83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广告费</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19,887.86</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25,380.25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差旅费</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1,614,072.93</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1,136,998.90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折旧费</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446,777.88</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743,955.57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租赁费</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1,294,780.77</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1,437,716.51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仓储费</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10,675,618.04</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13,465,259.62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服务费</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12,084,088.63</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12,313,831.53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装卸费</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926,514.25</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1,052,948.72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修理费</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18,076.69</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26,145.70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11,582,579.48</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15,790,590.39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79,532,772.76</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88,977,101.02</w:t>
            </w:r>
          </w:p>
        </w:tc>
      </w:tr>
    </w:tbl>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其他说明：</w:t>
      </w:r>
    </w:p>
    <w:p>
      <w:pPr>
        <w:rPr>
          <w:rFonts w:ascii="Times New Roman" w:hAnsi="Times New Roman" w:cs="Times New Roman"/>
        </w:rPr>
      </w:pPr>
    </w:p>
    <w:p>
      <w:pPr>
        <w:pStyle w:val="3"/>
        <w:spacing w:line="280" w:lineRule="exact"/>
        <w:jc w:val="left"/>
        <w:rPr>
          <w:rFonts w:ascii="Times New Roman" w:hAnsi="Times New Roman" w:cs="Times New Roman"/>
          <w:b/>
          <w:bCs/>
        </w:rPr>
      </w:pPr>
      <w:bookmarkStart w:id="336" w:name="_Toc989221"/>
      <w:r>
        <w:rPr>
          <w:rFonts w:ascii="Times New Roman" w:hAnsi="Times New Roman" w:cs="Times New Roman"/>
          <w:b/>
          <w:bCs/>
        </w:rPr>
        <w:t>64、管理费用</w:t>
      </w:r>
      <w:bookmarkEnd w:id="336"/>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工资</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61,637,074.68</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69,921,723.81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仓储费</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6,117,190.12</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5,182,426.48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折旧费</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13,355,558.87</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6,998,550.30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无形资产摊销</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2,390,120.90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1,610,419.19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差旅费</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1,839,287.34</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974,433.12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修理费</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789,643.74</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2,893,065.77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47,711,264.03</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39,545,591.87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133,840,139.68</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127,126,210.54</w:t>
            </w:r>
          </w:p>
        </w:tc>
      </w:tr>
    </w:tbl>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其他说明</w:t>
      </w:r>
    </w:p>
    <w:p>
      <w:pPr>
        <w:rPr>
          <w:rFonts w:ascii="Times New Roman" w:hAnsi="Times New Roman" w:cs="Times New Roman"/>
        </w:rPr>
      </w:pPr>
    </w:p>
    <w:p>
      <w:pPr>
        <w:pStyle w:val="3"/>
        <w:spacing w:line="280" w:lineRule="exact"/>
        <w:jc w:val="left"/>
        <w:rPr>
          <w:rFonts w:ascii="Times New Roman" w:hAnsi="Times New Roman" w:cs="Times New Roman"/>
          <w:b/>
          <w:bCs/>
        </w:rPr>
      </w:pPr>
      <w:bookmarkStart w:id="337" w:name="_Toc989222"/>
      <w:r>
        <w:rPr>
          <w:rFonts w:ascii="Times New Roman" w:hAnsi="Times New Roman" w:cs="Times New Roman"/>
          <w:b/>
          <w:bCs/>
        </w:rPr>
        <w:t>65、研发费用</w:t>
      </w:r>
      <w:bookmarkEnd w:id="337"/>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原材料</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701,120.11</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653,947.22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工资费用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3,621,077.35</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3,132,882.42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折旧费</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270,574.37</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110,404.88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差旅费</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195,333.68</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71,234.17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其他费用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259,293.92</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140,363.54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5,047,399.43</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4,108,832.23</w:t>
            </w:r>
          </w:p>
        </w:tc>
      </w:tr>
    </w:tbl>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其他说明</w:t>
      </w:r>
    </w:p>
    <w:p>
      <w:pPr>
        <w:rPr>
          <w:rFonts w:ascii="Times New Roman" w:hAnsi="Times New Roman" w:cs="Times New Roman"/>
        </w:rPr>
      </w:pPr>
    </w:p>
    <w:p>
      <w:pPr>
        <w:pStyle w:val="3"/>
        <w:spacing w:line="280" w:lineRule="exact"/>
        <w:jc w:val="left"/>
        <w:rPr>
          <w:rFonts w:ascii="Times New Roman" w:hAnsi="Times New Roman" w:cs="Times New Roman"/>
          <w:b/>
          <w:bCs/>
        </w:rPr>
      </w:pPr>
      <w:bookmarkStart w:id="338" w:name="_Toc989223"/>
      <w:r>
        <w:rPr>
          <w:rFonts w:ascii="Times New Roman" w:hAnsi="Times New Roman" w:cs="Times New Roman"/>
          <w:b/>
          <w:bCs/>
        </w:rPr>
        <w:t>66、财务费用</w:t>
      </w:r>
      <w:bookmarkEnd w:id="338"/>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利息支出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48,892,795.35</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56,185,841.44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减：利息收入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-19,739,406.54</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-34,191,678.53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手续费支出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1,539,646.57</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1,309,193.83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汇兑损益</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-489,663.10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2,796,643.34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30,203,372.28</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26,100,000.08</w:t>
            </w:r>
          </w:p>
        </w:tc>
      </w:tr>
    </w:tbl>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其他说明</w:t>
      </w:r>
    </w:p>
    <w:p>
      <w:pPr>
        <w:rPr>
          <w:rFonts w:ascii="Times New Roman" w:hAnsi="Times New Roman" w:cs="Times New Roman"/>
        </w:rPr>
      </w:pPr>
    </w:p>
    <w:p>
      <w:pPr>
        <w:pStyle w:val="3"/>
        <w:spacing w:line="280" w:lineRule="exact"/>
        <w:jc w:val="left"/>
        <w:rPr>
          <w:rFonts w:ascii="Times New Roman" w:hAnsi="Times New Roman" w:cs="Times New Roman"/>
          <w:b/>
          <w:bCs/>
        </w:rPr>
      </w:pPr>
      <w:bookmarkStart w:id="339" w:name="_Toc989224"/>
      <w:r>
        <w:rPr>
          <w:rFonts w:ascii="Times New Roman" w:hAnsi="Times New Roman" w:cs="Times New Roman"/>
          <w:b/>
          <w:bCs/>
        </w:rPr>
        <w:t>67、其他收益</w:t>
      </w:r>
      <w:bookmarkEnd w:id="339"/>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产生其他收益的来源</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与日常活动相关的政府补助</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6,210,255.05</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6,792,250.81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代扣个人所得税手续费返回</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102,965.97</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533,540.90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代扣企业所得税手续费返还</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1,860.52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6,313,221.02</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7,327,652.23</w:t>
            </w:r>
          </w:p>
        </w:tc>
      </w:tr>
    </w:tbl>
    <w:p>
      <w:pPr>
        <w:pStyle w:val="3"/>
        <w:spacing w:line="280" w:lineRule="exact"/>
        <w:jc w:val="left"/>
        <w:rPr>
          <w:rFonts w:ascii="Times New Roman" w:hAnsi="Times New Roman" w:cs="Times New Roman"/>
          <w:b/>
          <w:bCs/>
        </w:rPr>
      </w:pPr>
      <w:bookmarkStart w:id="340" w:name="_Toc989225"/>
      <w:r>
        <w:rPr>
          <w:rFonts w:ascii="Times New Roman" w:hAnsi="Times New Roman" w:cs="Times New Roman"/>
          <w:b/>
          <w:bCs/>
        </w:rPr>
        <w:t>68、投资收益</w:t>
      </w:r>
      <w:bookmarkEnd w:id="340"/>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r>
    </w:tbl>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其他说明</w:t>
      </w:r>
    </w:p>
    <w:p>
      <w:pPr>
        <w:rPr>
          <w:rFonts w:ascii="Times New Roman" w:hAnsi="Times New Roman" w:cs="Times New Roman"/>
        </w:rPr>
      </w:pPr>
    </w:p>
    <w:p>
      <w:pPr>
        <w:pStyle w:val="3"/>
        <w:spacing w:line="280" w:lineRule="exact"/>
        <w:jc w:val="left"/>
        <w:rPr>
          <w:rFonts w:ascii="Times New Roman" w:hAnsi="Times New Roman" w:cs="Times New Roman"/>
          <w:b/>
          <w:bCs/>
        </w:rPr>
      </w:pPr>
      <w:bookmarkStart w:id="341" w:name="_Toc989226"/>
      <w:r>
        <w:rPr>
          <w:rFonts w:ascii="Times New Roman" w:hAnsi="Times New Roman" w:cs="Times New Roman"/>
          <w:b/>
          <w:bCs/>
        </w:rPr>
        <w:t>69、净敞口套期收益</w:t>
      </w:r>
      <w:bookmarkEnd w:id="341"/>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r>
    </w:tbl>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其他说明</w:t>
      </w:r>
    </w:p>
    <w:p>
      <w:pPr>
        <w:rPr>
          <w:rFonts w:ascii="Times New Roman" w:hAnsi="Times New Roman" w:cs="Times New Roman"/>
        </w:rPr>
      </w:pPr>
    </w:p>
    <w:p>
      <w:pPr>
        <w:pStyle w:val="3"/>
        <w:spacing w:line="280" w:lineRule="exact"/>
        <w:jc w:val="left"/>
        <w:rPr>
          <w:rFonts w:ascii="Times New Roman" w:hAnsi="Times New Roman" w:cs="Times New Roman"/>
          <w:b/>
          <w:bCs/>
        </w:rPr>
      </w:pPr>
      <w:bookmarkStart w:id="342" w:name="_Toc989227"/>
      <w:r>
        <w:rPr>
          <w:rFonts w:ascii="Times New Roman" w:hAnsi="Times New Roman" w:cs="Times New Roman"/>
          <w:b/>
          <w:bCs/>
        </w:rPr>
        <w:t>70、公允价值变动收益</w:t>
      </w:r>
      <w:bookmarkEnd w:id="342"/>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产生公允价值变动收益的来源</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r>
    </w:tbl>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其他说明：</w:t>
      </w:r>
    </w:p>
    <w:p>
      <w:pPr>
        <w:rPr>
          <w:rFonts w:ascii="Times New Roman" w:hAnsi="Times New Roman" w:cs="Times New Roman"/>
        </w:rPr>
      </w:pPr>
    </w:p>
    <w:p>
      <w:pPr>
        <w:pStyle w:val="3"/>
        <w:spacing w:line="280" w:lineRule="exact"/>
        <w:jc w:val="left"/>
        <w:rPr>
          <w:rFonts w:ascii="Times New Roman" w:hAnsi="Times New Roman" w:cs="Times New Roman"/>
          <w:b/>
          <w:bCs/>
        </w:rPr>
      </w:pPr>
      <w:bookmarkStart w:id="343" w:name="_Toc989228"/>
      <w:r>
        <w:rPr>
          <w:rFonts w:ascii="Times New Roman" w:hAnsi="Times New Roman" w:cs="Times New Roman"/>
          <w:b/>
          <w:bCs/>
        </w:rPr>
        <w:t>71、信用减值损失</w:t>
      </w:r>
      <w:bookmarkEnd w:id="343"/>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其他应收款坏账损失</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-3,855,381.42</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-807,602.52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应收账款减值损失</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6,258,065.29</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6,949,986.25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2,402,683.87</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6,142,383.73</w:t>
            </w:r>
          </w:p>
        </w:tc>
      </w:tr>
    </w:tbl>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其他说明</w:t>
      </w:r>
    </w:p>
    <w:p>
      <w:pPr>
        <w:rPr>
          <w:rFonts w:ascii="Times New Roman" w:hAnsi="Times New Roman" w:cs="Times New Roman"/>
        </w:rPr>
      </w:pPr>
    </w:p>
    <w:p>
      <w:pPr>
        <w:pStyle w:val="3"/>
        <w:spacing w:line="280" w:lineRule="exact"/>
        <w:jc w:val="left"/>
        <w:rPr>
          <w:rFonts w:ascii="Times New Roman" w:hAnsi="Times New Roman" w:cs="Times New Roman"/>
          <w:b/>
          <w:bCs/>
        </w:rPr>
      </w:pPr>
      <w:bookmarkStart w:id="344" w:name="_Toc989229"/>
      <w:r>
        <w:rPr>
          <w:rFonts w:ascii="Times New Roman" w:hAnsi="Times New Roman" w:cs="Times New Roman"/>
          <w:b/>
          <w:bCs/>
        </w:rPr>
        <w:t>72、资产减值损失</w:t>
      </w:r>
      <w:bookmarkEnd w:id="344"/>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二、存货跌价损失及合同履约成本减值损失</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-187,857,128.38</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106,796,687.79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-187,857,128.38</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106,796,687.79</w:t>
            </w:r>
          </w:p>
        </w:tc>
      </w:tr>
    </w:tbl>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其他说明：</w:t>
      </w:r>
    </w:p>
    <w:p>
      <w:pPr>
        <w:rPr>
          <w:rFonts w:ascii="Times New Roman" w:hAnsi="Times New Roman" w:cs="Times New Roman"/>
        </w:rPr>
      </w:pPr>
    </w:p>
    <w:p>
      <w:pPr>
        <w:pStyle w:val="3"/>
        <w:spacing w:line="280" w:lineRule="exact"/>
        <w:jc w:val="left"/>
        <w:rPr>
          <w:rFonts w:ascii="Times New Roman" w:hAnsi="Times New Roman" w:cs="Times New Roman"/>
          <w:b/>
          <w:bCs/>
        </w:rPr>
      </w:pPr>
      <w:bookmarkStart w:id="345" w:name="_Toc989230"/>
      <w:r>
        <w:rPr>
          <w:rFonts w:ascii="Times New Roman" w:hAnsi="Times New Roman" w:cs="Times New Roman"/>
          <w:b/>
          <w:bCs/>
        </w:rPr>
        <w:t>73、资产处置收益</w:t>
      </w:r>
      <w:bookmarkEnd w:id="345"/>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资产处置收益的来源</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处置非流动资产的利得（损失"-"）</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-169,167,507.67</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-61,744,197.18</w:t>
            </w:r>
          </w:p>
        </w:tc>
      </w:tr>
    </w:tbl>
    <w:p>
      <w:pPr>
        <w:pStyle w:val="3"/>
        <w:spacing w:line="280" w:lineRule="exact"/>
        <w:jc w:val="left"/>
        <w:rPr>
          <w:rFonts w:ascii="Times New Roman" w:hAnsi="Times New Roman" w:cs="Times New Roman"/>
          <w:b/>
          <w:bCs/>
        </w:rPr>
      </w:pPr>
      <w:bookmarkStart w:id="346" w:name="_Toc989231"/>
      <w:r>
        <w:rPr>
          <w:rFonts w:ascii="Times New Roman" w:hAnsi="Times New Roman" w:cs="Times New Roman"/>
          <w:b/>
          <w:bCs/>
        </w:rPr>
        <w:t>74、营业外收入</w:t>
      </w:r>
      <w:bookmarkEnd w:id="346"/>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09"/>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本期发生额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上期发生额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计入当期非经常性损益的金额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其他</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5,084,589.62</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4,430,684.58</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5,084,589.62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合计</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5,084,589.62</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4,430,684.58</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5,084,589.62</w:t>
            </w:r>
          </w:p>
        </w:tc>
      </w:tr>
    </w:tbl>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计入当期损益的政府补助：</w:t>
      </w:r>
    </w:p>
    <w:p>
      <w:pPr>
        <w:spacing w:before="120" w:after="12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71"/>
        <w:gridCol w:w="1071"/>
        <w:gridCol w:w="1071"/>
        <w:gridCol w:w="1071"/>
        <w:gridCol w:w="1071"/>
        <w:gridCol w:w="1071"/>
        <w:gridCol w:w="1071"/>
        <w:gridCol w:w="1071"/>
        <w:gridCol w:w="107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补助项目</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发放主体</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发放原因</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性质类型</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补贴是否影响当年盈亏</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是否特殊补贴</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本期发生金额</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上期发生金额</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与资产相关/与收益相关</w:t>
            </w:r>
          </w:p>
        </w:tc>
      </w:tr>
    </w:tbl>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其他说明：</w:t>
      </w:r>
    </w:p>
    <w:p>
      <w:pPr>
        <w:rPr>
          <w:rFonts w:ascii="Times New Roman" w:hAnsi="Times New Roman" w:cs="Times New Roman"/>
        </w:rPr>
      </w:pPr>
    </w:p>
    <w:p>
      <w:pPr>
        <w:pStyle w:val="3"/>
        <w:spacing w:line="280" w:lineRule="exact"/>
        <w:jc w:val="left"/>
        <w:rPr>
          <w:rFonts w:ascii="Times New Roman" w:hAnsi="Times New Roman" w:cs="Times New Roman"/>
          <w:b/>
          <w:bCs/>
        </w:rPr>
      </w:pPr>
      <w:bookmarkStart w:id="347" w:name="_Toc989232"/>
      <w:r>
        <w:rPr>
          <w:rFonts w:ascii="Times New Roman" w:hAnsi="Times New Roman" w:cs="Times New Roman"/>
          <w:b/>
          <w:bCs/>
        </w:rPr>
        <w:t>75、营业外支出</w:t>
      </w:r>
      <w:bookmarkEnd w:id="347"/>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09"/>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本期发生额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上期发生额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计入当期非经常性损益的金额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对外捐赠</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388,437.30</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388,437.30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其他</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1,135,714.40</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1,111,526.56</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1,135,714.40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非流动资产毁损报废损失</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531,689.64</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1,845.57</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531,689.64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其中：固定资产</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531,689.64</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1,845.57</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531,689.64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合计</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2,055,841.34</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1,113,372.13</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2,055,841.34</w:t>
            </w:r>
          </w:p>
        </w:tc>
      </w:tr>
    </w:tbl>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其他说明：</w:t>
      </w:r>
    </w:p>
    <w:p>
      <w:pPr>
        <w:pStyle w:val="3"/>
        <w:spacing w:line="280" w:lineRule="exact"/>
        <w:jc w:val="left"/>
        <w:rPr>
          <w:rFonts w:ascii="Times New Roman" w:hAnsi="Times New Roman" w:cs="Times New Roman"/>
          <w:b/>
          <w:bCs/>
        </w:rPr>
      </w:pPr>
      <w:bookmarkStart w:id="348" w:name="_Toc989233"/>
      <w:r>
        <w:rPr>
          <w:rFonts w:ascii="Times New Roman" w:hAnsi="Times New Roman" w:cs="Times New Roman"/>
          <w:b/>
          <w:bCs/>
        </w:rPr>
        <w:t>76、所得税费用</w:t>
      </w:r>
      <w:bookmarkEnd w:id="348"/>
    </w:p>
    <w:p>
      <w:pPr>
        <w:keepNext/>
        <w:keepLines/>
        <w:spacing w:before="300" w:after="300" w:line="280" w:lineRule="exact"/>
        <w:outlineLvl w:val="3"/>
        <w:rPr>
          <w:rFonts w:ascii="Times New Roman" w:hAnsi="Times New Roman" w:eastAsia="宋体" w:cs="Times New Roman"/>
          <w:b/>
          <w:bCs/>
          <w:szCs w:val="21"/>
        </w:rPr>
      </w:pPr>
      <w:bookmarkStart w:id="349" w:name="_Toc989234"/>
      <w:r>
        <w:rPr>
          <w:rFonts w:ascii="Times New Roman" w:hAnsi="Times New Roman" w:eastAsia="宋体" w:cs="Times New Roman"/>
          <w:b/>
          <w:bCs/>
          <w:szCs w:val="21"/>
        </w:rPr>
        <w:t>（1） 所得税费用表</w:t>
      </w:r>
      <w:bookmarkEnd w:id="349"/>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当期所得税费用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139,375.71</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210,151.93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递延所得税费用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-2,052,046.38</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17,186,487.00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-1,912,670.67</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17,396,638.93</w:t>
            </w:r>
          </w:p>
        </w:tc>
      </w:tr>
    </w:tbl>
    <w:p>
      <w:pPr>
        <w:keepNext/>
        <w:keepLines/>
        <w:spacing w:before="300" w:after="300" w:line="280" w:lineRule="exact"/>
        <w:outlineLvl w:val="3"/>
        <w:rPr>
          <w:rFonts w:ascii="Times New Roman" w:hAnsi="Times New Roman" w:eastAsia="宋体" w:cs="Times New Roman"/>
          <w:b/>
          <w:bCs/>
          <w:szCs w:val="21"/>
        </w:rPr>
      </w:pPr>
      <w:bookmarkStart w:id="350" w:name="_Toc989235"/>
      <w:r>
        <w:rPr>
          <w:rFonts w:ascii="Times New Roman" w:hAnsi="Times New Roman" w:eastAsia="宋体" w:cs="Times New Roman"/>
          <w:b/>
          <w:bCs/>
          <w:szCs w:val="21"/>
        </w:rPr>
        <w:t>（2） 会计利润与所得税费用调整过程</w:t>
      </w:r>
      <w:bookmarkEnd w:id="350"/>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1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本期发生额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利润总额</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-669,789,418.64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按法定/适用税率计算的所得税费用</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-167,447,354.66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子公司适用不同税率的影响</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798,035.67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调整以前期间所得税的影响</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19,248.86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非应税收入的影响</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-4,194,024.39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不可抵扣的成本、费用和损失的影响</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600,174.79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使用前期未确认递延所得税资产的可抵扣亏损的影响</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-1,250,541.73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本期未确认递延所得税资产的可抵扣暂时性差异或可抵扣亏损的影响</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169,736,934.72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研发支出影响</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-175,143.89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所得税费用</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-1,912,670.67</w:t>
            </w:r>
          </w:p>
        </w:tc>
      </w:tr>
    </w:tbl>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其他说明</w:t>
      </w:r>
    </w:p>
    <w:p>
      <w:pPr>
        <w:rPr>
          <w:rFonts w:ascii="Times New Roman" w:hAnsi="Times New Roman" w:cs="Times New Roman"/>
        </w:rPr>
      </w:pPr>
    </w:p>
    <w:p>
      <w:pPr>
        <w:pStyle w:val="3"/>
        <w:spacing w:line="280" w:lineRule="exact"/>
        <w:jc w:val="left"/>
        <w:rPr>
          <w:rFonts w:ascii="Times New Roman" w:hAnsi="Times New Roman" w:cs="Times New Roman"/>
          <w:b/>
          <w:bCs/>
        </w:rPr>
      </w:pPr>
      <w:bookmarkStart w:id="351" w:name="_Toc989236"/>
      <w:r>
        <w:rPr>
          <w:rFonts w:ascii="Times New Roman" w:hAnsi="Times New Roman" w:cs="Times New Roman"/>
          <w:b/>
          <w:bCs/>
        </w:rPr>
        <w:t>77、其他综合收益</w:t>
      </w:r>
      <w:bookmarkEnd w:id="351"/>
    </w:p>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详见附注七、 57“其他综合收益”</w:t>
      </w:r>
    </w:p>
    <w:p>
      <w:pPr>
        <w:pStyle w:val="3"/>
        <w:spacing w:line="280" w:lineRule="exact"/>
        <w:jc w:val="left"/>
        <w:rPr>
          <w:rFonts w:ascii="Times New Roman" w:hAnsi="Times New Roman" w:cs="Times New Roman"/>
          <w:b/>
          <w:bCs/>
        </w:rPr>
      </w:pPr>
      <w:bookmarkStart w:id="352" w:name="_Toc989237"/>
      <w:r>
        <w:rPr>
          <w:rFonts w:ascii="Times New Roman" w:hAnsi="Times New Roman" w:cs="Times New Roman"/>
          <w:b/>
          <w:bCs/>
        </w:rPr>
        <w:t>78、现金流量表项目</w:t>
      </w:r>
      <w:bookmarkEnd w:id="352"/>
    </w:p>
    <w:p>
      <w:pPr>
        <w:keepNext/>
        <w:keepLines/>
        <w:spacing w:before="300" w:after="300" w:line="280" w:lineRule="exact"/>
        <w:outlineLvl w:val="3"/>
        <w:rPr>
          <w:rFonts w:ascii="Times New Roman" w:hAnsi="Times New Roman" w:eastAsia="宋体" w:cs="Times New Roman"/>
          <w:b/>
          <w:bCs/>
          <w:szCs w:val="21"/>
        </w:rPr>
      </w:pPr>
      <w:bookmarkStart w:id="353" w:name="_Toc989238"/>
      <w:r>
        <w:rPr>
          <w:rFonts w:ascii="Times New Roman" w:hAnsi="Times New Roman" w:eastAsia="宋体" w:cs="Times New Roman"/>
          <w:b/>
          <w:bCs/>
          <w:szCs w:val="21"/>
        </w:rPr>
        <w:t>（1） 收到的其他与经营活动有关的现金</w:t>
      </w:r>
      <w:bookmarkEnd w:id="353"/>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利息收入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8,182,620.81</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24,834,236.89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政府补贴</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4,210,944.00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5,344,002.55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押金和保证金</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36,866,023.98</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33,657,160.51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备用金等</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75,324,560.77</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17,755,293.40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124,584,149.56</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81,590,693.35</w:t>
            </w:r>
          </w:p>
        </w:tc>
      </w:tr>
    </w:tbl>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收到的其他与经营活动有关的现金说明：</w:t>
      </w:r>
    </w:p>
    <w:p>
      <w:pPr>
        <w:rPr>
          <w:rFonts w:ascii="Times New Roman" w:hAnsi="Times New Roman" w:cs="Times New Roman"/>
        </w:rPr>
      </w:pPr>
    </w:p>
    <w:p>
      <w:pPr>
        <w:keepNext/>
        <w:keepLines/>
        <w:spacing w:before="300" w:after="300" w:line="280" w:lineRule="exact"/>
        <w:outlineLvl w:val="3"/>
        <w:rPr>
          <w:rFonts w:ascii="Times New Roman" w:hAnsi="Times New Roman" w:eastAsia="宋体" w:cs="Times New Roman"/>
          <w:b/>
          <w:bCs/>
          <w:szCs w:val="21"/>
        </w:rPr>
      </w:pPr>
      <w:bookmarkStart w:id="354" w:name="_Toc989239"/>
      <w:r>
        <w:rPr>
          <w:rFonts w:ascii="Times New Roman" w:hAnsi="Times New Roman" w:eastAsia="宋体" w:cs="Times New Roman"/>
          <w:b/>
          <w:bCs/>
          <w:szCs w:val="21"/>
        </w:rPr>
        <w:t>（2） 支付的其他与经营活动有关的现金</w:t>
      </w:r>
      <w:bookmarkEnd w:id="354"/>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管理费用支出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32,815,567.06</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38,170,424.99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销售费用支出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32,552,674.37</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7,212,175.36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财务费用支出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429,181.79</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984,138.86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捐赠支出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90,000.00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61,840.00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押金保证金备用金等</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71,782,203.15</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82,763,705.48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137,669,626.37</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129,192,284.69</w:t>
            </w:r>
          </w:p>
        </w:tc>
      </w:tr>
    </w:tbl>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支付的其他与经营活动有关的现金说明：</w:t>
      </w:r>
    </w:p>
    <w:p>
      <w:pPr>
        <w:rPr>
          <w:rFonts w:ascii="Times New Roman" w:hAnsi="Times New Roman" w:cs="Times New Roman"/>
        </w:rPr>
      </w:pPr>
    </w:p>
    <w:p>
      <w:pPr>
        <w:keepNext/>
        <w:keepLines/>
        <w:spacing w:before="300" w:after="300" w:line="280" w:lineRule="exact"/>
        <w:outlineLvl w:val="3"/>
        <w:rPr>
          <w:rFonts w:ascii="Times New Roman" w:hAnsi="Times New Roman" w:eastAsia="宋体" w:cs="Times New Roman"/>
          <w:b/>
          <w:bCs/>
          <w:szCs w:val="21"/>
        </w:rPr>
      </w:pPr>
      <w:bookmarkStart w:id="355" w:name="_Toc989240"/>
      <w:r>
        <w:rPr>
          <w:rFonts w:ascii="Times New Roman" w:hAnsi="Times New Roman" w:eastAsia="宋体" w:cs="Times New Roman"/>
          <w:b/>
          <w:bCs/>
          <w:szCs w:val="21"/>
        </w:rPr>
        <w:t>（3） 收到的其他与投资活动有关的现金</w:t>
      </w:r>
      <w:bookmarkEnd w:id="355"/>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上期发生额</w:t>
            </w:r>
          </w:p>
        </w:tc>
      </w:tr>
    </w:tbl>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收到的其他与投资活动有关的现金说明：</w:t>
      </w:r>
    </w:p>
    <w:p>
      <w:pPr>
        <w:rPr>
          <w:rFonts w:ascii="Times New Roman" w:hAnsi="Times New Roman" w:cs="Times New Roman"/>
        </w:rPr>
      </w:pPr>
    </w:p>
    <w:p>
      <w:pPr>
        <w:keepNext/>
        <w:keepLines/>
        <w:spacing w:before="300" w:after="300" w:line="280" w:lineRule="exact"/>
        <w:outlineLvl w:val="3"/>
        <w:rPr>
          <w:rFonts w:ascii="Times New Roman" w:hAnsi="Times New Roman" w:eastAsia="宋体" w:cs="Times New Roman"/>
          <w:b/>
          <w:bCs/>
          <w:szCs w:val="21"/>
        </w:rPr>
      </w:pPr>
      <w:bookmarkStart w:id="356" w:name="_Toc989241"/>
      <w:r>
        <w:rPr>
          <w:rFonts w:ascii="Times New Roman" w:hAnsi="Times New Roman" w:eastAsia="宋体" w:cs="Times New Roman"/>
          <w:b/>
          <w:bCs/>
          <w:szCs w:val="21"/>
        </w:rPr>
        <w:t>（4） 支付的其他与投资活动有关的现金</w:t>
      </w:r>
      <w:bookmarkEnd w:id="356"/>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上期发生额</w:t>
            </w:r>
          </w:p>
        </w:tc>
      </w:tr>
    </w:tbl>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支付的其他与投资活动有关的现金说明：</w:t>
      </w:r>
    </w:p>
    <w:p>
      <w:pPr>
        <w:rPr>
          <w:rFonts w:ascii="Times New Roman" w:hAnsi="Times New Roman" w:cs="Times New Roman"/>
        </w:rPr>
      </w:pPr>
    </w:p>
    <w:p>
      <w:pPr>
        <w:keepNext/>
        <w:keepLines/>
        <w:spacing w:before="300" w:after="300" w:line="280" w:lineRule="exact"/>
        <w:outlineLvl w:val="3"/>
        <w:rPr>
          <w:rFonts w:ascii="Times New Roman" w:hAnsi="Times New Roman" w:eastAsia="宋体" w:cs="Times New Roman"/>
          <w:b/>
          <w:bCs/>
          <w:szCs w:val="21"/>
        </w:rPr>
      </w:pPr>
      <w:bookmarkStart w:id="357" w:name="_Toc989242"/>
      <w:r>
        <w:rPr>
          <w:rFonts w:ascii="Times New Roman" w:hAnsi="Times New Roman" w:eastAsia="宋体" w:cs="Times New Roman"/>
          <w:b/>
          <w:bCs/>
          <w:szCs w:val="21"/>
        </w:rPr>
        <w:t>（5） 收到的其他与筹资活动有关的现金</w:t>
      </w:r>
      <w:bookmarkEnd w:id="357"/>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借款</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436,663,265.28</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融资租赁款</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50,000,000.00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票据、供应链融资收款</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172,832,840.90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659,496,106.18</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r>
    </w:tbl>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收到的其他与筹资活动有关的现金说明：</w:t>
      </w:r>
    </w:p>
    <w:p>
      <w:pPr>
        <w:rPr>
          <w:rFonts w:ascii="Times New Roman" w:hAnsi="Times New Roman" w:cs="Times New Roman"/>
        </w:rPr>
      </w:pPr>
    </w:p>
    <w:p>
      <w:pPr>
        <w:keepNext/>
        <w:keepLines/>
        <w:spacing w:before="300" w:after="300" w:line="280" w:lineRule="exact"/>
        <w:outlineLvl w:val="3"/>
        <w:rPr>
          <w:rFonts w:ascii="Times New Roman" w:hAnsi="Times New Roman" w:eastAsia="宋体" w:cs="Times New Roman"/>
          <w:b/>
          <w:bCs/>
          <w:szCs w:val="21"/>
        </w:rPr>
      </w:pPr>
      <w:bookmarkStart w:id="358" w:name="_Toc989243"/>
      <w:r>
        <w:rPr>
          <w:rFonts w:ascii="Times New Roman" w:hAnsi="Times New Roman" w:eastAsia="宋体" w:cs="Times New Roman"/>
          <w:b/>
          <w:bCs/>
          <w:szCs w:val="21"/>
        </w:rPr>
        <w:t>（6） 支付的其他与筹资活动有关的现金</w:t>
      </w:r>
      <w:bookmarkEnd w:id="358"/>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还借款</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427,792,127.42</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限制性股票回购款</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534,170.00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租赁负债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5,951,236.61</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11,908,960.82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融资服务费</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3,266,000.00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票据、供应链融资付款</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10,000,000.00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库存股回购款</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49,008,411.24</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496,017,775.27</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12,443,130.82</w:t>
            </w:r>
          </w:p>
        </w:tc>
      </w:tr>
    </w:tbl>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支付的其他与筹资活动有关的现金说明：</w:t>
      </w:r>
    </w:p>
    <w:p>
      <w:pPr>
        <w:rPr>
          <w:rFonts w:ascii="Times New Roman" w:hAnsi="Times New Roman" w:cs="Times New Roman"/>
        </w:rPr>
      </w:pPr>
    </w:p>
    <w:p>
      <w:pPr>
        <w:pStyle w:val="3"/>
        <w:spacing w:line="280" w:lineRule="exact"/>
        <w:jc w:val="left"/>
        <w:rPr>
          <w:rFonts w:ascii="Times New Roman" w:hAnsi="Times New Roman" w:cs="Times New Roman"/>
          <w:b/>
          <w:bCs/>
        </w:rPr>
      </w:pPr>
      <w:bookmarkStart w:id="359" w:name="_Toc989244"/>
      <w:r>
        <w:rPr>
          <w:rFonts w:ascii="Times New Roman" w:hAnsi="Times New Roman" w:cs="Times New Roman"/>
          <w:b/>
          <w:bCs/>
        </w:rPr>
        <w:t>79、现金流量表补充资料</w:t>
      </w:r>
      <w:bookmarkEnd w:id="359"/>
    </w:p>
    <w:p>
      <w:pPr>
        <w:keepNext/>
        <w:keepLines/>
        <w:spacing w:before="300" w:after="300" w:line="280" w:lineRule="exact"/>
        <w:outlineLvl w:val="3"/>
        <w:rPr>
          <w:rFonts w:ascii="Times New Roman" w:hAnsi="Times New Roman" w:eastAsia="宋体" w:cs="Times New Roman"/>
          <w:b/>
          <w:bCs/>
          <w:szCs w:val="21"/>
        </w:rPr>
      </w:pPr>
      <w:bookmarkStart w:id="360" w:name="_Toc989245"/>
      <w:r>
        <w:rPr>
          <w:rFonts w:ascii="Times New Roman" w:hAnsi="Times New Roman" w:eastAsia="宋体" w:cs="Times New Roman"/>
          <w:b/>
          <w:bCs/>
          <w:szCs w:val="21"/>
        </w:rPr>
        <w:t>（1） 现金流量表补充资料</w:t>
      </w:r>
      <w:bookmarkEnd w:id="360"/>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补充资料</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本期金额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上期金额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1．将净利润调节为经营活动现金流量：</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净利润</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-667,876,747.97</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90,277,639.49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加：资产减值准备</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144,045,232.19</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-112,939,071.52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rPr>
                <w:rFonts w:ascii="Times New Roman" w:hAnsi="Times New Roman" w:eastAsia="宋体" w:cs="Times New Roman"/>
                <w:sz w:val="18"/>
                <w:szCs w:val="18"/>
              </w:rPr>
            </w:pPr>
            <w:r>
              <w:rPr>
                <w:rFonts w:ascii="Times New Roman" w:hAnsi="Times New Roman" w:eastAsia="宋体" w:cs="Times New Roman"/>
                <w:sz w:val="18"/>
                <w:szCs w:val="18"/>
              </w:rPr>
              <w:t>固定资产折旧、油气资产折耗、生产性生物资产折旧</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104,284,657.51</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80,182,703.66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rPr>
                <w:rFonts w:ascii="Times New Roman" w:hAnsi="Times New Roman" w:eastAsia="宋体" w:cs="Times New Roman"/>
                <w:sz w:val="18"/>
                <w:szCs w:val="18"/>
              </w:rPr>
            </w:pPr>
            <w:r>
              <w:rPr>
                <w:rFonts w:ascii="Times New Roman" w:hAnsi="Times New Roman" w:eastAsia="宋体" w:cs="Times New Roman"/>
                <w:sz w:val="18"/>
                <w:szCs w:val="18"/>
              </w:rPr>
              <w:t>使用权资产折旧</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6,952,549.20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8,289,332.72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rPr>
                <w:rFonts w:ascii="Times New Roman" w:hAnsi="Times New Roman" w:eastAsia="宋体" w:cs="Times New Roman"/>
                <w:sz w:val="18"/>
                <w:szCs w:val="18"/>
              </w:rPr>
            </w:pPr>
            <w:r>
              <w:rPr>
                <w:rFonts w:ascii="Times New Roman" w:hAnsi="Times New Roman" w:eastAsia="宋体" w:cs="Times New Roman"/>
                <w:sz w:val="18"/>
                <w:szCs w:val="18"/>
              </w:rPr>
              <w:t>无形资产摊销</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2,731,980.91</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2,064,765.45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rPr>
                <w:rFonts w:ascii="Times New Roman" w:hAnsi="Times New Roman" w:eastAsia="宋体" w:cs="Times New Roman"/>
                <w:sz w:val="18"/>
                <w:szCs w:val="18"/>
              </w:rPr>
            </w:pPr>
            <w:r>
              <w:rPr>
                <w:rFonts w:ascii="Times New Roman" w:hAnsi="Times New Roman" w:eastAsia="宋体" w:cs="Times New Roman"/>
                <w:sz w:val="18"/>
                <w:szCs w:val="18"/>
              </w:rPr>
              <w:t>长期待摊费用摊销</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2,739,197.76</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2,106,895.20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rPr>
                <w:rFonts w:ascii="Times New Roman" w:hAnsi="Times New Roman" w:eastAsia="宋体" w:cs="Times New Roman"/>
                <w:sz w:val="18"/>
                <w:szCs w:val="18"/>
              </w:rPr>
            </w:pPr>
            <w:r>
              <w:rPr>
                <w:rFonts w:ascii="Times New Roman" w:hAnsi="Times New Roman" w:eastAsia="宋体" w:cs="Times New Roman"/>
                <w:sz w:val="18"/>
                <w:szCs w:val="18"/>
              </w:rPr>
              <w:t>处置固定资产、无形资产和其他长期资产的损失（收益以“－”号填列）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169,167,507.67</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61,744,197.18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rPr>
                <w:rFonts w:ascii="Times New Roman" w:hAnsi="Times New Roman" w:eastAsia="宋体" w:cs="Times New Roman"/>
                <w:sz w:val="18"/>
                <w:szCs w:val="18"/>
              </w:rPr>
            </w:pPr>
            <w:r>
              <w:rPr>
                <w:rFonts w:ascii="Times New Roman" w:hAnsi="Times New Roman" w:eastAsia="宋体" w:cs="Times New Roman"/>
                <w:sz w:val="18"/>
                <w:szCs w:val="18"/>
              </w:rPr>
              <w:t>固定资产报废损失（收益以“－”号填列）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531,689.64</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1,845.57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rPr>
                <w:rFonts w:ascii="Times New Roman" w:hAnsi="Times New Roman" w:eastAsia="宋体" w:cs="Times New Roman"/>
                <w:sz w:val="18"/>
                <w:szCs w:val="18"/>
              </w:rPr>
            </w:pPr>
            <w:r>
              <w:rPr>
                <w:rFonts w:ascii="Times New Roman" w:hAnsi="Times New Roman" w:eastAsia="宋体" w:cs="Times New Roman"/>
                <w:sz w:val="18"/>
                <w:szCs w:val="18"/>
              </w:rPr>
              <w:t>公允价值变动损失（收益以“－”号填列）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rPr>
                <w:rFonts w:ascii="Times New Roman" w:hAnsi="Times New Roman" w:eastAsia="宋体" w:cs="Times New Roman"/>
                <w:sz w:val="18"/>
                <w:szCs w:val="18"/>
              </w:rPr>
            </w:pPr>
            <w:r>
              <w:rPr>
                <w:rFonts w:ascii="Times New Roman" w:hAnsi="Times New Roman" w:eastAsia="宋体" w:cs="Times New Roman"/>
                <w:sz w:val="18"/>
                <w:szCs w:val="18"/>
              </w:rPr>
              <w:t>财务费用（收益以“－”号填列）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48,892,795.35</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56,185,841.44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rPr>
                <w:rFonts w:ascii="Times New Roman" w:hAnsi="Times New Roman" w:eastAsia="宋体" w:cs="Times New Roman"/>
                <w:sz w:val="18"/>
                <w:szCs w:val="18"/>
              </w:rPr>
            </w:pPr>
            <w:r>
              <w:rPr>
                <w:rFonts w:ascii="Times New Roman" w:hAnsi="Times New Roman" w:eastAsia="宋体" w:cs="Times New Roman"/>
                <w:sz w:val="18"/>
                <w:szCs w:val="18"/>
              </w:rPr>
              <w:t>投资损失（收益以“－”号填列）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rPr>
                <w:rFonts w:ascii="Times New Roman" w:hAnsi="Times New Roman" w:eastAsia="宋体" w:cs="Times New Roman"/>
                <w:sz w:val="18"/>
                <w:szCs w:val="18"/>
              </w:rPr>
            </w:pPr>
            <w:r>
              <w:rPr>
                <w:rFonts w:ascii="Times New Roman" w:hAnsi="Times New Roman" w:eastAsia="宋体" w:cs="Times New Roman"/>
                <w:sz w:val="18"/>
                <w:szCs w:val="18"/>
              </w:rPr>
              <w:t>递延所得税资产减少（增加以“－”号填列）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-2,052,088.88</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17,186,487.00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rPr>
                <w:rFonts w:ascii="Times New Roman" w:hAnsi="Times New Roman" w:eastAsia="宋体" w:cs="Times New Roman"/>
                <w:sz w:val="18"/>
                <w:szCs w:val="18"/>
              </w:rPr>
            </w:pPr>
            <w:r>
              <w:rPr>
                <w:rFonts w:ascii="Times New Roman" w:hAnsi="Times New Roman" w:eastAsia="宋体" w:cs="Times New Roman"/>
                <w:sz w:val="18"/>
                <w:szCs w:val="18"/>
              </w:rPr>
              <w:t>递延所得税负债增加（减少以“－”号填列）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42.50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rPr>
                <w:rFonts w:ascii="Times New Roman" w:hAnsi="Times New Roman" w:eastAsia="宋体" w:cs="Times New Roman"/>
                <w:sz w:val="18"/>
                <w:szCs w:val="18"/>
              </w:rPr>
            </w:pPr>
            <w:r>
              <w:rPr>
                <w:rFonts w:ascii="Times New Roman" w:hAnsi="Times New Roman" w:eastAsia="宋体" w:cs="Times New Roman"/>
                <w:sz w:val="18"/>
                <w:szCs w:val="18"/>
              </w:rPr>
              <w:t>存货的减少（增加以“－”号填列）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-342,456,014.08</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-716,813,128.27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rPr>
                <w:rFonts w:ascii="Times New Roman" w:hAnsi="Times New Roman" w:eastAsia="宋体" w:cs="Times New Roman"/>
                <w:sz w:val="18"/>
                <w:szCs w:val="18"/>
              </w:rPr>
            </w:pPr>
            <w:r>
              <w:rPr>
                <w:rFonts w:ascii="Times New Roman" w:hAnsi="Times New Roman" w:eastAsia="宋体" w:cs="Times New Roman"/>
                <w:sz w:val="18"/>
                <w:szCs w:val="18"/>
              </w:rPr>
              <w:t>经营性应收项目的减少（增加以“－”号填列）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230,028,484.82</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403,571,671.03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rPr>
                <w:rFonts w:ascii="Times New Roman" w:hAnsi="Times New Roman" w:eastAsia="宋体" w:cs="Times New Roman"/>
                <w:sz w:val="18"/>
                <w:szCs w:val="18"/>
              </w:rPr>
            </w:pPr>
            <w:r>
              <w:rPr>
                <w:rFonts w:ascii="Times New Roman" w:hAnsi="Times New Roman" w:eastAsia="宋体" w:cs="Times New Roman"/>
                <w:sz w:val="18"/>
                <w:szCs w:val="18"/>
              </w:rPr>
              <w:t>经营性应付项目的增加（减少以“－”号填列）</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-63,544,731.06</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835,698,015.11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rPr>
                <w:rFonts w:ascii="Times New Roman" w:hAnsi="Times New Roman" w:eastAsia="宋体" w:cs="Times New Roman"/>
                <w:sz w:val="18"/>
                <w:szCs w:val="18"/>
              </w:rPr>
            </w:pPr>
            <w:r>
              <w:rPr>
                <w:rFonts w:ascii="Times New Roman" w:hAnsi="Times New Roman" w:eastAsia="宋体" w:cs="Times New Roman"/>
                <w:sz w:val="18"/>
                <w:szCs w:val="18"/>
              </w:rPr>
              <w:t>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rPr>
                <w:rFonts w:ascii="Times New Roman" w:hAnsi="Times New Roman" w:eastAsia="宋体" w:cs="Times New Roman"/>
                <w:sz w:val="18"/>
                <w:szCs w:val="18"/>
              </w:rPr>
            </w:pPr>
            <w:r>
              <w:rPr>
                <w:rFonts w:ascii="Times New Roman" w:hAnsi="Times New Roman" w:eastAsia="宋体" w:cs="Times New Roman"/>
                <w:sz w:val="18"/>
                <w:szCs w:val="18"/>
              </w:rPr>
              <w:t>经营活动产生的现金流量净额</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-366,555,444.44</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727,557,194.06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2．不涉及现金收支的重大投资和筹资活动：</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债务转为资本</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一年内到期的可转换公司债券</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融资租入固定资产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3．现金及现金等价物净变动情况：</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现金的期末余额</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 xml:space="preserve"> 846,205,625.59 </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1,731,023,464.38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减：现金的期初余额</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749,118,356.19</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1,746,221,993.07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加：现金等价物的期末余额</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减：现金等价物的期初余额</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现金及现金等价物净增加额</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97,087,269.40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-15,198,528.69</w:t>
            </w:r>
          </w:p>
        </w:tc>
      </w:tr>
    </w:tbl>
    <w:p>
      <w:pPr>
        <w:keepNext/>
        <w:keepLines/>
        <w:spacing w:before="300" w:after="300" w:line="280" w:lineRule="exact"/>
        <w:outlineLvl w:val="3"/>
        <w:rPr>
          <w:rFonts w:ascii="Times New Roman" w:hAnsi="Times New Roman" w:eastAsia="宋体" w:cs="Times New Roman"/>
          <w:b/>
          <w:bCs/>
          <w:szCs w:val="21"/>
        </w:rPr>
      </w:pPr>
      <w:bookmarkStart w:id="361" w:name="_Toc989246"/>
      <w:r>
        <w:rPr>
          <w:rFonts w:ascii="Times New Roman" w:hAnsi="Times New Roman" w:eastAsia="宋体" w:cs="Times New Roman"/>
          <w:b/>
          <w:bCs/>
          <w:szCs w:val="21"/>
        </w:rPr>
        <w:t>（2） 本期支付的取得子公司的现金净额</w:t>
      </w:r>
      <w:bookmarkEnd w:id="361"/>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1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金额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其中：</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其中：</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其中：</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r>
    </w:tbl>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其他说明：</w:t>
      </w:r>
    </w:p>
    <w:p>
      <w:pPr>
        <w:rPr>
          <w:rFonts w:ascii="Times New Roman" w:hAnsi="Times New Roman" w:cs="Times New Roman"/>
        </w:rPr>
      </w:pPr>
    </w:p>
    <w:p>
      <w:pPr>
        <w:keepNext/>
        <w:keepLines/>
        <w:spacing w:before="300" w:after="300" w:line="280" w:lineRule="exact"/>
        <w:outlineLvl w:val="3"/>
        <w:rPr>
          <w:rFonts w:ascii="Times New Roman" w:hAnsi="Times New Roman" w:eastAsia="宋体" w:cs="Times New Roman"/>
          <w:b/>
          <w:bCs/>
          <w:szCs w:val="21"/>
        </w:rPr>
      </w:pPr>
      <w:bookmarkStart w:id="362" w:name="_Toc989247"/>
      <w:r>
        <w:rPr>
          <w:rFonts w:ascii="Times New Roman" w:hAnsi="Times New Roman" w:eastAsia="宋体" w:cs="Times New Roman"/>
          <w:b/>
          <w:bCs/>
          <w:szCs w:val="21"/>
        </w:rPr>
        <w:t>（3） 本期收到的处置子公司的现金净额</w:t>
      </w:r>
      <w:bookmarkEnd w:id="362"/>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1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金额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其中：</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其中：</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其中：</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r>
    </w:tbl>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其他说明：</w:t>
      </w:r>
    </w:p>
    <w:p>
      <w:pPr>
        <w:rPr>
          <w:rFonts w:ascii="Times New Roman" w:hAnsi="Times New Roman" w:cs="Times New Roman"/>
        </w:rPr>
      </w:pPr>
    </w:p>
    <w:p>
      <w:pPr>
        <w:keepNext/>
        <w:keepLines/>
        <w:spacing w:before="300" w:after="300" w:line="280" w:lineRule="exact"/>
        <w:outlineLvl w:val="3"/>
        <w:rPr>
          <w:rFonts w:ascii="Times New Roman" w:hAnsi="Times New Roman" w:eastAsia="宋体" w:cs="Times New Roman"/>
          <w:b/>
          <w:bCs/>
          <w:szCs w:val="21"/>
        </w:rPr>
      </w:pPr>
      <w:bookmarkStart w:id="363" w:name="_Toc989248"/>
      <w:r>
        <w:rPr>
          <w:rFonts w:ascii="Times New Roman" w:hAnsi="Times New Roman" w:eastAsia="宋体" w:cs="Times New Roman"/>
          <w:b/>
          <w:bCs/>
          <w:szCs w:val="21"/>
        </w:rPr>
        <w:t>（4） 现金和现金等价物的构成</w:t>
      </w:r>
      <w:bookmarkEnd w:id="363"/>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一、现金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846,205,625.59</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749,118,356.19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其中：库存现金</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271,573.38</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216,936.47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rPr>
                <w:rFonts w:ascii="Times New Roman" w:hAnsi="Times New Roman" w:eastAsia="宋体" w:cs="Times New Roman"/>
                <w:sz w:val="18"/>
                <w:szCs w:val="18"/>
              </w:rPr>
            </w:pPr>
            <w:r>
              <w:rPr>
                <w:rFonts w:ascii="Times New Roman" w:hAnsi="Times New Roman" w:eastAsia="宋体" w:cs="Times New Roman"/>
                <w:sz w:val="18"/>
                <w:szCs w:val="18"/>
              </w:rPr>
              <w:t>可随时用于支付的银行存款</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845,934,052.21</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748,901,419.72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三、期末现金及现金等价物余额</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846,205,625.59</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749,118,356.19</w:t>
            </w:r>
          </w:p>
        </w:tc>
      </w:tr>
    </w:tbl>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其他说明：</w:t>
      </w:r>
    </w:p>
    <w:p>
      <w:pPr>
        <w:rPr>
          <w:rFonts w:ascii="Times New Roman" w:hAnsi="Times New Roman" w:cs="Times New Roman"/>
        </w:rPr>
      </w:pPr>
    </w:p>
    <w:p>
      <w:pPr>
        <w:pStyle w:val="3"/>
        <w:spacing w:line="280" w:lineRule="exact"/>
        <w:jc w:val="left"/>
        <w:rPr>
          <w:rFonts w:ascii="Times New Roman" w:hAnsi="Times New Roman" w:cs="Times New Roman"/>
          <w:b/>
          <w:bCs/>
        </w:rPr>
      </w:pPr>
      <w:bookmarkStart w:id="364" w:name="_Toc989249"/>
      <w:r>
        <w:rPr>
          <w:rFonts w:ascii="Times New Roman" w:hAnsi="Times New Roman" w:cs="Times New Roman"/>
          <w:b/>
          <w:bCs/>
        </w:rPr>
        <w:t>80、所有者权益变动表项目注释</w:t>
      </w:r>
      <w:bookmarkEnd w:id="364"/>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说明对上年期末余额进行调整的“其他”项目名称及调整金额等事项：</w:t>
      </w:r>
    </w:p>
    <w:p>
      <w:pPr>
        <w:pStyle w:val="8"/>
        <w:rPr>
          <w:rFonts w:ascii="Times New Roman" w:hAnsi="Times New Roman" w:cs="Times New Roman"/>
          <w:sz w:val="18"/>
          <w:szCs w:val="18"/>
        </w:rPr>
      </w:pPr>
      <w:r>
        <w:rPr>
          <w:rFonts w:ascii="Times New Roman" w:hAnsi="Times New Roman" w:cs="Times New Roman"/>
          <w:sz w:val="18"/>
          <w:szCs w:val="18"/>
        </w:rPr>
        <w:t>无</w:t>
      </w:r>
    </w:p>
    <w:p>
      <w:pPr>
        <w:pStyle w:val="3"/>
        <w:spacing w:line="280" w:lineRule="exact"/>
        <w:jc w:val="left"/>
        <w:rPr>
          <w:rFonts w:ascii="Times New Roman" w:hAnsi="Times New Roman" w:cs="Times New Roman"/>
          <w:b/>
          <w:bCs/>
        </w:rPr>
      </w:pPr>
      <w:bookmarkStart w:id="365" w:name="_Toc989250"/>
      <w:r>
        <w:rPr>
          <w:rFonts w:ascii="Times New Roman" w:hAnsi="Times New Roman" w:cs="Times New Roman"/>
          <w:b/>
          <w:bCs/>
        </w:rPr>
        <w:t>81、所有权或使用权受到限制的资产</w:t>
      </w:r>
      <w:bookmarkEnd w:id="365"/>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期末账面价值</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受限原因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货币资金</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363,048,242.45</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汇票及信用证保证金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固定资产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409,416,566.87</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借款抵押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无形资产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31,285,625.01</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借款抵押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在建工程</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498,909.99</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借款抵押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804,249,344.32</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r>
    </w:tbl>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其他说明：</w:t>
      </w:r>
    </w:p>
    <w:p>
      <w:pPr>
        <w:rPr>
          <w:rFonts w:ascii="Times New Roman" w:hAnsi="Times New Roman" w:cs="Times New Roman"/>
        </w:rPr>
      </w:pPr>
    </w:p>
    <w:p>
      <w:pPr>
        <w:pStyle w:val="3"/>
        <w:spacing w:line="280" w:lineRule="exact"/>
        <w:jc w:val="left"/>
        <w:rPr>
          <w:rFonts w:ascii="Times New Roman" w:hAnsi="Times New Roman" w:cs="Times New Roman"/>
          <w:b/>
          <w:bCs/>
        </w:rPr>
      </w:pPr>
      <w:bookmarkStart w:id="366" w:name="_Toc989251"/>
      <w:r>
        <w:rPr>
          <w:rFonts w:ascii="Times New Roman" w:hAnsi="Times New Roman" w:cs="Times New Roman"/>
          <w:b/>
          <w:bCs/>
        </w:rPr>
        <w:t>82、外币货币性项目</w:t>
      </w:r>
      <w:bookmarkEnd w:id="366"/>
    </w:p>
    <w:p>
      <w:pPr>
        <w:keepNext/>
        <w:keepLines/>
        <w:spacing w:before="300" w:after="300" w:line="280" w:lineRule="exact"/>
        <w:outlineLvl w:val="3"/>
        <w:rPr>
          <w:rFonts w:ascii="Times New Roman" w:hAnsi="Times New Roman" w:eastAsia="宋体" w:cs="Times New Roman"/>
          <w:b/>
          <w:bCs/>
          <w:szCs w:val="21"/>
        </w:rPr>
      </w:pPr>
      <w:bookmarkStart w:id="367" w:name="_Toc989252"/>
      <w:r>
        <w:rPr>
          <w:rFonts w:ascii="Times New Roman" w:hAnsi="Times New Roman" w:eastAsia="宋体" w:cs="Times New Roman"/>
          <w:b/>
          <w:bCs/>
          <w:szCs w:val="21"/>
        </w:rPr>
        <w:t>（1） 外币货币性项目</w:t>
      </w:r>
      <w:bookmarkEnd w:id="367"/>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09"/>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期末外币余额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折算汇率</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期末折算人民币余额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货币资金</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187,651.06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其中：美元</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7,213.22</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 7.2258</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52,121.30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rPr>
                <w:rFonts w:ascii="Times New Roman" w:hAnsi="Times New Roman" w:eastAsia="宋体" w:cs="Times New Roman"/>
                <w:sz w:val="18"/>
                <w:szCs w:val="18"/>
              </w:rPr>
            </w:pPr>
            <w:r>
              <w:rPr>
                <w:rFonts w:ascii="Times New Roman" w:hAnsi="Times New Roman" w:eastAsia="宋体" w:cs="Times New Roman"/>
                <w:sz w:val="18"/>
                <w:szCs w:val="18"/>
              </w:rPr>
              <w:t>欧元</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11,800.01</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 7.8771</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92,949.86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rPr>
                <w:rFonts w:ascii="Times New Roman" w:hAnsi="Times New Roman" w:eastAsia="宋体" w:cs="Times New Roman"/>
                <w:sz w:val="18"/>
                <w:szCs w:val="18"/>
              </w:rPr>
            </w:pPr>
            <w:r>
              <w:rPr>
                <w:rFonts w:ascii="Times New Roman" w:hAnsi="Times New Roman" w:eastAsia="宋体" w:cs="Times New Roman"/>
                <w:sz w:val="18"/>
                <w:szCs w:val="18"/>
              </w:rPr>
              <w:t>港币</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日元</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850,000.00</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0.050094</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42,579.90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应收账款</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其中：美元</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rPr>
                <w:rFonts w:ascii="Times New Roman" w:hAnsi="Times New Roman" w:eastAsia="宋体" w:cs="Times New Roman"/>
                <w:sz w:val="18"/>
                <w:szCs w:val="18"/>
              </w:rPr>
            </w:pPr>
            <w:r>
              <w:rPr>
                <w:rFonts w:ascii="Times New Roman" w:hAnsi="Times New Roman" w:eastAsia="宋体" w:cs="Times New Roman"/>
                <w:sz w:val="18"/>
                <w:szCs w:val="18"/>
              </w:rPr>
              <w:t>欧元</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rPr>
                <w:rFonts w:ascii="Times New Roman" w:hAnsi="Times New Roman" w:eastAsia="宋体" w:cs="Times New Roman"/>
                <w:sz w:val="18"/>
                <w:szCs w:val="18"/>
              </w:rPr>
            </w:pPr>
            <w:r>
              <w:rPr>
                <w:rFonts w:ascii="Times New Roman" w:hAnsi="Times New Roman" w:eastAsia="宋体" w:cs="Times New Roman"/>
                <w:sz w:val="18"/>
                <w:szCs w:val="18"/>
              </w:rPr>
              <w:t>港币</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长期借款</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其中：美元</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rPr>
                <w:rFonts w:ascii="Times New Roman" w:hAnsi="Times New Roman" w:eastAsia="宋体" w:cs="Times New Roman"/>
                <w:sz w:val="18"/>
                <w:szCs w:val="18"/>
              </w:rPr>
            </w:pPr>
            <w:r>
              <w:rPr>
                <w:rFonts w:ascii="Times New Roman" w:hAnsi="Times New Roman" w:eastAsia="宋体" w:cs="Times New Roman"/>
                <w:sz w:val="18"/>
                <w:szCs w:val="18"/>
              </w:rPr>
              <w:t>欧元</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rPr>
                <w:rFonts w:ascii="Times New Roman" w:hAnsi="Times New Roman" w:eastAsia="宋体" w:cs="Times New Roman"/>
                <w:sz w:val="18"/>
                <w:szCs w:val="18"/>
              </w:rPr>
            </w:pPr>
            <w:r>
              <w:rPr>
                <w:rFonts w:ascii="Times New Roman" w:hAnsi="Times New Roman" w:eastAsia="宋体" w:cs="Times New Roman"/>
                <w:sz w:val="18"/>
                <w:szCs w:val="18"/>
              </w:rPr>
              <w:t>港币</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bl>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其他说明：</w:t>
      </w:r>
    </w:p>
    <w:p>
      <w:pPr>
        <w:rPr>
          <w:rFonts w:ascii="Times New Roman" w:hAnsi="Times New Roman" w:cs="Times New Roman"/>
        </w:rPr>
      </w:pPr>
    </w:p>
    <w:p>
      <w:pPr>
        <w:keepNext/>
        <w:keepLines/>
        <w:spacing w:before="300" w:after="300" w:line="280" w:lineRule="exact"/>
        <w:outlineLvl w:val="3"/>
        <w:rPr>
          <w:rFonts w:ascii="Times New Roman" w:hAnsi="Times New Roman" w:eastAsia="宋体" w:cs="Times New Roman"/>
          <w:b/>
          <w:bCs/>
          <w:szCs w:val="21"/>
        </w:rPr>
      </w:pPr>
      <w:bookmarkStart w:id="368" w:name="_Toc989253"/>
      <w:r>
        <w:rPr>
          <w:rFonts w:ascii="Times New Roman" w:hAnsi="Times New Roman" w:eastAsia="宋体" w:cs="Times New Roman"/>
          <w:b/>
          <w:bCs/>
          <w:szCs w:val="21"/>
        </w:rPr>
        <w:t>（2） 境外经营实体说明，包括对于重要的境外经营实体，应披露其境外主要经营地、记账本位币及选择依据，记账本位币发生变化的还应披露原因。</w:t>
      </w:r>
      <w:bookmarkEnd w:id="368"/>
    </w:p>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 xml:space="preserve">□适用 </w:t>
      </w: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不适用</w:t>
      </w:r>
    </w:p>
    <w:p>
      <w:pPr>
        <w:pStyle w:val="3"/>
        <w:spacing w:line="280" w:lineRule="exact"/>
        <w:jc w:val="left"/>
        <w:rPr>
          <w:rFonts w:ascii="Times New Roman" w:hAnsi="Times New Roman" w:cs="Times New Roman"/>
          <w:b/>
          <w:bCs/>
        </w:rPr>
      </w:pPr>
      <w:bookmarkStart w:id="369" w:name="_Toc989254"/>
      <w:r>
        <w:rPr>
          <w:rFonts w:ascii="Times New Roman" w:hAnsi="Times New Roman" w:cs="Times New Roman"/>
          <w:b/>
          <w:bCs/>
        </w:rPr>
        <w:t>83、套期</w:t>
      </w:r>
      <w:bookmarkEnd w:id="369"/>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按照套期类别披露套期项目及相关套期工具、被套期风险的定性和定量信息：</w:t>
      </w:r>
    </w:p>
    <w:p>
      <w:pPr>
        <w:rPr>
          <w:rFonts w:ascii="Times New Roman" w:hAnsi="Times New Roman" w:cs="Times New Roman"/>
        </w:rPr>
      </w:pPr>
    </w:p>
    <w:p>
      <w:pPr>
        <w:pStyle w:val="3"/>
        <w:spacing w:line="280" w:lineRule="exact"/>
        <w:jc w:val="left"/>
        <w:rPr>
          <w:rFonts w:ascii="Times New Roman" w:hAnsi="Times New Roman" w:cs="Times New Roman"/>
          <w:b/>
          <w:bCs/>
        </w:rPr>
      </w:pPr>
      <w:bookmarkStart w:id="370" w:name="_Toc989255"/>
      <w:r>
        <w:rPr>
          <w:rFonts w:ascii="Times New Roman" w:hAnsi="Times New Roman" w:cs="Times New Roman"/>
          <w:b/>
          <w:bCs/>
        </w:rPr>
        <w:t>84、政府补助</w:t>
      </w:r>
      <w:bookmarkEnd w:id="370"/>
    </w:p>
    <w:p>
      <w:pPr>
        <w:keepNext/>
        <w:keepLines/>
        <w:spacing w:before="300" w:after="300" w:line="280" w:lineRule="exact"/>
        <w:outlineLvl w:val="3"/>
        <w:rPr>
          <w:rFonts w:ascii="Times New Roman" w:hAnsi="Times New Roman" w:eastAsia="宋体" w:cs="Times New Roman"/>
          <w:b/>
          <w:bCs/>
          <w:szCs w:val="21"/>
        </w:rPr>
      </w:pPr>
      <w:bookmarkStart w:id="371" w:name="_Toc989256"/>
      <w:r>
        <w:rPr>
          <w:rFonts w:ascii="Times New Roman" w:hAnsi="Times New Roman" w:eastAsia="宋体" w:cs="Times New Roman"/>
          <w:b/>
          <w:bCs/>
          <w:szCs w:val="21"/>
        </w:rPr>
        <w:t>（1） 政府补助基本情况</w:t>
      </w:r>
      <w:bookmarkEnd w:id="371"/>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09"/>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种类</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金额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列报项目</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计入当期损益的金额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关于拨付山东龙大食品有限公司烟台市现代供应链体系建设试点项目资金</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300,000.00</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其他收益</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关于下达2022年省级外经贸和商贸流通资金预算指标</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123,600.00</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其他收益</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123,600.00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关于拨付山东龙大食品有限公司烟台市现代供应链体系建设试点项目资金</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1,313,000.00</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其他收益</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1,313,000.00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收生猪屠宰加工企业奖补奖金</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600,000.00</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其他收益</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收屠宰企业污水处理补助</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250,000.00</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其他收益</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250,000.00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收新进规模工业企业奖励</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80,000.00</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其他收益</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80,000.00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无害化处理补贴款</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153,560.00</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其他收益</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153,560.00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无害化处理补贴款</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97,680.00</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其他收益</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97,680.00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无害化处理补贴款</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148,104.00</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其他收益</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148,104.00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2022省级商贸发展和市场开拓资金</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3,500.00</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其他收益</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3,500.00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稳岗补贴</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1,500.00</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其他收益</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1,500.00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2022年肉蛋奶稳产保供奖补</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100,000.00</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其他收益</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崂山区2021年度支持对外贸易政策资金</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490,000.00</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其他收益</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490,000.00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2022年度奖励企业加快发展政策资金工业局</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50,000.00</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其他收益</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山东省科技厅2023年科技型中小企业创新能力提升工程项目经费</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500,000.00</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其他收益</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合计</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4,210,944.00</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4,210,944.00</w:t>
            </w:r>
          </w:p>
        </w:tc>
      </w:tr>
    </w:tbl>
    <w:p>
      <w:pPr>
        <w:keepNext/>
        <w:keepLines/>
        <w:spacing w:before="300" w:after="300" w:line="280" w:lineRule="exact"/>
        <w:outlineLvl w:val="3"/>
        <w:rPr>
          <w:rFonts w:ascii="Times New Roman" w:hAnsi="Times New Roman" w:eastAsia="宋体" w:cs="Times New Roman"/>
          <w:b/>
          <w:bCs/>
          <w:szCs w:val="21"/>
        </w:rPr>
      </w:pPr>
      <w:bookmarkStart w:id="372" w:name="_Toc989257"/>
      <w:r>
        <w:rPr>
          <w:rFonts w:ascii="Times New Roman" w:hAnsi="Times New Roman" w:eastAsia="宋体" w:cs="Times New Roman"/>
          <w:b/>
          <w:bCs/>
          <w:szCs w:val="21"/>
        </w:rPr>
        <w:t>（2） 政府补助退回情况</w:t>
      </w:r>
      <w:bookmarkEnd w:id="372"/>
    </w:p>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 xml:space="preserve">□适用 </w:t>
      </w: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不适用</w:t>
      </w: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其他说明：</w:t>
      </w:r>
    </w:p>
    <w:p>
      <w:pPr>
        <w:rPr>
          <w:rFonts w:ascii="Times New Roman" w:hAnsi="Times New Roman" w:cs="Times New Roman"/>
        </w:rPr>
      </w:pPr>
    </w:p>
    <w:p>
      <w:pPr>
        <w:pStyle w:val="3"/>
        <w:spacing w:line="280" w:lineRule="exact"/>
        <w:jc w:val="left"/>
        <w:rPr>
          <w:rFonts w:ascii="Times New Roman" w:hAnsi="Times New Roman" w:cs="Times New Roman"/>
          <w:b/>
          <w:bCs/>
        </w:rPr>
      </w:pPr>
      <w:bookmarkStart w:id="373" w:name="_Toc989258"/>
      <w:r>
        <w:rPr>
          <w:rFonts w:ascii="Times New Roman" w:hAnsi="Times New Roman" w:cs="Times New Roman"/>
          <w:b/>
          <w:bCs/>
        </w:rPr>
        <w:t>85、其他</w:t>
      </w:r>
      <w:bookmarkEnd w:id="373"/>
    </w:p>
    <w:p>
      <w:pPr>
        <w:pStyle w:val="8"/>
        <w:rPr>
          <w:rFonts w:ascii="Times New Roman" w:hAnsi="Times New Roman" w:cs="Times New Roman"/>
          <w:sz w:val="18"/>
          <w:szCs w:val="18"/>
        </w:rPr>
      </w:pPr>
      <w:r>
        <w:rPr>
          <w:rFonts w:ascii="Times New Roman" w:hAnsi="Times New Roman" w:cs="Times New Roman"/>
          <w:sz w:val="18"/>
          <w:szCs w:val="18"/>
        </w:rPr>
        <w:t>无</w:t>
      </w:r>
    </w:p>
    <w:p>
      <w:pPr>
        <w:pStyle w:val="2"/>
        <w:spacing w:before="300" w:after="300" w:line="320" w:lineRule="exact"/>
        <w:rPr>
          <w:rFonts w:ascii="Times New Roman" w:hAnsi="Times New Roman" w:eastAsia="宋体" w:cs="Times New Roman"/>
          <w:b/>
          <w:bCs/>
          <w:sz w:val="24"/>
          <w:szCs w:val="24"/>
        </w:rPr>
      </w:pPr>
      <w:bookmarkStart w:id="374" w:name="_Toc989259"/>
      <w:r>
        <w:rPr>
          <w:rFonts w:ascii="Times New Roman" w:hAnsi="Times New Roman" w:eastAsia="宋体" w:cs="Times New Roman"/>
          <w:b/>
          <w:bCs/>
          <w:sz w:val="24"/>
          <w:szCs w:val="24"/>
        </w:rPr>
        <w:t>八、合并范围的变更</w:t>
      </w:r>
      <w:bookmarkEnd w:id="374"/>
    </w:p>
    <w:p>
      <w:pPr>
        <w:pStyle w:val="3"/>
        <w:spacing w:line="280" w:lineRule="exact"/>
        <w:jc w:val="left"/>
        <w:rPr>
          <w:rFonts w:ascii="Times New Roman" w:hAnsi="Times New Roman" w:cs="Times New Roman"/>
          <w:b/>
          <w:bCs/>
        </w:rPr>
      </w:pPr>
      <w:bookmarkStart w:id="375" w:name="_Toc989260"/>
      <w:r>
        <w:rPr>
          <w:rFonts w:ascii="Times New Roman" w:hAnsi="Times New Roman" w:cs="Times New Roman"/>
          <w:b/>
          <w:bCs/>
        </w:rPr>
        <w:t>1、非同一控制下企业合并</w:t>
      </w:r>
      <w:bookmarkEnd w:id="375"/>
    </w:p>
    <w:p>
      <w:pPr>
        <w:keepNext/>
        <w:keepLines/>
        <w:spacing w:before="300" w:after="300" w:line="280" w:lineRule="exact"/>
        <w:outlineLvl w:val="3"/>
        <w:rPr>
          <w:rFonts w:ascii="Times New Roman" w:hAnsi="Times New Roman" w:eastAsia="宋体" w:cs="Times New Roman"/>
          <w:b/>
          <w:bCs/>
          <w:sz w:val="18"/>
          <w:szCs w:val="18"/>
        </w:rPr>
      </w:pPr>
      <w:bookmarkStart w:id="376" w:name="_Toc989261"/>
      <w:r>
        <w:rPr>
          <w:rFonts w:ascii="Times New Roman" w:hAnsi="Times New Roman" w:eastAsia="宋体" w:cs="Times New Roman"/>
          <w:b/>
          <w:bCs/>
          <w:sz w:val="18"/>
          <w:szCs w:val="18"/>
        </w:rPr>
        <w:t>（1） 本期发生的非同一控制下企业合并</w:t>
      </w:r>
      <w:bookmarkEnd w:id="376"/>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71"/>
        <w:gridCol w:w="1071"/>
        <w:gridCol w:w="1071"/>
        <w:gridCol w:w="1071"/>
        <w:gridCol w:w="1071"/>
        <w:gridCol w:w="1071"/>
        <w:gridCol w:w="1071"/>
        <w:gridCol w:w="1071"/>
        <w:gridCol w:w="107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被购买方名称</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股权取得时点</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股权取得成本</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股权取得比例</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股权取得方式</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购买日</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购买日的确定依据</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购买日至期末被购买方的收入</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购买日至期末被购买方的净利润</w:t>
            </w:r>
          </w:p>
        </w:tc>
      </w:tr>
    </w:tbl>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其他说明：</w:t>
      </w:r>
    </w:p>
    <w:p>
      <w:pPr>
        <w:rPr>
          <w:rFonts w:ascii="Times New Roman" w:hAnsi="Times New Roman" w:cs="Times New Roman"/>
        </w:rPr>
      </w:pPr>
    </w:p>
    <w:p>
      <w:pPr>
        <w:keepNext/>
        <w:keepLines/>
        <w:spacing w:before="300" w:after="300" w:line="280" w:lineRule="exact"/>
        <w:outlineLvl w:val="3"/>
        <w:rPr>
          <w:rFonts w:ascii="Times New Roman" w:hAnsi="Times New Roman" w:eastAsia="宋体" w:cs="Times New Roman"/>
          <w:b/>
          <w:bCs/>
          <w:sz w:val="18"/>
          <w:szCs w:val="18"/>
        </w:rPr>
      </w:pPr>
      <w:bookmarkStart w:id="377" w:name="_Toc989262"/>
      <w:r>
        <w:rPr>
          <w:rFonts w:ascii="Times New Roman" w:hAnsi="Times New Roman" w:eastAsia="宋体" w:cs="Times New Roman"/>
          <w:b/>
          <w:bCs/>
          <w:sz w:val="18"/>
          <w:szCs w:val="18"/>
        </w:rPr>
        <w:t>（2） 合并成本及商誉</w:t>
      </w:r>
      <w:bookmarkEnd w:id="377"/>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1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合并成本</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--现金</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--非现金资产的公允价值</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--发行或承担的债务的公允价值</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--发行的权益性证券的公允价值</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--或有对价的公允价值</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--购买日之前持有的股权于购买日的公允价值</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--其他</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合并成本合计</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减：取得的可辨认净资产公允价值份额</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商誉/合并成本小于取得的可辨认净资产公允价值份额的金额</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bl>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合并成本公允价值的确定方法、或有对价及其变动的说明：</w:t>
      </w:r>
    </w:p>
    <w:p>
      <w:pPr>
        <w:rPr>
          <w:rFonts w:ascii="Times New Roman" w:hAnsi="Times New Roman" w:cs="Times New Roman"/>
        </w:rPr>
      </w:pP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大额商誉形成的主要原因：</w:t>
      </w:r>
    </w:p>
    <w:p>
      <w:pPr>
        <w:rPr>
          <w:rFonts w:ascii="Times New Roman" w:hAnsi="Times New Roman" w:cs="Times New Roman"/>
        </w:rPr>
      </w:pP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其他说明：</w:t>
      </w:r>
    </w:p>
    <w:p>
      <w:pPr>
        <w:rPr>
          <w:rFonts w:ascii="Times New Roman" w:hAnsi="Times New Roman" w:cs="Times New Roman"/>
        </w:rPr>
      </w:pPr>
    </w:p>
    <w:p>
      <w:pPr>
        <w:keepNext/>
        <w:keepLines/>
        <w:spacing w:before="300" w:after="300" w:line="280" w:lineRule="exact"/>
        <w:outlineLvl w:val="3"/>
        <w:rPr>
          <w:rFonts w:ascii="Times New Roman" w:hAnsi="Times New Roman" w:eastAsia="宋体" w:cs="Times New Roman"/>
          <w:b/>
          <w:bCs/>
          <w:sz w:val="18"/>
          <w:szCs w:val="18"/>
        </w:rPr>
      </w:pPr>
      <w:bookmarkStart w:id="378" w:name="_Toc989263"/>
      <w:r>
        <w:rPr>
          <w:rFonts w:ascii="Times New Roman" w:hAnsi="Times New Roman" w:eastAsia="宋体" w:cs="Times New Roman"/>
          <w:b/>
          <w:bCs/>
          <w:sz w:val="18"/>
          <w:szCs w:val="18"/>
        </w:rPr>
        <w:t>（3） 被购买方于购买日可辨认资产、负债</w:t>
      </w:r>
      <w:bookmarkEnd w:id="378"/>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6426" w:type="dxa"/>
            <w:gridSpan w:val="2"/>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购买日公允价值</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购买日账面价值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货币资金</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应收款项</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存货</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固定资产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无形资产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借款</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应付款项</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递延所得税负债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净资产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减：少数股东权益</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取得的净资产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bl>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可辨认资产、负债公允价值的确定方法：</w:t>
      </w:r>
    </w:p>
    <w:p>
      <w:pPr>
        <w:rPr>
          <w:rFonts w:ascii="Times New Roman" w:hAnsi="Times New Roman" w:cs="Times New Roman"/>
        </w:rPr>
      </w:pP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企业合并中承担的被购买方的或有负债：</w:t>
      </w:r>
    </w:p>
    <w:p>
      <w:pPr>
        <w:rPr>
          <w:rFonts w:ascii="Times New Roman" w:hAnsi="Times New Roman" w:cs="Times New Roman"/>
        </w:rPr>
      </w:pP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其他说明：</w:t>
      </w:r>
    </w:p>
    <w:p>
      <w:pPr>
        <w:rPr>
          <w:rFonts w:ascii="Times New Roman" w:hAnsi="Times New Roman" w:cs="Times New Roman"/>
        </w:rPr>
      </w:pPr>
    </w:p>
    <w:p>
      <w:pPr>
        <w:keepNext/>
        <w:keepLines/>
        <w:spacing w:before="300" w:after="300" w:line="280" w:lineRule="exact"/>
        <w:outlineLvl w:val="3"/>
        <w:rPr>
          <w:rFonts w:ascii="Times New Roman" w:hAnsi="Times New Roman" w:eastAsia="宋体" w:cs="Times New Roman"/>
          <w:b/>
          <w:bCs/>
          <w:sz w:val="18"/>
          <w:szCs w:val="18"/>
        </w:rPr>
      </w:pPr>
      <w:bookmarkStart w:id="379" w:name="_Toc989264"/>
      <w:r>
        <w:rPr>
          <w:rFonts w:ascii="Times New Roman" w:hAnsi="Times New Roman" w:eastAsia="宋体" w:cs="Times New Roman"/>
          <w:b/>
          <w:bCs/>
          <w:sz w:val="18"/>
          <w:szCs w:val="18"/>
        </w:rPr>
        <w:t>（4） 购买日之前持有的股权按照公允价值重新计量产生的利得或损失</w:t>
      </w:r>
      <w:bookmarkEnd w:id="379"/>
    </w:p>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是否存在通过多次交易分步实现企业合并且在报告期内取得控制权的交易</w:t>
      </w:r>
    </w:p>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 xml:space="preserve">□是 </w:t>
      </w: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否</w:t>
      </w:r>
    </w:p>
    <w:p>
      <w:pPr>
        <w:keepNext/>
        <w:keepLines/>
        <w:spacing w:before="300" w:after="300" w:line="280" w:lineRule="exact"/>
        <w:outlineLvl w:val="3"/>
        <w:rPr>
          <w:rFonts w:ascii="Times New Roman" w:hAnsi="Times New Roman" w:eastAsia="宋体" w:cs="Times New Roman"/>
          <w:b/>
          <w:bCs/>
          <w:sz w:val="18"/>
          <w:szCs w:val="18"/>
        </w:rPr>
      </w:pPr>
      <w:bookmarkStart w:id="380" w:name="_Toc989265"/>
      <w:r>
        <w:rPr>
          <w:rFonts w:ascii="Times New Roman" w:hAnsi="Times New Roman" w:eastAsia="宋体" w:cs="Times New Roman"/>
          <w:b/>
          <w:bCs/>
          <w:sz w:val="18"/>
          <w:szCs w:val="18"/>
        </w:rPr>
        <w:t>（5） 购买日或合并当期期末无法合理确定合并对价或被购买方可辨认资产、负债公允价值的相关说明</w:t>
      </w:r>
      <w:bookmarkEnd w:id="380"/>
    </w:p>
    <w:p>
      <w:pPr>
        <w:rPr>
          <w:rFonts w:ascii="Times New Roman" w:hAnsi="Times New Roman" w:cs="Times New Roman"/>
        </w:rPr>
      </w:pPr>
    </w:p>
    <w:p>
      <w:pPr>
        <w:keepNext/>
        <w:keepLines/>
        <w:spacing w:before="300" w:after="300" w:line="280" w:lineRule="exact"/>
        <w:outlineLvl w:val="3"/>
        <w:rPr>
          <w:rFonts w:ascii="Times New Roman" w:hAnsi="Times New Roman" w:eastAsia="宋体" w:cs="Times New Roman"/>
          <w:b/>
          <w:bCs/>
          <w:sz w:val="18"/>
          <w:szCs w:val="18"/>
        </w:rPr>
      </w:pPr>
      <w:bookmarkStart w:id="381" w:name="_Toc989266"/>
      <w:r>
        <w:rPr>
          <w:rFonts w:ascii="Times New Roman" w:hAnsi="Times New Roman" w:eastAsia="宋体" w:cs="Times New Roman"/>
          <w:b/>
          <w:bCs/>
          <w:sz w:val="18"/>
          <w:szCs w:val="18"/>
        </w:rPr>
        <w:t>（6） 其他说明</w:t>
      </w:r>
      <w:bookmarkEnd w:id="381"/>
    </w:p>
    <w:p>
      <w:pPr>
        <w:rPr>
          <w:rFonts w:ascii="Times New Roman" w:hAnsi="Times New Roman" w:cs="Times New Roman"/>
        </w:rPr>
      </w:pPr>
    </w:p>
    <w:p>
      <w:pPr>
        <w:pStyle w:val="3"/>
        <w:spacing w:line="280" w:lineRule="exact"/>
        <w:jc w:val="left"/>
        <w:rPr>
          <w:rFonts w:ascii="Times New Roman" w:hAnsi="Times New Roman" w:cs="Times New Roman"/>
          <w:b/>
          <w:bCs/>
        </w:rPr>
      </w:pPr>
      <w:bookmarkStart w:id="382" w:name="_Toc989267"/>
      <w:r>
        <w:rPr>
          <w:rFonts w:ascii="Times New Roman" w:hAnsi="Times New Roman" w:cs="Times New Roman"/>
          <w:b/>
          <w:bCs/>
        </w:rPr>
        <w:t>2、同一控制下企业合并</w:t>
      </w:r>
      <w:bookmarkEnd w:id="382"/>
    </w:p>
    <w:p>
      <w:pPr>
        <w:keepNext/>
        <w:keepLines/>
        <w:spacing w:before="300" w:after="300" w:line="280" w:lineRule="exact"/>
        <w:outlineLvl w:val="3"/>
        <w:rPr>
          <w:rFonts w:ascii="Times New Roman" w:hAnsi="Times New Roman" w:eastAsia="宋体" w:cs="Times New Roman"/>
          <w:b/>
          <w:bCs/>
          <w:sz w:val="18"/>
          <w:szCs w:val="18"/>
        </w:rPr>
      </w:pPr>
      <w:bookmarkStart w:id="383" w:name="_Toc989268"/>
      <w:r>
        <w:rPr>
          <w:rFonts w:ascii="Times New Roman" w:hAnsi="Times New Roman" w:eastAsia="宋体" w:cs="Times New Roman"/>
          <w:b/>
          <w:bCs/>
          <w:sz w:val="18"/>
          <w:szCs w:val="18"/>
        </w:rPr>
        <w:t>（1） 本期发生的同一控制下企业合并</w:t>
      </w:r>
      <w:bookmarkEnd w:id="383"/>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71"/>
        <w:gridCol w:w="1071"/>
        <w:gridCol w:w="1071"/>
        <w:gridCol w:w="1071"/>
        <w:gridCol w:w="1071"/>
        <w:gridCol w:w="1071"/>
        <w:gridCol w:w="1071"/>
        <w:gridCol w:w="1071"/>
        <w:gridCol w:w="107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被合并方名称</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企业合并中取得的权益比例</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构成同一控制下企业合并的依据</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合并日</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合并日的确定依据</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合并当期期初至合并日被合并方的收入</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合并当期期初至合并日被合并方的净利润</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比较期间被合并方的收入</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比较期间被合并方的净利润</w:t>
            </w:r>
          </w:p>
        </w:tc>
      </w:tr>
    </w:tbl>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其他说明：</w:t>
      </w:r>
    </w:p>
    <w:p>
      <w:pPr>
        <w:rPr>
          <w:rFonts w:ascii="Times New Roman" w:hAnsi="Times New Roman" w:cs="Times New Roman"/>
        </w:rPr>
      </w:pPr>
    </w:p>
    <w:p>
      <w:pPr>
        <w:keepNext/>
        <w:keepLines/>
        <w:spacing w:before="300" w:after="300" w:line="280" w:lineRule="exact"/>
        <w:outlineLvl w:val="3"/>
        <w:rPr>
          <w:rFonts w:ascii="Times New Roman" w:hAnsi="Times New Roman" w:eastAsia="宋体" w:cs="Times New Roman"/>
          <w:b/>
          <w:bCs/>
          <w:sz w:val="18"/>
          <w:szCs w:val="18"/>
        </w:rPr>
      </w:pPr>
      <w:bookmarkStart w:id="384" w:name="_Toc989269"/>
      <w:r>
        <w:rPr>
          <w:rFonts w:ascii="Times New Roman" w:hAnsi="Times New Roman" w:eastAsia="宋体" w:cs="Times New Roman"/>
          <w:b/>
          <w:bCs/>
          <w:sz w:val="18"/>
          <w:szCs w:val="18"/>
        </w:rPr>
        <w:t>（2） 合并成本</w:t>
      </w:r>
      <w:bookmarkEnd w:id="384"/>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1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合并成本</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--现金</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--非现金资产的账面价值</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--发行或承担的债务的账面价值</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--发行的权益性证券的面值</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--或有对价</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bl>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或有对价及其变动的说明：</w:t>
      </w:r>
    </w:p>
    <w:p>
      <w:pPr>
        <w:rPr>
          <w:rFonts w:ascii="Times New Roman" w:hAnsi="Times New Roman" w:cs="Times New Roman"/>
        </w:rPr>
      </w:pP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其他说明：</w:t>
      </w:r>
    </w:p>
    <w:p>
      <w:pPr>
        <w:rPr>
          <w:rFonts w:ascii="Times New Roman" w:hAnsi="Times New Roman" w:cs="Times New Roman"/>
        </w:rPr>
      </w:pPr>
    </w:p>
    <w:p>
      <w:pPr>
        <w:keepNext/>
        <w:keepLines/>
        <w:spacing w:before="300" w:after="300" w:line="280" w:lineRule="exact"/>
        <w:outlineLvl w:val="3"/>
        <w:rPr>
          <w:rFonts w:ascii="Times New Roman" w:hAnsi="Times New Roman" w:eastAsia="宋体" w:cs="Times New Roman"/>
          <w:b/>
          <w:bCs/>
          <w:sz w:val="18"/>
          <w:szCs w:val="18"/>
        </w:rPr>
      </w:pPr>
      <w:bookmarkStart w:id="385" w:name="_Toc989270"/>
      <w:r>
        <w:rPr>
          <w:rFonts w:ascii="Times New Roman" w:hAnsi="Times New Roman" w:eastAsia="宋体" w:cs="Times New Roman"/>
          <w:b/>
          <w:bCs/>
          <w:sz w:val="18"/>
          <w:szCs w:val="18"/>
        </w:rPr>
        <w:t>（3） 合并日被合并方资产、负债的账面价值</w:t>
      </w:r>
      <w:bookmarkEnd w:id="385"/>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6426" w:type="dxa"/>
            <w:gridSpan w:val="2"/>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合并日</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上期期末</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货币资金</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应收款项</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存货</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固定资产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无形资产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借款</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应付款项</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净资产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减：少数股东权益</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取得的净资产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bl>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企业合并中承担的被合并方的或有负债：</w:t>
      </w:r>
    </w:p>
    <w:p>
      <w:pPr>
        <w:rPr>
          <w:rFonts w:ascii="Times New Roman" w:hAnsi="Times New Roman" w:cs="Times New Roman"/>
        </w:rPr>
      </w:pP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其他说明：</w:t>
      </w:r>
    </w:p>
    <w:p>
      <w:pPr>
        <w:rPr>
          <w:rFonts w:ascii="Times New Roman" w:hAnsi="Times New Roman" w:cs="Times New Roman"/>
        </w:rPr>
      </w:pPr>
    </w:p>
    <w:p>
      <w:pPr>
        <w:pStyle w:val="3"/>
        <w:spacing w:line="280" w:lineRule="exact"/>
        <w:jc w:val="left"/>
        <w:rPr>
          <w:rFonts w:ascii="Times New Roman" w:hAnsi="Times New Roman" w:cs="Times New Roman"/>
          <w:b/>
          <w:bCs/>
        </w:rPr>
      </w:pPr>
      <w:bookmarkStart w:id="386" w:name="_Toc989271"/>
      <w:r>
        <w:rPr>
          <w:rFonts w:ascii="Times New Roman" w:hAnsi="Times New Roman" w:cs="Times New Roman"/>
          <w:b/>
          <w:bCs/>
        </w:rPr>
        <w:t>3、反向购买</w:t>
      </w:r>
      <w:bookmarkEnd w:id="386"/>
    </w:p>
    <w:p>
      <w:pPr>
        <w:spacing w:before="100" w:after="100"/>
        <w:rPr>
          <w:rFonts w:ascii="Times New Roman" w:hAnsi="Times New Roman" w:eastAsia="宋体" w:cs="Times New Roman"/>
          <w:sz w:val="18"/>
          <w:szCs w:val="18"/>
        </w:rPr>
      </w:pPr>
      <w:r>
        <w:rPr>
          <w:rFonts w:ascii="Times New Roman" w:hAnsi="Times New Roman" w:eastAsia="宋体" w:cs="Times New Roman"/>
          <w:sz w:val="18"/>
          <w:szCs w:val="18"/>
        </w:rPr>
        <w:t>交易基本信息、交易构成反向购买的依据、上市公司保留的资产、负债是否构成业务及其依据、合并成本的确定、按照权益性交易处理时调整权益的金额及其计算：</w:t>
      </w:r>
    </w:p>
    <w:p>
      <w:pPr>
        <w:rPr>
          <w:rFonts w:ascii="Times New Roman" w:hAnsi="Times New Roman" w:cs="Times New Roman"/>
        </w:rPr>
      </w:pPr>
    </w:p>
    <w:p>
      <w:pPr>
        <w:pStyle w:val="3"/>
        <w:spacing w:line="280" w:lineRule="exact"/>
        <w:jc w:val="left"/>
        <w:rPr>
          <w:rFonts w:ascii="Times New Roman" w:hAnsi="Times New Roman" w:cs="Times New Roman"/>
          <w:b/>
          <w:bCs/>
        </w:rPr>
      </w:pPr>
      <w:bookmarkStart w:id="387" w:name="_Toc989272"/>
      <w:r>
        <w:rPr>
          <w:rFonts w:ascii="Times New Roman" w:hAnsi="Times New Roman" w:cs="Times New Roman"/>
          <w:b/>
          <w:bCs/>
        </w:rPr>
        <w:t>4、处置子公司</w:t>
      </w:r>
      <w:bookmarkEnd w:id="387"/>
    </w:p>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是否存在单次处置对子公司投资即丧失控制权的情形</w:t>
      </w:r>
    </w:p>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 xml:space="preserve">□是 </w:t>
      </w: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否</w:t>
      </w: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是否存在通过多次交易分步处置对子公司投资且在本期丧失控制权的情形</w:t>
      </w:r>
    </w:p>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 xml:space="preserve">□是 </w:t>
      </w: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否</w:t>
      </w:r>
    </w:p>
    <w:p>
      <w:pPr>
        <w:pStyle w:val="3"/>
        <w:spacing w:line="280" w:lineRule="exact"/>
        <w:jc w:val="left"/>
        <w:rPr>
          <w:rFonts w:ascii="Times New Roman" w:hAnsi="Times New Roman" w:cs="Times New Roman"/>
          <w:b/>
          <w:bCs/>
        </w:rPr>
      </w:pPr>
      <w:bookmarkStart w:id="388" w:name="_Toc989273"/>
      <w:r>
        <w:rPr>
          <w:rFonts w:ascii="Times New Roman" w:hAnsi="Times New Roman" w:cs="Times New Roman"/>
          <w:b/>
          <w:bCs/>
        </w:rPr>
        <w:t>5、其他原因的合并范围变动</w:t>
      </w:r>
      <w:bookmarkEnd w:id="388"/>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说明其他原因导致的合并范围变动（如，新设子公司、清算子公司等）及其相关情况：</w:t>
      </w:r>
    </w:p>
    <w:tbl>
      <w:tblPr>
        <w:tblStyle w:val="9"/>
        <w:tblW w:w="97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795"/>
        <w:gridCol w:w="1980"/>
        <w:gridCol w:w="1980"/>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7" w:hRule="atLeast"/>
        </w:trPr>
        <w:tc>
          <w:tcPr>
            <w:tcW w:w="3795" w:type="dxa"/>
            <w:shd w:val="clear" w:color="auto" w:fill="D9D9D9"/>
            <w:tcMar>
              <w:top w:w="15" w:type="dxa"/>
              <w:left w:w="15" w:type="dxa"/>
              <w:bottom w:w="0" w:type="dxa"/>
              <w:right w:w="15" w:type="dxa"/>
            </w:tcMar>
          </w:tcPr>
          <w:p>
            <w:pPr>
              <w:widowControl/>
              <w:jc w:val="center"/>
              <w:rPr>
                <w:rFonts w:ascii="Times New Roman" w:hAnsi="Times New Roman" w:eastAsia="宋体" w:cs="Times New Roman"/>
                <w:sz w:val="18"/>
                <w:szCs w:val="18"/>
              </w:rPr>
            </w:pPr>
            <w:r>
              <w:rPr>
                <w:rFonts w:ascii="Times New Roman" w:hAnsi="Times New Roman" w:eastAsia="宋体" w:cs="Times New Roman"/>
                <w:sz w:val="18"/>
                <w:szCs w:val="18"/>
              </w:rPr>
              <w:t>名称</w:t>
            </w:r>
          </w:p>
        </w:tc>
        <w:tc>
          <w:tcPr>
            <w:tcW w:w="1980" w:type="dxa"/>
            <w:shd w:val="clear" w:color="auto" w:fill="D9D9D9"/>
            <w:tcMar>
              <w:top w:w="15" w:type="dxa"/>
              <w:left w:w="15" w:type="dxa"/>
              <w:bottom w:w="0" w:type="dxa"/>
              <w:right w:w="15" w:type="dxa"/>
            </w:tcMa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设立时间</w:t>
            </w:r>
          </w:p>
        </w:tc>
        <w:tc>
          <w:tcPr>
            <w:tcW w:w="1980" w:type="dxa"/>
            <w:shd w:val="clear" w:color="auto" w:fill="D9D9D9"/>
            <w:tcMar>
              <w:top w:w="15" w:type="dxa"/>
              <w:left w:w="15" w:type="dxa"/>
              <w:bottom w:w="0" w:type="dxa"/>
              <w:right w:w="15" w:type="dxa"/>
            </w:tcMa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期末净资产</w:t>
            </w:r>
          </w:p>
        </w:tc>
        <w:tc>
          <w:tcPr>
            <w:tcW w:w="1980" w:type="dxa"/>
            <w:shd w:val="clear" w:color="auto" w:fill="D9D9D9"/>
            <w:tcMar>
              <w:top w:w="15" w:type="dxa"/>
              <w:left w:w="15" w:type="dxa"/>
              <w:bottom w:w="0" w:type="dxa"/>
              <w:right w:w="15" w:type="dxa"/>
            </w:tcMa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合并日至期末净利润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7" w:hRule="atLeast"/>
        </w:trPr>
        <w:tc>
          <w:tcPr>
            <w:tcW w:w="3795" w:type="dxa"/>
            <w:tcMar>
              <w:top w:w="15" w:type="dxa"/>
              <w:left w:w="15" w:type="dxa"/>
              <w:bottom w:w="0" w:type="dxa"/>
              <w:right w:w="15" w:type="dxa"/>
            </w:tcMar>
            <w:vAlign w:val="center"/>
          </w:tcPr>
          <w:p>
            <w:pPr>
              <w:rPr>
                <w:rFonts w:ascii="Times New Roman" w:hAnsi="Times New Roman" w:eastAsia="宋体" w:cs="Times New Roman"/>
                <w:sz w:val="18"/>
                <w:szCs w:val="18"/>
              </w:rPr>
            </w:pPr>
            <w:r>
              <w:rPr>
                <w:rFonts w:ascii="Times New Roman" w:hAnsi="Times New Roman" w:eastAsia="宋体" w:cs="Times New Roman"/>
                <w:sz w:val="18"/>
                <w:szCs w:val="18"/>
              </w:rPr>
              <w:t>龙大美食(北京)食品科技有限公司</w:t>
            </w:r>
          </w:p>
        </w:tc>
        <w:tc>
          <w:tcPr>
            <w:tcW w:w="0" w:type="auto"/>
            <w:noWrap/>
            <w:tcMar>
              <w:top w:w="15" w:type="dxa"/>
              <w:left w:w="15" w:type="dxa"/>
              <w:bottom w:w="0" w:type="dxa"/>
              <w:right w:w="15" w:type="dxa"/>
            </w:tcMar>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2023-3-15</w:t>
            </w:r>
          </w:p>
        </w:tc>
        <w:tc>
          <w:tcPr>
            <w:tcW w:w="1980" w:type="dxa"/>
            <w:tcMar>
              <w:top w:w="15" w:type="dxa"/>
              <w:left w:w="15" w:type="dxa"/>
              <w:bottom w:w="0" w:type="dxa"/>
              <w:right w:w="15" w:type="dxa"/>
            </w:tcMar>
          </w:tcPr>
          <w:p>
            <w:pPr>
              <w:jc w:val="right"/>
              <w:rPr>
                <w:rFonts w:ascii="Times New Roman" w:hAnsi="Times New Roman" w:eastAsia="宋体" w:cs="Times New Roman"/>
                <w:sz w:val="18"/>
                <w:szCs w:val="18"/>
              </w:rPr>
            </w:pPr>
            <w:r>
              <w:rPr>
                <w:rFonts w:ascii="Times New Roman" w:hAnsi="Times New Roman" w:eastAsia="宋体" w:cs="Times New Roman"/>
                <w:sz w:val="18"/>
                <w:szCs w:val="18"/>
              </w:rPr>
              <w:t>-81169.42</w:t>
            </w:r>
          </w:p>
        </w:tc>
        <w:tc>
          <w:tcPr>
            <w:tcW w:w="1980" w:type="dxa"/>
            <w:tcMar>
              <w:top w:w="15" w:type="dxa"/>
              <w:left w:w="15" w:type="dxa"/>
              <w:bottom w:w="0" w:type="dxa"/>
              <w:right w:w="15" w:type="dxa"/>
            </w:tcMar>
          </w:tcPr>
          <w:p>
            <w:pPr>
              <w:jc w:val="right"/>
              <w:rPr>
                <w:rFonts w:ascii="Times New Roman" w:hAnsi="Times New Roman" w:eastAsia="宋体" w:cs="Times New Roman"/>
                <w:sz w:val="18"/>
                <w:szCs w:val="18"/>
              </w:rPr>
            </w:pPr>
            <w:r>
              <w:rPr>
                <w:rFonts w:ascii="Times New Roman" w:hAnsi="Times New Roman" w:eastAsia="宋体" w:cs="Times New Roman"/>
                <w:sz w:val="18"/>
                <w:szCs w:val="18"/>
              </w:rPr>
              <w:t>-81169.42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7" w:hRule="atLeast"/>
        </w:trPr>
        <w:tc>
          <w:tcPr>
            <w:tcW w:w="3795" w:type="dxa"/>
            <w:tcMar>
              <w:top w:w="15" w:type="dxa"/>
              <w:left w:w="15" w:type="dxa"/>
              <w:bottom w:w="0" w:type="dxa"/>
              <w:right w:w="15" w:type="dxa"/>
            </w:tcMar>
            <w:vAlign w:val="center"/>
          </w:tcPr>
          <w:p>
            <w:pPr>
              <w:rPr>
                <w:rFonts w:ascii="Times New Roman" w:hAnsi="Times New Roman" w:eastAsia="宋体" w:cs="Times New Roman"/>
                <w:sz w:val="18"/>
                <w:szCs w:val="18"/>
              </w:rPr>
            </w:pPr>
            <w:r>
              <w:rPr>
                <w:rFonts w:ascii="Times New Roman" w:hAnsi="Times New Roman" w:eastAsia="宋体" w:cs="Times New Roman"/>
                <w:sz w:val="18"/>
                <w:szCs w:val="18"/>
              </w:rPr>
              <w:t>龙大美食(上海)食品科技有限公司</w:t>
            </w:r>
          </w:p>
        </w:tc>
        <w:tc>
          <w:tcPr>
            <w:tcW w:w="0" w:type="auto"/>
            <w:noWrap/>
            <w:tcMar>
              <w:top w:w="15" w:type="dxa"/>
              <w:left w:w="15" w:type="dxa"/>
              <w:bottom w:w="0" w:type="dxa"/>
              <w:right w:w="15" w:type="dxa"/>
            </w:tcMar>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2023-3-28</w:t>
            </w:r>
          </w:p>
        </w:tc>
        <w:tc>
          <w:tcPr>
            <w:tcW w:w="1980" w:type="dxa"/>
            <w:tcMar>
              <w:top w:w="15" w:type="dxa"/>
              <w:left w:w="15" w:type="dxa"/>
              <w:bottom w:w="0" w:type="dxa"/>
              <w:right w:w="15" w:type="dxa"/>
            </w:tcMar>
          </w:tcPr>
          <w:p>
            <w:pPr>
              <w:jc w:val="right"/>
              <w:rPr>
                <w:rFonts w:ascii="Times New Roman" w:hAnsi="Times New Roman" w:eastAsia="宋体" w:cs="Times New Roman"/>
                <w:sz w:val="18"/>
                <w:szCs w:val="18"/>
              </w:rPr>
            </w:pPr>
            <w:r>
              <w:rPr>
                <w:rFonts w:ascii="Times New Roman" w:hAnsi="Times New Roman" w:eastAsia="宋体" w:cs="Times New Roman"/>
                <w:sz w:val="18"/>
                <w:szCs w:val="18"/>
              </w:rPr>
              <w:t>-3105.32</w:t>
            </w:r>
          </w:p>
        </w:tc>
        <w:tc>
          <w:tcPr>
            <w:tcW w:w="1980" w:type="dxa"/>
            <w:tcMar>
              <w:top w:w="15" w:type="dxa"/>
              <w:left w:w="15" w:type="dxa"/>
              <w:bottom w:w="0" w:type="dxa"/>
              <w:right w:w="15" w:type="dxa"/>
            </w:tcMar>
          </w:tcPr>
          <w:p>
            <w:pPr>
              <w:jc w:val="right"/>
              <w:rPr>
                <w:rFonts w:ascii="Times New Roman" w:hAnsi="Times New Roman" w:eastAsia="宋体" w:cs="Times New Roman"/>
                <w:sz w:val="18"/>
                <w:szCs w:val="18"/>
              </w:rPr>
            </w:pPr>
            <w:r>
              <w:rPr>
                <w:rFonts w:ascii="Times New Roman" w:hAnsi="Times New Roman" w:eastAsia="宋体" w:cs="Times New Roman"/>
                <w:sz w:val="18"/>
                <w:szCs w:val="18"/>
              </w:rPr>
              <w:t>-3105.32</w:t>
            </w:r>
          </w:p>
        </w:tc>
      </w:tr>
    </w:tbl>
    <w:p>
      <w:pPr>
        <w:rPr>
          <w:rFonts w:ascii="Times New Roman" w:hAnsi="Times New Roman" w:cs="Times New Roman"/>
        </w:rPr>
      </w:pPr>
    </w:p>
    <w:p>
      <w:pPr>
        <w:pStyle w:val="3"/>
        <w:spacing w:line="280" w:lineRule="exact"/>
        <w:jc w:val="left"/>
        <w:rPr>
          <w:rFonts w:ascii="Times New Roman" w:hAnsi="Times New Roman" w:cs="Times New Roman"/>
          <w:b/>
          <w:bCs/>
        </w:rPr>
      </w:pPr>
      <w:bookmarkStart w:id="389" w:name="_Toc989274"/>
      <w:r>
        <w:rPr>
          <w:rFonts w:ascii="Times New Roman" w:hAnsi="Times New Roman" w:cs="Times New Roman"/>
          <w:b/>
          <w:bCs/>
        </w:rPr>
        <w:t>6、其他</w:t>
      </w:r>
      <w:bookmarkEnd w:id="389"/>
    </w:p>
    <w:p>
      <w:pPr>
        <w:rPr>
          <w:rFonts w:ascii="Times New Roman" w:hAnsi="Times New Roman" w:cs="Times New Roman"/>
        </w:rPr>
      </w:pPr>
    </w:p>
    <w:p>
      <w:pPr>
        <w:pStyle w:val="2"/>
        <w:spacing w:before="300" w:after="300" w:line="320" w:lineRule="exact"/>
        <w:rPr>
          <w:rFonts w:ascii="Times New Roman" w:hAnsi="Times New Roman" w:eastAsia="宋体" w:cs="Times New Roman"/>
          <w:b/>
          <w:bCs/>
          <w:sz w:val="24"/>
          <w:szCs w:val="24"/>
        </w:rPr>
      </w:pPr>
      <w:bookmarkStart w:id="390" w:name="_Toc989275"/>
      <w:r>
        <w:rPr>
          <w:rFonts w:ascii="Times New Roman" w:hAnsi="Times New Roman" w:eastAsia="宋体" w:cs="Times New Roman"/>
          <w:b/>
          <w:bCs/>
          <w:sz w:val="24"/>
          <w:szCs w:val="24"/>
        </w:rPr>
        <w:t>九、在其他主体中的权益</w:t>
      </w:r>
      <w:bookmarkEnd w:id="390"/>
    </w:p>
    <w:p>
      <w:pPr>
        <w:pStyle w:val="3"/>
        <w:spacing w:line="280" w:lineRule="exact"/>
        <w:jc w:val="left"/>
        <w:rPr>
          <w:rFonts w:ascii="Times New Roman" w:hAnsi="Times New Roman" w:cs="Times New Roman"/>
          <w:b/>
          <w:bCs/>
        </w:rPr>
      </w:pPr>
      <w:bookmarkStart w:id="391" w:name="_Toc989276"/>
      <w:r>
        <w:rPr>
          <w:rFonts w:ascii="Times New Roman" w:hAnsi="Times New Roman" w:cs="Times New Roman"/>
          <w:b/>
          <w:bCs/>
        </w:rPr>
        <w:t>1、在子公司中的权益</w:t>
      </w:r>
      <w:bookmarkEnd w:id="391"/>
    </w:p>
    <w:p>
      <w:pPr>
        <w:keepNext/>
        <w:keepLines/>
        <w:spacing w:before="300" w:after="300" w:line="280" w:lineRule="exact"/>
        <w:outlineLvl w:val="3"/>
        <w:rPr>
          <w:rFonts w:ascii="Times New Roman" w:hAnsi="Times New Roman" w:eastAsia="宋体" w:cs="Times New Roman"/>
          <w:b/>
          <w:bCs/>
          <w:sz w:val="18"/>
          <w:szCs w:val="18"/>
        </w:rPr>
      </w:pPr>
      <w:bookmarkStart w:id="392" w:name="_Toc989277"/>
      <w:r>
        <w:rPr>
          <w:rFonts w:ascii="Times New Roman" w:hAnsi="Times New Roman" w:eastAsia="宋体" w:cs="Times New Roman"/>
          <w:b/>
          <w:bCs/>
          <w:sz w:val="18"/>
          <w:szCs w:val="18"/>
        </w:rPr>
        <w:t>（1） 企业集团的构成</w:t>
      </w:r>
      <w:bookmarkEnd w:id="392"/>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子公司名称</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主要经营地</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注册地</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业务性质</w:t>
            </w:r>
          </w:p>
        </w:tc>
        <w:tc>
          <w:tcPr>
            <w:tcW w:w="275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持股比例</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取得方式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直接</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间接</w:t>
            </w: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烟台龙大养殖有限公司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山东省莱阳市</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山东省莱阳市龙旺庄街道办事处乔家泊村</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畜禽\养殖</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100.00%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同一控制下企 业合并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烟台龙大饲料有限公司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山东省莱阳市</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山东省莱阳市龙旺庄街道办事处乔家泊村</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饲料生产</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100.00%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同一控制下企 业合并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河南龙大牧原肉食品有限公司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河南省内乡县</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内乡县灌涨镇前湾村312国道与默河交叉口西北角</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生猪屠宰</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60.00%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设立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聊城龙大肉食品有限公司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山东省聊城市</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聊城市东昌府区嘉明工业园嘉明北路</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生猪屠宰</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100.00%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设立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烟台杰科检测服务有限公司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山东省莱阳市</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山东省烟台市莱阳市龙门东路1号0027</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食品及添加剂检测</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100.00%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同一控制下企 业合并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莒南龙大肉食品有限公司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山东省莒南县</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莒南县城南环路东段</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生猪屠宰</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100.00%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设立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蓬莱富龙肉食品有限公司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山东省蓬莱市</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山东省蓬莱市小门家镇吕家洼村西</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生猪屠宰</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57.14%</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设立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北京快厨帮科技有限公司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北京市朝阳区</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北京市朝阳区八里庄北里129号院9号楼1单元1402</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销售食品</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65.00%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设立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山东龙大生猪产品工程技术研究有限公司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山东省莱阳市</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山东省烟台市莱阳市食品工业园</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畜禽领域内的技术开发、技术转让、技术服务</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100.00%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设立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莱阳龙瑞食品有限公司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山东省莱阳市</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山东省烟台市莱阳市龙门东路1号0027、0028</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生产、加工各种肉制品、速冻食品</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100.00%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设立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泰麟食品（烟台）有限责任公司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山东省莱阳市</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山东省烟台市莱阳市龙门东路1号0027、0028</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食品生产销售</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100.00%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设立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四川龙炸餐饮管理有限公司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四川省成都市</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四川天府新区华阳街道华府大道一段1号1栋35层2号</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餐饮服务</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40.00%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设立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青岛中和盛杰食品有限公司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山东省青岛市</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山东省青岛市崂山区科苑纬一路1号B座21层2103房间</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销售食品</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51.00%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设立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青岛新胜锦食品商贸有限公司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山东省青岛市</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山东省青岛市崂山区科苑纬一路1号B座21层2103房间-E</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销售食品</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51.00%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设立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乳山中和盛杰食品有限公司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山东省乳山市</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山东省威海市乳山市徐家镇中鲁街36号</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销售食品</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51.00%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设立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潍坊振祥食品有限公司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山东省潍坊市</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山东省潍坊市安丘市景芝镇驻地</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生猪屠宰</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70.00%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非同一控制下 企业合并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云南福照食品有限公司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云南省曲靖市</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云南省曲靖市宣威市西宁街道花椒水库东侧</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火腿加工</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51.00%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设立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香港龙大发展有限公司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香港</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RM4,16/FHOKINGCOMMCTR,2-16FAYUENST,MONGKOK KOWLOON,HONGKONG</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国际贸易、咨询</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100.00%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设立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山东龙大美食贸易有限公司（原烟台龙骧进出口有限公司）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山东省莱阳市</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山东省烟台市莱阳市龙旺庄街道办事处龙门东路99号</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销售食品</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100.00%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设立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黑龙江龙大养殖有限公司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黑龙江省绥化市</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黑龙江省绥化市安达市朝阳街1委8-538幢融府上城13#2号</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畜禽\养殖</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100.00%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设立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安丘龙大养殖有限公司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山东省安丘市</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山东省潍坊市安丘市石埠子镇晏峪村北</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畜禽\养殖</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100.00%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设立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莱阳龙大养殖有限公司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山东省莱阳市</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山东省烟台市莱阳市大夼镇北苟格庄村</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畜禽\养殖</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100.00%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设立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莱州龙大养殖有限公司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山东省莱州市</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山东省烟台市莱州市郭家店镇马台石村</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畜禽\养殖</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100.00%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设立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乳山龙大养殖有限公司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山东省乳山市</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山东省威海市乳山市下初镇下初村南国道北</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畜禽\养殖</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100.00%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设立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青岛龙大管理咨询服务有限公司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山东省青岛市</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山东省青岛市崂山区株洲路20号海信创智谷3号楼A座2502A室</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管理咨询</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100.00%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设立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江苏龙大沁侬食品有限公司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连云港市</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连云港市灌云县经济开发区镜花缘路62号</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生产、销售食品</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51.00%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设立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通辽金泉食品有限责任公司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内蒙古</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内蒙古自治区通辽市奈曼旗大镇双合村</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生猪屠宰</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100.00%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非同一控制下 企业合并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湖北龙大肉食品有限公司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湖北省黄冈市</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湖北省黄冈市武穴市石佛寺镇农产品加工园武湖大道69号襄大园区办公区域</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生猪屠宰</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100.00%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设立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成都龙大肉食品有限公司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四川省成都市</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四川省成都市蒲江县寿安街道迎宾大道774号</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生猪屠宰</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100.00%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设立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黑龙江龙大肉食品有限公司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黑龙江省绥化市</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黑龙江省绥化市安达市高新化工材料产业园区A-12地块</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生猪屠宰</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100.00%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设立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四川龙鲜活供应链管理有限公司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四川省成都市</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四川省成都市天府新区华阳街道华府大道一段1号1栋35层3号</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供应链管理服务</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100.00%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设立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巴中龙大肉食品有限公司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四川省巴中市</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四川省巴中市恩阳区柳林镇新居综合体项目3号地块13号楼2单元302</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生产、销售食品</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100.00%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设立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海南龙大美食有限责任公司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海南省洋浦经济开发区</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海南省洋浦经济开发区新英湾区保税港区2号办公楼D608室</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生产、销售食品</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100.00%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设立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山东龙鲜生供应链管理有限公司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山东省青岛市</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山东省青岛市崂山区株洲路20号海信创智谷3号楼A座第25层2502</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供应链管理服务</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100.00%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设立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青岛龙大鲜生供应链有限公司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山东省青岛市</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山东省青岛市李沧区金水路670号2号楼901户</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销售食品</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60.00%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设立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成都逸享潮代供应链管理有限公司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四川省成都市</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四川省成都市天府新区华阳街道华府大道1段1号1栋35层4号</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供应链管理服务</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100.00%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设立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北京晓食探科技有限公司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北京市朝阳区</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北京市朝阳区望京东园四区13号楼-4至33层101内17层17B1019室</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技术服务、技术开发</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100.00%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设立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潍坊振祥食品销售有限公司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山东省潍坊市</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山东省潍坊市安丘市景芝镇淮安路239号振祥食品大门北30米</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销售食品</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70.00%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设立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龙大美食（北京）食品科技有限公司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北京市经济技术开发区</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北京市北京经济技术开发区文化园西路8号院41号楼1层102</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技术服务、技术开发</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100.00%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设立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龙大美食（上海）食品科技有限公司</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上海市青浦区</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上海市青浦区华新镇新府中路1100号11幢W003号</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技术服务、技术开发</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100.00%</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设立</w:t>
            </w:r>
          </w:p>
        </w:tc>
      </w:tr>
    </w:tbl>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在子公司的持股比例不同于表决权比例的说明：</w:t>
      </w:r>
    </w:p>
    <w:p>
      <w:pPr>
        <w:rPr>
          <w:rFonts w:ascii="Times New Roman" w:hAnsi="Times New Roman" w:cs="Times New Roman"/>
        </w:rPr>
      </w:pP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持有半数或以下表决权但仍控制被投资单位、以及持有半数以上表决权但不控制被投资单位的依据：</w:t>
      </w:r>
    </w:p>
    <w:p>
      <w:pPr>
        <w:rPr>
          <w:rFonts w:ascii="Times New Roman" w:hAnsi="Times New Roman" w:cs="Times New Roman"/>
        </w:rPr>
      </w:pP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对于纳入合并范围的重要的结构化主体，控制的依据：</w:t>
      </w:r>
    </w:p>
    <w:p>
      <w:pPr>
        <w:pStyle w:val="8"/>
        <w:rPr>
          <w:rFonts w:ascii="Times New Roman" w:hAnsi="Times New Roman" w:cs="Times New Roman"/>
          <w:sz w:val="18"/>
          <w:szCs w:val="18"/>
        </w:rPr>
      </w:pPr>
      <w:r>
        <w:rPr>
          <w:rFonts w:ascii="Times New Roman" w:hAnsi="Times New Roman" w:cs="Times New Roman"/>
          <w:sz w:val="18"/>
          <w:szCs w:val="18"/>
        </w:rPr>
        <w:t>2023年6月27日，本公司子公司成都龙大肉食品有限公司召开股东会，会议决定：同意股东成都佳享食品有限公司将其持有股份转让给本公司，转让后成都龙大肉食品有限公司注册资本不变，本公司在成都龙大肉食品有限公司的持股比例变更为100%。成都龙大肉食品有限公司于2023年6月29日完成工商登记变更。</w:t>
      </w: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确定公司是代理人还是委托人的依据：</w:t>
      </w:r>
    </w:p>
    <w:p>
      <w:pPr>
        <w:rPr>
          <w:rFonts w:ascii="Times New Roman" w:hAnsi="Times New Roman" w:cs="Times New Roman"/>
        </w:rPr>
      </w:pP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其他说明：</w:t>
      </w:r>
    </w:p>
    <w:p>
      <w:pPr>
        <w:rPr>
          <w:rFonts w:ascii="Times New Roman" w:hAnsi="Times New Roman" w:cs="Times New Roman"/>
        </w:rPr>
      </w:pPr>
    </w:p>
    <w:p>
      <w:pPr>
        <w:keepNext/>
        <w:keepLines/>
        <w:spacing w:before="300" w:after="300" w:line="280" w:lineRule="exact"/>
        <w:outlineLvl w:val="3"/>
        <w:rPr>
          <w:rFonts w:ascii="Times New Roman" w:hAnsi="Times New Roman" w:eastAsia="宋体" w:cs="Times New Roman"/>
          <w:b/>
          <w:bCs/>
          <w:sz w:val="18"/>
          <w:szCs w:val="18"/>
        </w:rPr>
      </w:pPr>
      <w:bookmarkStart w:id="393" w:name="_Toc989278"/>
      <w:r>
        <w:rPr>
          <w:rFonts w:ascii="Times New Roman" w:hAnsi="Times New Roman" w:eastAsia="宋体" w:cs="Times New Roman"/>
          <w:b/>
          <w:bCs/>
          <w:sz w:val="18"/>
          <w:szCs w:val="18"/>
        </w:rPr>
        <w:t>（2） 重要的非全资子公司</w:t>
      </w:r>
      <w:bookmarkEnd w:id="393"/>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7"/>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子公司名称</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少数股东持股比例</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本期归属于少数股东的损益</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本期向少数股东宣告分派的股利</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期末少数股东权益余额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河南龙大牧原肉食品有限公司</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40.00%</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-363,837.40</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130,451,536.95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蓬莱富龙肉食品有限公司</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42.86%</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1,729,254.67</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21,551,468.44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青岛中和盛杰食品有限公司</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49.00%</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-37,803,164.79</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-135,746,998.01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潍坊振祥食品有限公司</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30.00%</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-684,829.41</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51,679,360.37</w:t>
            </w:r>
          </w:p>
        </w:tc>
      </w:tr>
    </w:tbl>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子公司少数股东的持股比例不同于表决权比例的说明：</w:t>
      </w:r>
    </w:p>
    <w:p>
      <w:pPr>
        <w:pStyle w:val="8"/>
        <w:rPr>
          <w:rFonts w:ascii="Times New Roman" w:hAnsi="Times New Roman" w:cs="Times New Roman"/>
          <w:sz w:val="18"/>
          <w:szCs w:val="18"/>
        </w:rPr>
      </w:pPr>
      <w:r>
        <w:rPr>
          <w:rFonts w:ascii="Times New Roman" w:hAnsi="Times New Roman" w:cs="Times New Roman"/>
          <w:sz w:val="18"/>
          <w:szCs w:val="18"/>
        </w:rPr>
        <w:t>无</w:t>
      </w: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其他说明：</w:t>
      </w:r>
    </w:p>
    <w:p>
      <w:pPr>
        <w:rPr>
          <w:rFonts w:ascii="Times New Roman" w:hAnsi="Times New Roman" w:cs="Times New Roman"/>
        </w:rPr>
      </w:pPr>
    </w:p>
    <w:p>
      <w:pPr>
        <w:keepNext/>
        <w:keepLines/>
        <w:spacing w:before="300" w:after="300" w:line="280" w:lineRule="exact"/>
        <w:outlineLvl w:val="3"/>
        <w:rPr>
          <w:rFonts w:ascii="Times New Roman" w:hAnsi="Times New Roman" w:eastAsia="宋体" w:cs="Times New Roman"/>
          <w:b/>
          <w:bCs/>
          <w:sz w:val="18"/>
          <w:szCs w:val="18"/>
        </w:rPr>
      </w:pPr>
      <w:bookmarkStart w:id="394" w:name="_Toc989279"/>
      <w:r>
        <w:rPr>
          <w:rFonts w:ascii="Times New Roman" w:hAnsi="Times New Roman" w:eastAsia="宋体" w:cs="Times New Roman"/>
          <w:b/>
          <w:bCs/>
          <w:sz w:val="18"/>
          <w:szCs w:val="18"/>
        </w:rPr>
        <w:t>（3） 重要非全资子公司的主要财务信息</w:t>
      </w:r>
      <w:bookmarkEnd w:id="394"/>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41"/>
        <w:gridCol w:w="741"/>
        <w:gridCol w:w="741"/>
        <w:gridCol w:w="741"/>
        <w:gridCol w:w="741"/>
        <w:gridCol w:w="741"/>
        <w:gridCol w:w="744"/>
        <w:gridCol w:w="741"/>
        <w:gridCol w:w="741"/>
        <w:gridCol w:w="741"/>
        <w:gridCol w:w="741"/>
        <w:gridCol w:w="741"/>
        <w:gridCol w:w="74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子公司名称</w:t>
            </w:r>
          </w:p>
        </w:tc>
        <w:tc>
          <w:tcPr>
            <w:tcW w:w="4449" w:type="dxa"/>
            <w:gridSpan w:val="6"/>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期末余额</w:t>
            </w:r>
          </w:p>
        </w:tc>
        <w:tc>
          <w:tcPr>
            <w:tcW w:w="4449" w:type="dxa"/>
            <w:gridSpan w:val="6"/>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流动资产</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非流动资产</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资产合计</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流动负债</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非流动负债</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负债合计</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流动资产</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非流动资产</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资产合计</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流动负债</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非流动负债</w:t>
            </w:r>
          </w:p>
        </w:tc>
        <w:tc>
          <w:tcPr>
            <w:tcW w:w="74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负债合计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青岛中和盛杰食品有限公司</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566,315,415.70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35,654,399.17</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601,969,814.87</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878,344,304.33</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878,344,304.33</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911,724,641.50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34,487,379.98</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946,212,021.48</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1,146,093,294.08</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1,146,093,294.08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河南龙大牧原肉食品有限公司</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379,983,820.33</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196,726,336.88</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576,710,157.21</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247,897,977.01</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1,901,784.56</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249,799,761.57</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361,145,745.89</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188,235,843.04</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549,381,588.93</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218,850,522.64</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2,355,712.34</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221,206,234.98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潍坊振祥食品有限公司</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388,363,184.61</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300,564,086.71</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688,927,271.32</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515,508,238.28</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1,216,465.29</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516,724,703.57</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198,938,095.93</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299,438,076.62</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498,376,172.55</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322,424,640.94</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1,404,146.91</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323,828,787.85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蓬莱富龙食品有限公司</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54,915,036.54</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36,697,964.25</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91,613,000.79</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41,332,140.90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41,332,140.90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53,067,977.15</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36,314,882.05</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89,382,859.20</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43,131,027.06</w:t>
            </w: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74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43,131,027.06</w:t>
            </w:r>
          </w:p>
        </w:tc>
      </w:tr>
    </w:tbl>
    <w:p>
      <w:pPr>
        <w:spacing w:before="120" w:after="12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71"/>
        <w:gridCol w:w="1071"/>
        <w:gridCol w:w="1071"/>
        <w:gridCol w:w="1071"/>
        <w:gridCol w:w="1071"/>
        <w:gridCol w:w="1071"/>
        <w:gridCol w:w="1071"/>
        <w:gridCol w:w="1071"/>
        <w:gridCol w:w="107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子公司名称</w:t>
            </w:r>
          </w:p>
        </w:tc>
        <w:tc>
          <w:tcPr>
            <w:tcW w:w="4284"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本期发生额</w:t>
            </w:r>
          </w:p>
        </w:tc>
        <w:tc>
          <w:tcPr>
            <w:tcW w:w="4284"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营业收入</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净利润</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综合收益总额</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经营活动现金流量</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营业收入</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净利润</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综合收益总额</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经营活动现金流量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青岛中和盛杰食品有限公司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643,664,521.02</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-76,493,216.86</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-76,493,216.86</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6,106,303.70</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734,222,761.13</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59,589,612.12</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59,589,612.12</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254,758,829.52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河南龙大牧原肉食品有限公司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1,273,303,780.48</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-1,264,958.31</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-1,264,958.31</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-15,824,753.08</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1,187,016,924.26</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58,541,271.87</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58,541,271.87</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-43,596,843.72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潍坊振祥食品有限公司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1,380,104,566.41</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-2,344,816.95</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-2,344,816.95</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-35,051,092.18</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865,749,292.77</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18,387,640.37</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18,387,640.37</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-4,376,285.20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蓬莱富龙食品有限公司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229,803,771.48</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4,029,027.75</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4,029,027.75</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-17,820,240.83</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171,175,164.20</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5,285,528.66</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5,285,528.66</w:t>
            </w:r>
          </w:p>
        </w:tc>
        <w:tc>
          <w:tcPr>
            <w:tcW w:w="1071"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-16,838,693.53</w:t>
            </w:r>
          </w:p>
        </w:tc>
      </w:tr>
    </w:tbl>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其他说明：</w:t>
      </w:r>
    </w:p>
    <w:p>
      <w:pPr>
        <w:pStyle w:val="8"/>
        <w:rPr>
          <w:rFonts w:ascii="Times New Roman" w:hAnsi="Times New Roman" w:cs="Times New Roman"/>
          <w:sz w:val="18"/>
          <w:szCs w:val="18"/>
        </w:rPr>
      </w:pPr>
      <w:r>
        <w:rPr>
          <w:rFonts w:ascii="Times New Roman" w:hAnsi="Times New Roman" w:cs="Times New Roman"/>
          <w:sz w:val="18"/>
          <w:szCs w:val="18"/>
        </w:rPr>
        <w:t>无</w:t>
      </w:r>
    </w:p>
    <w:p>
      <w:pPr>
        <w:keepNext/>
        <w:keepLines/>
        <w:spacing w:before="300" w:after="300" w:line="280" w:lineRule="exact"/>
        <w:outlineLvl w:val="3"/>
        <w:rPr>
          <w:rFonts w:ascii="Times New Roman" w:hAnsi="Times New Roman" w:eastAsia="宋体" w:cs="Times New Roman"/>
          <w:b/>
          <w:bCs/>
          <w:sz w:val="18"/>
          <w:szCs w:val="18"/>
        </w:rPr>
      </w:pPr>
      <w:bookmarkStart w:id="395" w:name="_Toc989280"/>
      <w:r>
        <w:rPr>
          <w:rFonts w:ascii="Times New Roman" w:hAnsi="Times New Roman" w:eastAsia="宋体" w:cs="Times New Roman"/>
          <w:b/>
          <w:bCs/>
          <w:sz w:val="18"/>
          <w:szCs w:val="18"/>
        </w:rPr>
        <w:t>（4） 使用企业集团资产和清偿企业集团债务的重大限制</w:t>
      </w:r>
      <w:bookmarkEnd w:id="395"/>
    </w:p>
    <w:p>
      <w:pPr>
        <w:rPr>
          <w:rFonts w:ascii="Times New Roman" w:hAnsi="Times New Roman" w:cs="Times New Roman"/>
        </w:rPr>
      </w:pPr>
    </w:p>
    <w:p>
      <w:pPr>
        <w:keepNext/>
        <w:keepLines/>
        <w:spacing w:before="300" w:after="300" w:line="280" w:lineRule="exact"/>
        <w:outlineLvl w:val="3"/>
        <w:rPr>
          <w:rFonts w:ascii="Times New Roman" w:hAnsi="Times New Roman" w:eastAsia="宋体" w:cs="Times New Roman"/>
          <w:b/>
          <w:bCs/>
          <w:sz w:val="18"/>
          <w:szCs w:val="18"/>
        </w:rPr>
      </w:pPr>
      <w:bookmarkStart w:id="396" w:name="_Toc989281"/>
      <w:r>
        <w:rPr>
          <w:rFonts w:ascii="Times New Roman" w:hAnsi="Times New Roman" w:eastAsia="宋体" w:cs="Times New Roman"/>
          <w:b/>
          <w:bCs/>
          <w:sz w:val="18"/>
          <w:szCs w:val="18"/>
        </w:rPr>
        <w:t>（5） 向纳入合并财务报表范围的结构化主体提供的财务支持或其他支持</w:t>
      </w:r>
      <w:bookmarkEnd w:id="396"/>
    </w:p>
    <w:p>
      <w:pPr>
        <w:rPr>
          <w:rFonts w:ascii="Times New Roman" w:hAnsi="Times New Roman" w:cs="Times New Roman"/>
        </w:rPr>
      </w:pP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其他说明：</w:t>
      </w:r>
    </w:p>
    <w:p>
      <w:pPr>
        <w:rPr>
          <w:rFonts w:ascii="Times New Roman" w:hAnsi="Times New Roman" w:cs="Times New Roman"/>
        </w:rPr>
      </w:pPr>
    </w:p>
    <w:p>
      <w:pPr>
        <w:pStyle w:val="3"/>
        <w:spacing w:line="280" w:lineRule="exact"/>
        <w:jc w:val="left"/>
        <w:rPr>
          <w:rFonts w:ascii="Times New Roman" w:hAnsi="Times New Roman" w:cs="Times New Roman"/>
          <w:b/>
          <w:bCs/>
        </w:rPr>
      </w:pPr>
      <w:bookmarkStart w:id="397" w:name="_Toc989282"/>
      <w:r>
        <w:rPr>
          <w:rFonts w:ascii="Times New Roman" w:hAnsi="Times New Roman" w:cs="Times New Roman"/>
          <w:b/>
          <w:bCs/>
        </w:rPr>
        <w:t>2、在子公司的所有者权益份额发生变化且仍控制子公司的交易</w:t>
      </w:r>
      <w:bookmarkEnd w:id="397"/>
    </w:p>
    <w:p>
      <w:pPr>
        <w:keepNext/>
        <w:keepLines/>
        <w:spacing w:before="300" w:after="300" w:line="280" w:lineRule="exact"/>
        <w:outlineLvl w:val="3"/>
        <w:rPr>
          <w:rFonts w:ascii="Times New Roman" w:hAnsi="Times New Roman" w:eastAsia="宋体" w:cs="Times New Roman"/>
          <w:b/>
          <w:bCs/>
          <w:sz w:val="18"/>
          <w:szCs w:val="18"/>
        </w:rPr>
      </w:pPr>
      <w:bookmarkStart w:id="398" w:name="_Toc989283"/>
      <w:r>
        <w:rPr>
          <w:rFonts w:ascii="Times New Roman" w:hAnsi="Times New Roman" w:eastAsia="宋体" w:cs="Times New Roman"/>
          <w:b/>
          <w:bCs/>
          <w:sz w:val="18"/>
          <w:szCs w:val="18"/>
        </w:rPr>
        <w:t>（1） 在子公司所有者权益份额发生变化的情况说明</w:t>
      </w:r>
      <w:bookmarkEnd w:id="398"/>
    </w:p>
    <w:p>
      <w:pPr>
        <w:pStyle w:val="8"/>
        <w:rPr>
          <w:rFonts w:ascii="Times New Roman" w:hAnsi="Times New Roman" w:cs="Times New Roman"/>
          <w:sz w:val="18"/>
          <w:szCs w:val="18"/>
        </w:rPr>
      </w:pPr>
      <w:r>
        <w:rPr>
          <w:rFonts w:ascii="Times New Roman" w:hAnsi="Times New Roman" w:cs="Times New Roman"/>
          <w:sz w:val="18"/>
          <w:szCs w:val="18"/>
        </w:rPr>
        <w:t>无</w:t>
      </w:r>
    </w:p>
    <w:p>
      <w:pPr>
        <w:keepNext/>
        <w:keepLines/>
        <w:spacing w:before="300" w:after="300" w:line="280" w:lineRule="exact"/>
        <w:outlineLvl w:val="3"/>
        <w:rPr>
          <w:rFonts w:ascii="Times New Roman" w:hAnsi="Times New Roman" w:eastAsia="宋体" w:cs="Times New Roman"/>
          <w:b/>
          <w:bCs/>
          <w:sz w:val="18"/>
          <w:szCs w:val="18"/>
        </w:rPr>
      </w:pPr>
      <w:bookmarkStart w:id="399" w:name="_Toc989284"/>
      <w:r>
        <w:rPr>
          <w:rFonts w:ascii="Times New Roman" w:hAnsi="Times New Roman" w:eastAsia="宋体" w:cs="Times New Roman"/>
          <w:b/>
          <w:bCs/>
          <w:sz w:val="18"/>
          <w:szCs w:val="18"/>
        </w:rPr>
        <w:t>（2） 交易对于少数股东权益及归属于母公司所有者权益的影响</w:t>
      </w:r>
      <w:bookmarkEnd w:id="399"/>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1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购买成本/处置对价</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--现金</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--非现金资产的公允价值</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购买成本/处置对价合计</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减：按取得/处置的股权比例计算的子公司净资产份额</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-2,630,885.32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差额</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-2,630,885.32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其中：调整资本公积</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-2,630,885.32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rPr>
                <w:rFonts w:ascii="Times New Roman" w:hAnsi="Times New Roman" w:eastAsia="宋体" w:cs="Times New Roman"/>
                <w:sz w:val="18"/>
                <w:szCs w:val="18"/>
              </w:rPr>
            </w:pPr>
            <w:r>
              <w:rPr>
                <w:rFonts w:ascii="Times New Roman" w:hAnsi="Times New Roman" w:eastAsia="宋体" w:cs="Times New Roman"/>
                <w:sz w:val="18"/>
                <w:szCs w:val="18"/>
              </w:rPr>
              <w:t>调整盈余公积</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540" w:firstLineChars="300"/>
              <w:rPr>
                <w:rFonts w:ascii="Times New Roman" w:hAnsi="Times New Roman" w:eastAsia="宋体" w:cs="Times New Roman"/>
                <w:sz w:val="18"/>
                <w:szCs w:val="18"/>
              </w:rPr>
            </w:pPr>
            <w:r>
              <w:rPr>
                <w:rFonts w:ascii="Times New Roman" w:hAnsi="Times New Roman" w:eastAsia="宋体" w:cs="Times New Roman"/>
                <w:sz w:val="18"/>
                <w:szCs w:val="18"/>
              </w:rPr>
              <w:t>调整未分配利润</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r>
    </w:tbl>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其他说明</w:t>
      </w:r>
    </w:p>
    <w:p>
      <w:pPr>
        <w:rPr>
          <w:rFonts w:ascii="Times New Roman" w:hAnsi="Times New Roman" w:cs="Times New Roman"/>
        </w:rPr>
      </w:pPr>
    </w:p>
    <w:p>
      <w:pPr>
        <w:pStyle w:val="3"/>
        <w:spacing w:line="280" w:lineRule="exact"/>
        <w:jc w:val="left"/>
        <w:rPr>
          <w:rFonts w:ascii="Times New Roman" w:hAnsi="Times New Roman" w:cs="Times New Roman"/>
          <w:b/>
          <w:bCs/>
        </w:rPr>
      </w:pPr>
      <w:bookmarkStart w:id="400" w:name="_Toc989285"/>
      <w:r>
        <w:rPr>
          <w:rFonts w:ascii="Times New Roman" w:hAnsi="Times New Roman" w:cs="Times New Roman"/>
          <w:b/>
          <w:bCs/>
        </w:rPr>
        <w:t>3、在合营安排或联营企业中的权益</w:t>
      </w:r>
      <w:bookmarkEnd w:id="400"/>
    </w:p>
    <w:p>
      <w:pPr>
        <w:keepNext/>
        <w:keepLines/>
        <w:spacing w:before="300" w:after="300" w:line="280" w:lineRule="exact"/>
        <w:outlineLvl w:val="3"/>
        <w:rPr>
          <w:rFonts w:ascii="Times New Roman" w:hAnsi="Times New Roman" w:eastAsia="宋体" w:cs="Times New Roman"/>
          <w:b/>
          <w:bCs/>
          <w:szCs w:val="21"/>
        </w:rPr>
      </w:pPr>
      <w:bookmarkStart w:id="401" w:name="_Toc989286"/>
      <w:r>
        <w:rPr>
          <w:rFonts w:ascii="Times New Roman" w:hAnsi="Times New Roman" w:eastAsia="宋体" w:cs="Times New Roman"/>
          <w:b/>
          <w:bCs/>
          <w:szCs w:val="21"/>
        </w:rPr>
        <w:t>（1） 重要的合营企业或联营企业</w:t>
      </w:r>
      <w:bookmarkEnd w:id="401"/>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合营企业或联营企业名称</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主要经营地</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注册地</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业务性质</w:t>
            </w:r>
          </w:p>
        </w:tc>
        <w:tc>
          <w:tcPr>
            <w:tcW w:w="2754"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持股比例</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对合营企业或联营企业投资的会计处理方法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直接</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间接</w:t>
            </w: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r>
    </w:tbl>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在合营企业或联营企业的持股比例不同于表决权比例的说明：</w:t>
      </w:r>
    </w:p>
    <w:p>
      <w:pPr>
        <w:rPr>
          <w:rFonts w:ascii="Times New Roman" w:hAnsi="Times New Roman" w:cs="Times New Roman"/>
        </w:rPr>
      </w:pP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持有20%以下表决权但具有重大影响，或者持有20%或以上表决权但不具有重大影响的依据：</w:t>
      </w:r>
    </w:p>
    <w:p>
      <w:pPr>
        <w:rPr>
          <w:rFonts w:ascii="Times New Roman" w:hAnsi="Times New Roman" w:cs="Times New Roman"/>
        </w:rPr>
      </w:pPr>
    </w:p>
    <w:p>
      <w:pPr>
        <w:keepNext/>
        <w:keepLines/>
        <w:spacing w:before="300" w:after="300" w:line="280" w:lineRule="exact"/>
        <w:outlineLvl w:val="3"/>
        <w:rPr>
          <w:rFonts w:ascii="Times New Roman" w:hAnsi="Times New Roman" w:eastAsia="宋体" w:cs="Times New Roman"/>
          <w:b/>
          <w:bCs/>
          <w:szCs w:val="21"/>
        </w:rPr>
      </w:pPr>
      <w:bookmarkStart w:id="402" w:name="_Toc989287"/>
      <w:r>
        <w:rPr>
          <w:rFonts w:ascii="Times New Roman" w:hAnsi="Times New Roman" w:eastAsia="宋体" w:cs="Times New Roman"/>
          <w:b/>
          <w:bCs/>
          <w:szCs w:val="21"/>
        </w:rPr>
        <w:t>（2） 重要合营企业的主要财务信息</w:t>
      </w:r>
      <w:bookmarkEnd w:id="402"/>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期末余额/本期发生额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期初余额/上期发生额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流动资产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其中：现金和现金等价物</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非流动资产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资产合计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流动负债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非流动负债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负债合计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少数股东权益</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归属于母公司股东权益</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按持股比例计算的净资产份额</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调整事项</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--商誉</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--内部交易未实现利润</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对合营企业权益投资的账面价值</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存在公开报价的合营企业权益投资的公允价值</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营业收入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财务费用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所得税费用</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净利润</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终止经营的净利润</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综合收益总额</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本年度收到的来自合营企业的股利</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bl>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其他说明</w:t>
      </w:r>
    </w:p>
    <w:p>
      <w:pPr>
        <w:rPr>
          <w:rFonts w:ascii="Times New Roman" w:hAnsi="Times New Roman" w:cs="Times New Roman"/>
        </w:rPr>
      </w:pPr>
    </w:p>
    <w:p>
      <w:pPr>
        <w:keepNext/>
        <w:keepLines/>
        <w:spacing w:before="300" w:after="300" w:line="280" w:lineRule="exact"/>
        <w:outlineLvl w:val="3"/>
        <w:rPr>
          <w:rFonts w:ascii="Times New Roman" w:hAnsi="Times New Roman" w:eastAsia="宋体" w:cs="Times New Roman"/>
          <w:b/>
          <w:bCs/>
          <w:szCs w:val="21"/>
        </w:rPr>
      </w:pPr>
      <w:bookmarkStart w:id="403" w:name="_Toc989288"/>
      <w:r>
        <w:rPr>
          <w:rFonts w:ascii="Times New Roman" w:hAnsi="Times New Roman" w:eastAsia="宋体" w:cs="Times New Roman"/>
          <w:b/>
          <w:bCs/>
          <w:szCs w:val="21"/>
        </w:rPr>
        <w:t>（3） 重要联营企业的主要财务信息</w:t>
      </w:r>
      <w:bookmarkEnd w:id="403"/>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期末余额/本期发生额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期初余额/上期发生额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流动资产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非流动资产</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资产合计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流动负债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非流动负债</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负债合计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少数股东权益</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归属于母公司股东权益</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按持股比例计算的净资产份额</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调整事项</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--商誉</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--内部交易未实现利润</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对联营企业权益投资的账面价值</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存在公开报价的联营企业权益投资的公允价值</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营业收入</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净利润</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终止经营的净利润</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其他综合收益</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综合收益总额</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本年度收到的来自联营企业的股利</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bl>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其他说明</w:t>
      </w:r>
    </w:p>
    <w:p>
      <w:pPr>
        <w:rPr>
          <w:rFonts w:ascii="Times New Roman" w:hAnsi="Times New Roman" w:cs="Times New Roman"/>
        </w:rPr>
      </w:pPr>
    </w:p>
    <w:p>
      <w:pPr>
        <w:keepNext/>
        <w:keepLines/>
        <w:spacing w:before="300" w:after="300" w:line="280" w:lineRule="exact"/>
        <w:outlineLvl w:val="3"/>
        <w:rPr>
          <w:rFonts w:ascii="Times New Roman" w:hAnsi="Times New Roman" w:eastAsia="宋体" w:cs="Times New Roman"/>
          <w:b/>
          <w:bCs/>
          <w:szCs w:val="21"/>
        </w:rPr>
      </w:pPr>
      <w:bookmarkStart w:id="404" w:name="_Toc989289"/>
      <w:r>
        <w:rPr>
          <w:rFonts w:ascii="Times New Roman" w:hAnsi="Times New Roman" w:eastAsia="宋体" w:cs="Times New Roman"/>
          <w:b/>
          <w:bCs/>
          <w:szCs w:val="21"/>
        </w:rPr>
        <w:t>（4） 不重要的合营企业和联营企业的汇总财务信息</w:t>
      </w:r>
      <w:bookmarkEnd w:id="404"/>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期末余额/本期发生额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期初余额/上期发生额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合营企业：</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下列各项按持股比例计算的合计数</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联营企业：</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下列各项按持股比例计算的合计数</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r>
    </w:tbl>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其他说明</w:t>
      </w:r>
    </w:p>
    <w:p>
      <w:pPr>
        <w:rPr>
          <w:rFonts w:ascii="Times New Roman" w:hAnsi="Times New Roman" w:cs="Times New Roman"/>
        </w:rPr>
      </w:pPr>
    </w:p>
    <w:p>
      <w:pPr>
        <w:keepNext/>
        <w:keepLines/>
        <w:spacing w:before="300" w:after="300" w:line="280" w:lineRule="exact"/>
        <w:outlineLvl w:val="3"/>
        <w:rPr>
          <w:rFonts w:ascii="Times New Roman" w:hAnsi="Times New Roman" w:eastAsia="宋体" w:cs="Times New Roman"/>
          <w:b/>
          <w:bCs/>
          <w:szCs w:val="21"/>
        </w:rPr>
      </w:pPr>
      <w:bookmarkStart w:id="405" w:name="_Toc989290"/>
      <w:r>
        <w:rPr>
          <w:rFonts w:ascii="Times New Roman" w:hAnsi="Times New Roman" w:eastAsia="宋体" w:cs="Times New Roman"/>
          <w:b/>
          <w:bCs/>
          <w:szCs w:val="21"/>
        </w:rPr>
        <w:t>（5） 合营企业或联营企业向本公司转移资金的能力存在重大限制的说明</w:t>
      </w:r>
      <w:bookmarkEnd w:id="405"/>
    </w:p>
    <w:p>
      <w:pPr>
        <w:keepNext/>
        <w:keepLines/>
        <w:spacing w:before="300" w:after="300" w:line="280" w:lineRule="exact"/>
        <w:outlineLvl w:val="3"/>
        <w:rPr>
          <w:rFonts w:ascii="Times New Roman" w:hAnsi="Times New Roman" w:eastAsia="宋体" w:cs="Times New Roman"/>
          <w:b/>
          <w:bCs/>
          <w:szCs w:val="21"/>
        </w:rPr>
      </w:pPr>
      <w:bookmarkStart w:id="406" w:name="_Toc989291"/>
      <w:r>
        <w:rPr>
          <w:rFonts w:ascii="Times New Roman" w:hAnsi="Times New Roman" w:eastAsia="宋体" w:cs="Times New Roman"/>
          <w:b/>
          <w:bCs/>
          <w:szCs w:val="21"/>
        </w:rPr>
        <w:t>（6） 合营企业或联营企业发生的超额亏损</w:t>
      </w:r>
      <w:bookmarkEnd w:id="406"/>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09"/>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合营企业或联营企业名称</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累积未确认前期累计的损失</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本期未确认的损失（或本期分享的净利润）</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本期末累积未确认的损失</w:t>
            </w:r>
          </w:p>
        </w:tc>
      </w:tr>
    </w:tbl>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其他说明</w:t>
      </w:r>
    </w:p>
    <w:p>
      <w:pPr>
        <w:rPr>
          <w:rFonts w:ascii="Times New Roman" w:hAnsi="Times New Roman" w:cs="Times New Roman"/>
        </w:rPr>
      </w:pPr>
    </w:p>
    <w:p>
      <w:pPr>
        <w:keepNext/>
        <w:keepLines/>
        <w:spacing w:before="300" w:after="300" w:line="280" w:lineRule="exact"/>
        <w:outlineLvl w:val="3"/>
        <w:rPr>
          <w:rFonts w:ascii="Times New Roman" w:hAnsi="Times New Roman" w:eastAsia="宋体" w:cs="Times New Roman"/>
          <w:b/>
          <w:bCs/>
          <w:szCs w:val="21"/>
        </w:rPr>
      </w:pPr>
      <w:bookmarkStart w:id="407" w:name="_Toc989292"/>
      <w:r>
        <w:rPr>
          <w:rFonts w:ascii="Times New Roman" w:hAnsi="Times New Roman" w:eastAsia="宋体" w:cs="Times New Roman"/>
          <w:b/>
          <w:bCs/>
          <w:szCs w:val="21"/>
        </w:rPr>
        <w:t>（7） 与合营企业投资相关的未确认承诺</w:t>
      </w:r>
      <w:bookmarkEnd w:id="407"/>
    </w:p>
    <w:p>
      <w:pPr>
        <w:rPr>
          <w:rFonts w:ascii="Times New Roman" w:hAnsi="Times New Roman" w:cs="Times New Roman"/>
        </w:rPr>
      </w:pPr>
    </w:p>
    <w:p>
      <w:pPr>
        <w:keepNext/>
        <w:keepLines/>
        <w:spacing w:before="300" w:after="300" w:line="280" w:lineRule="exact"/>
        <w:outlineLvl w:val="3"/>
        <w:rPr>
          <w:rFonts w:ascii="Times New Roman" w:hAnsi="Times New Roman" w:eastAsia="宋体" w:cs="Times New Roman"/>
          <w:b/>
          <w:bCs/>
          <w:szCs w:val="21"/>
        </w:rPr>
      </w:pPr>
      <w:bookmarkStart w:id="408" w:name="_Toc989293"/>
      <w:r>
        <w:rPr>
          <w:rFonts w:ascii="Times New Roman" w:hAnsi="Times New Roman" w:eastAsia="宋体" w:cs="Times New Roman"/>
          <w:b/>
          <w:bCs/>
          <w:szCs w:val="21"/>
        </w:rPr>
        <w:t>（8） 与合营企业或联营企业投资相关的或有负债</w:t>
      </w:r>
      <w:bookmarkEnd w:id="408"/>
    </w:p>
    <w:p>
      <w:pPr>
        <w:rPr>
          <w:rFonts w:ascii="Times New Roman" w:hAnsi="Times New Roman" w:cs="Times New Roman"/>
        </w:rPr>
      </w:pPr>
    </w:p>
    <w:p>
      <w:pPr>
        <w:pStyle w:val="3"/>
        <w:spacing w:line="280" w:lineRule="exact"/>
        <w:jc w:val="left"/>
        <w:rPr>
          <w:rFonts w:ascii="Times New Roman" w:hAnsi="Times New Roman" w:cs="Times New Roman"/>
          <w:b/>
          <w:bCs/>
        </w:rPr>
      </w:pPr>
      <w:bookmarkStart w:id="409" w:name="_Toc989294"/>
      <w:r>
        <w:rPr>
          <w:rFonts w:ascii="Times New Roman" w:hAnsi="Times New Roman" w:cs="Times New Roman"/>
          <w:b/>
          <w:bCs/>
        </w:rPr>
        <w:t>4、重要的共同经营</w:t>
      </w:r>
      <w:bookmarkEnd w:id="409"/>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7"/>
        <w:gridCol w:w="1607"/>
        <w:gridCol w:w="1606"/>
        <w:gridCol w:w="1606"/>
        <w:gridCol w:w="1606"/>
        <w:gridCol w:w="160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共同经营名称</w:t>
            </w:r>
          </w:p>
        </w:tc>
        <w:tc>
          <w:tcPr>
            <w:tcW w:w="160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主要经营地</w:t>
            </w:r>
          </w:p>
        </w:tc>
        <w:tc>
          <w:tcPr>
            <w:tcW w:w="160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注册地</w:t>
            </w:r>
          </w:p>
        </w:tc>
        <w:tc>
          <w:tcPr>
            <w:tcW w:w="160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业务性质</w:t>
            </w:r>
          </w:p>
        </w:tc>
        <w:tc>
          <w:tcPr>
            <w:tcW w:w="321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持股比例/享有的份额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160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160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160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直接</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间接</w:t>
            </w:r>
          </w:p>
        </w:tc>
      </w:tr>
    </w:tbl>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在共同经营中的持股比例或享有的份额不同于表决权比例的说明：</w:t>
      </w:r>
    </w:p>
    <w:p>
      <w:pPr>
        <w:rPr>
          <w:rFonts w:ascii="Times New Roman" w:hAnsi="Times New Roman" w:cs="Times New Roman"/>
        </w:rPr>
      </w:pP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共同经营为单独主体的，分类为共同经营的依据：</w:t>
      </w:r>
    </w:p>
    <w:p>
      <w:pPr>
        <w:rPr>
          <w:rFonts w:ascii="Times New Roman" w:hAnsi="Times New Roman" w:cs="Times New Roman"/>
        </w:rPr>
      </w:pP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其他说明</w:t>
      </w:r>
    </w:p>
    <w:p>
      <w:pPr>
        <w:rPr>
          <w:rFonts w:ascii="Times New Roman" w:hAnsi="Times New Roman" w:cs="Times New Roman"/>
        </w:rPr>
      </w:pPr>
    </w:p>
    <w:p>
      <w:pPr>
        <w:pStyle w:val="3"/>
        <w:spacing w:line="280" w:lineRule="exact"/>
        <w:jc w:val="left"/>
        <w:rPr>
          <w:rFonts w:ascii="Times New Roman" w:hAnsi="Times New Roman" w:cs="Times New Roman"/>
          <w:b/>
          <w:bCs/>
        </w:rPr>
      </w:pPr>
      <w:bookmarkStart w:id="410" w:name="_Toc989295"/>
      <w:r>
        <w:rPr>
          <w:rFonts w:ascii="Times New Roman" w:hAnsi="Times New Roman" w:cs="Times New Roman"/>
          <w:b/>
          <w:bCs/>
        </w:rPr>
        <w:t>5、在未纳入合并财务报表范围的结构化主体中的权益</w:t>
      </w:r>
      <w:bookmarkEnd w:id="410"/>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未纳入合并财务报表范围的结构化主体的相关说明：</w:t>
      </w:r>
    </w:p>
    <w:p>
      <w:pPr>
        <w:pStyle w:val="8"/>
        <w:rPr>
          <w:rFonts w:ascii="Times New Roman" w:hAnsi="Times New Roman" w:cs="Times New Roman"/>
          <w:sz w:val="18"/>
          <w:szCs w:val="18"/>
        </w:rPr>
      </w:pPr>
      <w:r>
        <w:rPr>
          <w:rFonts w:ascii="Times New Roman" w:hAnsi="Times New Roman" w:cs="Times New Roman"/>
          <w:sz w:val="18"/>
          <w:szCs w:val="18"/>
        </w:rPr>
        <w:t>无</w:t>
      </w:r>
    </w:p>
    <w:p>
      <w:pPr>
        <w:pStyle w:val="3"/>
        <w:spacing w:line="280" w:lineRule="exact"/>
        <w:jc w:val="left"/>
        <w:rPr>
          <w:rFonts w:ascii="Times New Roman" w:hAnsi="Times New Roman" w:cs="Times New Roman"/>
          <w:b/>
          <w:bCs/>
        </w:rPr>
      </w:pPr>
      <w:bookmarkStart w:id="411" w:name="_Toc989296"/>
      <w:r>
        <w:rPr>
          <w:rFonts w:ascii="Times New Roman" w:hAnsi="Times New Roman" w:cs="Times New Roman"/>
          <w:b/>
          <w:bCs/>
        </w:rPr>
        <w:t>6、其他</w:t>
      </w:r>
      <w:bookmarkEnd w:id="411"/>
    </w:p>
    <w:p>
      <w:pPr>
        <w:pStyle w:val="8"/>
        <w:rPr>
          <w:rFonts w:ascii="Times New Roman" w:hAnsi="Times New Roman" w:cs="Times New Roman"/>
          <w:sz w:val="18"/>
          <w:szCs w:val="18"/>
        </w:rPr>
      </w:pPr>
      <w:r>
        <w:rPr>
          <w:rFonts w:ascii="Times New Roman" w:hAnsi="Times New Roman" w:cs="Times New Roman"/>
          <w:sz w:val="18"/>
          <w:szCs w:val="18"/>
        </w:rPr>
        <w:t>无</w:t>
      </w:r>
    </w:p>
    <w:p>
      <w:pPr>
        <w:pStyle w:val="2"/>
        <w:spacing w:before="300" w:after="300" w:line="320" w:lineRule="exact"/>
        <w:rPr>
          <w:rFonts w:ascii="Times New Roman" w:hAnsi="Times New Roman" w:eastAsia="宋体" w:cs="Times New Roman"/>
          <w:b/>
          <w:bCs/>
          <w:sz w:val="24"/>
          <w:szCs w:val="24"/>
        </w:rPr>
      </w:pPr>
      <w:bookmarkStart w:id="412" w:name="_Toc989297"/>
      <w:r>
        <w:rPr>
          <w:rFonts w:ascii="Times New Roman" w:hAnsi="Times New Roman" w:eastAsia="宋体" w:cs="Times New Roman"/>
          <w:b/>
          <w:bCs/>
          <w:sz w:val="24"/>
          <w:szCs w:val="24"/>
        </w:rPr>
        <w:t>十、与金融工具相关的风险</w:t>
      </w:r>
      <w:bookmarkEnd w:id="412"/>
    </w:p>
    <w:p>
      <w:pPr>
        <w:pStyle w:val="8"/>
        <w:spacing w:before="0" w:beforeAutospacing="0" w:after="0" w:afterAutospacing="0" w:line="273" w:lineRule="auto"/>
        <w:ind w:firstLine="360"/>
        <w:rPr>
          <w:rFonts w:ascii="Times New Roman" w:hAnsi="Times New Roman" w:cs="Times New Roman"/>
          <w:sz w:val="21"/>
          <w:szCs w:val="21"/>
        </w:rPr>
      </w:pPr>
      <w:r>
        <w:rPr>
          <w:rFonts w:ascii="Times New Roman" w:hAnsi="Times New Roman" w:cs="Times New Roman"/>
          <w:sz w:val="18"/>
          <w:szCs w:val="18"/>
        </w:rPr>
        <w:t>本集团的主要金融工具包括股权投资、债权投资、借款、应收款项、应付账款、可转换债券等，各项金融工具的详细情况说明见本附注七相关项目。本集团从事风险管理的目标是在风险和收益之间取得适当的平衡，将风险对本集团经营业绩的负面影响降低到最低水平，使股东及其他权益投资者的利益最大化。基于该风险管理目标，本集团风险管理的基本策略是确定和分析本集团所面临的各种风险，建立适当的风险承受底线和进行风险管理，并及时可靠地对各种风险进行监督，将风险控制在限定的范围之内。</w:t>
      </w:r>
    </w:p>
    <w:p>
      <w:pPr>
        <w:pStyle w:val="8"/>
        <w:spacing w:before="0" w:beforeAutospacing="0" w:after="0" w:afterAutospacing="0" w:line="273" w:lineRule="auto"/>
        <w:ind w:firstLine="360"/>
        <w:rPr>
          <w:rFonts w:ascii="Times New Roman" w:hAnsi="Times New Roman" w:cs="Times New Roman"/>
          <w:sz w:val="21"/>
          <w:szCs w:val="21"/>
        </w:rPr>
      </w:pPr>
      <w:r>
        <w:rPr>
          <w:rFonts w:ascii="Times New Roman" w:hAnsi="Times New Roman" w:cs="Times New Roman"/>
          <w:sz w:val="18"/>
          <w:szCs w:val="18"/>
        </w:rPr>
        <w:t>1、市场风险</w:t>
      </w:r>
    </w:p>
    <w:p>
      <w:pPr>
        <w:pStyle w:val="8"/>
        <w:spacing w:before="0" w:beforeAutospacing="0" w:after="0" w:afterAutospacing="0" w:line="273" w:lineRule="auto"/>
        <w:ind w:firstLine="360"/>
        <w:rPr>
          <w:rFonts w:ascii="Times New Roman" w:hAnsi="Times New Roman" w:cs="Times New Roman"/>
          <w:sz w:val="21"/>
          <w:szCs w:val="21"/>
        </w:rPr>
      </w:pPr>
      <w:r>
        <w:rPr>
          <w:rFonts w:ascii="Times New Roman" w:hAnsi="Times New Roman" w:cs="Times New Roman"/>
          <w:sz w:val="18"/>
          <w:szCs w:val="18"/>
        </w:rPr>
        <w:t>金融工具的市场风险，是指金融工具的公允价值或未来现金流量因市场价格变动而发生波动的风险，包括汇率风险、利率风险和其他价格风险。</w:t>
      </w:r>
    </w:p>
    <w:p>
      <w:pPr>
        <w:pStyle w:val="8"/>
        <w:spacing w:before="0" w:beforeAutospacing="0" w:after="0" w:afterAutospacing="0" w:line="273" w:lineRule="auto"/>
        <w:ind w:firstLine="360"/>
        <w:rPr>
          <w:rFonts w:ascii="Times New Roman" w:hAnsi="Times New Roman" w:cs="Times New Roman"/>
          <w:sz w:val="21"/>
          <w:szCs w:val="21"/>
        </w:rPr>
      </w:pPr>
      <w:r>
        <w:rPr>
          <w:rFonts w:ascii="Times New Roman" w:hAnsi="Times New Roman" w:cs="Times New Roman"/>
          <w:sz w:val="18"/>
          <w:szCs w:val="18"/>
        </w:rPr>
        <w:t>本集团采用敏感性分析技术分析市场风险相关变量的合理、可能变化对当期损益或股东权益可能产生的影响。由于任何风险变量很少孤立地发生变化，而变量之间存在的相关性对某一风险变量的变化的最终影响金额将产生重大作用，因此下述内容是在假设每一变量的变化是在独立的情况下进行的。</w:t>
      </w:r>
    </w:p>
    <w:p>
      <w:pPr>
        <w:pStyle w:val="8"/>
        <w:spacing w:before="0" w:beforeAutospacing="0" w:after="0" w:afterAutospacing="0" w:line="273" w:lineRule="auto"/>
        <w:ind w:firstLine="360"/>
        <w:rPr>
          <w:rFonts w:ascii="Times New Roman" w:hAnsi="Times New Roman" w:cs="Times New Roman"/>
          <w:sz w:val="21"/>
          <w:szCs w:val="21"/>
        </w:rPr>
      </w:pPr>
      <w:r>
        <w:rPr>
          <w:rFonts w:ascii="Times New Roman" w:hAnsi="Times New Roman" w:cs="Times New Roman"/>
          <w:sz w:val="18"/>
          <w:szCs w:val="18"/>
        </w:rPr>
        <w:t>汇率风险</w:t>
      </w:r>
    </w:p>
    <w:p>
      <w:pPr>
        <w:pStyle w:val="8"/>
        <w:spacing w:before="0" w:beforeAutospacing="0" w:after="0" w:afterAutospacing="0" w:line="273" w:lineRule="auto"/>
        <w:ind w:firstLine="360"/>
        <w:rPr>
          <w:rFonts w:ascii="Times New Roman" w:hAnsi="Times New Roman" w:cs="Times New Roman"/>
          <w:sz w:val="18"/>
          <w:szCs w:val="18"/>
        </w:rPr>
      </w:pPr>
      <w:r>
        <w:rPr>
          <w:rFonts w:ascii="Times New Roman" w:hAnsi="Times New Roman" w:cs="Times New Roman"/>
          <w:sz w:val="18"/>
          <w:szCs w:val="18"/>
        </w:rPr>
        <w:t>汇率风险，是指金融工具的公允价值或未来现金流量因外汇汇率变动而发生波动的风险。本集团承受外汇风险主要与美元、欧元、日元有关，除本集团的几个下属子公司以美元、欧元、日元进行采购和销售外，本集团的其他主要业务活动以人民币计价结算。汇率风险对本集团的交易及境外经营的业绩均构成影响。于2023年6月30日，本集团的外币货币性项目余额参见本附注七、82 “外币货币性项目”。</w:t>
      </w:r>
    </w:p>
    <w:p>
      <w:pPr>
        <w:pStyle w:val="8"/>
        <w:spacing w:before="0" w:beforeAutospacing="0" w:after="0" w:afterAutospacing="0" w:line="273" w:lineRule="auto"/>
        <w:ind w:firstLine="360"/>
        <w:rPr>
          <w:rFonts w:ascii="Times New Roman" w:hAnsi="Times New Roman" w:cs="Times New Roman"/>
          <w:sz w:val="21"/>
          <w:szCs w:val="21"/>
        </w:rPr>
      </w:pPr>
      <w:r>
        <w:rPr>
          <w:rFonts w:ascii="Times New Roman" w:hAnsi="Times New Roman" w:cs="Times New Roman"/>
          <w:sz w:val="18"/>
          <w:szCs w:val="18"/>
        </w:rPr>
        <w:t>本集团密切关注汇率变动对本集团汇率风险的影响。本集团目前并未采取任何措施规避汇率风险。</w:t>
      </w:r>
    </w:p>
    <w:p>
      <w:pPr>
        <w:pStyle w:val="8"/>
        <w:spacing w:before="0" w:beforeAutospacing="0" w:after="0" w:afterAutospacing="0" w:line="273" w:lineRule="auto"/>
        <w:ind w:firstLine="360"/>
        <w:rPr>
          <w:rFonts w:ascii="Times New Roman" w:hAnsi="Times New Roman" w:cs="Times New Roman"/>
          <w:sz w:val="21"/>
          <w:szCs w:val="21"/>
        </w:rPr>
      </w:pPr>
      <w:r>
        <w:rPr>
          <w:rFonts w:ascii="Times New Roman" w:hAnsi="Times New Roman" w:cs="Times New Roman"/>
          <w:sz w:val="18"/>
          <w:szCs w:val="18"/>
        </w:rPr>
        <w:t>汇率风险的敏感性分析见下表，反映了在其他变量不变的假设下，以下所列外币汇率发生合理、可能的变动时，由于货币性资产和货币性负债的公允价值变化将对净利润和股东权益产生的影响。</w:t>
      </w:r>
    </w:p>
    <w:tbl>
      <w:tblPr>
        <w:tblStyle w:val="9"/>
        <w:tblW w:w="9750" w:type="dxa"/>
        <w:tblInd w:w="0" w:type="dxa"/>
        <w:tblLayout w:type="autofit"/>
        <w:tblCellMar>
          <w:top w:w="15" w:type="dxa"/>
          <w:left w:w="15" w:type="dxa"/>
          <w:bottom w:w="15" w:type="dxa"/>
          <w:right w:w="15" w:type="dxa"/>
        </w:tblCellMar>
      </w:tblPr>
      <w:tblGrid>
        <w:gridCol w:w="4161"/>
        <w:gridCol w:w="1416"/>
        <w:gridCol w:w="1416"/>
        <w:gridCol w:w="1379"/>
        <w:gridCol w:w="1378"/>
      </w:tblGrid>
      <w:tr>
        <w:tblPrEx>
          <w:tblCellMar>
            <w:top w:w="15" w:type="dxa"/>
            <w:left w:w="15" w:type="dxa"/>
            <w:bottom w:w="15" w:type="dxa"/>
            <w:right w:w="15" w:type="dxa"/>
          </w:tblCellMar>
        </w:tblPrEx>
        <w:trPr>
          <w:trHeight w:val="340" w:hRule="atLeast"/>
        </w:trPr>
        <w:tc>
          <w:tcPr>
            <w:tcW w:w="2133" w:type="pct"/>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8"/>
              <w:spacing w:before="0" w:beforeAutospacing="0" w:after="0" w:afterAutospacing="0"/>
              <w:jc w:val="center"/>
              <w:rPr>
                <w:rFonts w:ascii="Times New Roman" w:hAnsi="Times New Roman" w:cs="Times New Roman"/>
              </w:rPr>
            </w:pPr>
            <w:r>
              <w:rPr>
                <w:rFonts w:ascii="Times New Roman" w:hAnsi="Times New Roman" w:cs="Times New Roman"/>
                <w:sz w:val="18"/>
                <w:szCs w:val="18"/>
              </w:rPr>
              <w:t>项目</w:t>
            </w:r>
          </w:p>
        </w:tc>
        <w:tc>
          <w:tcPr>
            <w:tcW w:w="1452" w:type="pct"/>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pStyle w:val="8"/>
              <w:spacing w:before="0" w:beforeAutospacing="0" w:after="0" w:afterAutospacing="0"/>
              <w:jc w:val="center"/>
              <w:rPr>
                <w:rFonts w:ascii="Times New Roman" w:hAnsi="Times New Roman" w:cs="Times New Roman"/>
              </w:rPr>
            </w:pPr>
            <w:r>
              <w:rPr>
                <w:rFonts w:ascii="Times New Roman" w:hAnsi="Times New Roman" w:cs="Times New Roman"/>
                <w:sz w:val="18"/>
                <w:szCs w:val="18"/>
              </w:rPr>
              <w:t>本年</w:t>
            </w:r>
          </w:p>
        </w:tc>
        <w:tc>
          <w:tcPr>
            <w:tcW w:w="1413" w:type="pct"/>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pStyle w:val="8"/>
              <w:spacing w:before="0" w:beforeAutospacing="0" w:after="0" w:afterAutospacing="0"/>
              <w:jc w:val="center"/>
              <w:rPr>
                <w:rFonts w:ascii="Times New Roman" w:hAnsi="Times New Roman" w:cs="Times New Roman"/>
              </w:rPr>
            </w:pPr>
            <w:r>
              <w:rPr>
                <w:rFonts w:ascii="Times New Roman" w:hAnsi="Times New Roman" w:cs="Times New Roman"/>
                <w:sz w:val="18"/>
                <w:szCs w:val="18"/>
              </w:rPr>
              <w:t>上年同期</w:t>
            </w:r>
          </w:p>
        </w:tc>
      </w:tr>
      <w:tr>
        <w:tblPrEx>
          <w:tblCellMar>
            <w:top w:w="15" w:type="dxa"/>
            <w:left w:w="15" w:type="dxa"/>
            <w:bottom w:w="15" w:type="dxa"/>
            <w:right w:w="15" w:type="dxa"/>
          </w:tblCellMar>
        </w:tblPrEx>
        <w:trPr>
          <w:trHeight w:val="340" w:hRule="atLeast"/>
        </w:trPr>
        <w:tc>
          <w:tcPr>
            <w:tcW w:w="0" w:type="auto"/>
            <w:vMerge w:val="continue"/>
            <w:tcBorders>
              <w:top w:val="single" w:color="auto" w:sz="8" w:space="0"/>
              <w:left w:val="single" w:color="auto" w:sz="8" w:space="0"/>
              <w:bottom w:val="single" w:color="auto" w:sz="8" w:space="0"/>
              <w:right w:val="single" w:color="auto" w:sz="8" w:space="0"/>
            </w:tcBorders>
            <w:vAlign w:val="center"/>
          </w:tcPr>
          <w:p>
            <w:pPr>
              <w:rPr>
                <w:rFonts w:ascii="Times New Roman" w:hAnsi="Times New Roman" w:eastAsia="宋体" w:cs="Times New Roman"/>
                <w:sz w:val="24"/>
                <w:szCs w:val="24"/>
              </w:rPr>
            </w:pPr>
          </w:p>
        </w:tc>
        <w:tc>
          <w:tcPr>
            <w:tcW w:w="726"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8"/>
              <w:spacing w:before="0" w:beforeAutospacing="0" w:after="0" w:afterAutospacing="0"/>
              <w:jc w:val="center"/>
              <w:rPr>
                <w:rFonts w:ascii="Times New Roman" w:hAnsi="Times New Roman" w:cs="Times New Roman"/>
              </w:rPr>
            </w:pPr>
            <w:r>
              <w:rPr>
                <w:rFonts w:ascii="Times New Roman" w:hAnsi="Times New Roman" w:cs="Times New Roman"/>
                <w:sz w:val="18"/>
                <w:szCs w:val="18"/>
              </w:rPr>
              <w:t>对利润的影响</w:t>
            </w:r>
          </w:p>
        </w:tc>
        <w:tc>
          <w:tcPr>
            <w:tcW w:w="726" w:type="pct"/>
            <w:tcBorders>
              <w:top w:val="nil"/>
              <w:left w:val="nil"/>
              <w:bottom w:val="single" w:color="auto" w:sz="8" w:space="0"/>
              <w:right w:val="single" w:color="auto" w:sz="8" w:space="0"/>
            </w:tcBorders>
            <w:tcMar>
              <w:top w:w="0" w:type="dxa"/>
              <w:left w:w="108" w:type="dxa"/>
              <w:bottom w:w="0" w:type="dxa"/>
              <w:right w:w="108" w:type="dxa"/>
            </w:tcMar>
            <w:vAlign w:val="center"/>
          </w:tcPr>
          <w:p>
            <w:pPr>
              <w:pStyle w:val="8"/>
              <w:spacing w:before="0" w:beforeAutospacing="0" w:after="0" w:afterAutospacing="0"/>
              <w:jc w:val="center"/>
              <w:rPr>
                <w:rFonts w:ascii="Times New Roman" w:hAnsi="Times New Roman" w:cs="Times New Roman"/>
              </w:rPr>
            </w:pPr>
            <w:r>
              <w:rPr>
                <w:rFonts w:ascii="Times New Roman" w:hAnsi="Times New Roman" w:cs="Times New Roman"/>
                <w:sz w:val="18"/>
                <w:szCs w:val="18"/>
              </w:rPr>
              <w:t>对股东权益的影响</w:t>
            </w:r>
          </w:p>
        </w:tc>
        <w:tc>
          <w:tcPr>
            <w:tcW w:w="707" w:type="pct"/>
            <w:tcBorders>
              <w:top w:val="nil"/>
              <w:left w:val="nil"/>
              <w:bottom w:val="single" w:color="auto" w:sz="8" w:space="0"/>
              <w:right w:val="single" w:color="auto" w:sz="8" w:space="0"/>
            </w:tcBorders>
            <w:tcMar>
              <w:top w:w="0" w:type="dxa"/>
              <w:left w:w="108" w:type="dxa"/>
              <w:bottom w:w="0" w:type="dxa"/>
              <w:right w:w="108" w:type="dxa"/>
            </w:tcMar>
            <w:vAlign w:val="center"/>
          </w:tcPr>
          <w:p>
            <w:pPr>
              <w:pStyle w:val="8"/>
              <w:spacing w:before="0" w:beforeAutospacing="0" w:after="0" w:afterAutospacing="0"/>
              <w:jc w:val="center"/>
              <w:rPr>
                <w:rFonts w:ascii="Times New Roman" w:hAnsi="Times New Roman" w:cs="Times New Roman"/>
              </w:rPr>
            </w:pPr>
            <w:r>
              <w:rPr>
                <w:rFonts w:ascii="Times New Roman" w:hAnsi="Times New Roman" w:cs="Times New Roman"/>
                <w:sz w:val="18"/>
                <w:szCs w:val="18"/>
              </w:rPr>
              <w:t>对利润的影响</w:t>
            </w:r>
          </w:p>
        </w:tc>
        <w:tc>
          <w:tcPr>
            <w:tcW w:w="705" w:type="pct"/>
            <w:tcBorders>
              <w:top w:val="nil"/>
              <w:left w:val="nil"/>
              <w:bottom w:val="single" w:color="auto" w:sz="8" w:space="0"/>
              <w:right w:val="single" w:color="auto" w:sz="8" w:space="0"/>
            </w:tcBorders>
            <w:tcMar>
              <w:top w:w="0" w:type="dxa"/>
              <w:left w:w="108" w:type="dxa"/>
              <w:bottom w:w="0" w:type="dxa"/>
              <w:right w:w="108" w:type="dxa"/>
            </w:tcMar>
            <w:vAlign w:val="center"/>
          </w:tcPr>
          <w:p>
            <w:pPr>
              <w:pStyle w:val="8"/>
              <w:spacing w:before="0" w:beforeAutospacing="0" w:after="0" w:afterAutospacing="0"/>
              <w:jc w:val="center"/>
              <w:rPr>
                <w:rFonts w:ascii="Times New Roman" w:hAnsi="Times New Roman" w:cs="Times New Roman"/>
              </w:rPr>
            </w:pPr>
            <w:r>
              <w:rPr>
                <w:rFonts w:ascii="Times New Roman" w:hAnsi="Times New Roman" w:cs="Times New Roman"/>
                <w:sz w:val="18"/>
                <w:szCs w:val="18"/>
              </w:rPr>
              <w:t>对股东权益的影响</w:t>
            </w:r>
          </w:p>
        </w:tc>
      </w:tr>
      <w:tr>
        <w:tblPrEx>
          <w:tblCellMar>
            <w:top w:w="15" w:type="dxa"/>
            <w:left w:w="15" w:type="dxa"/>
            <w:bottom w:w="15" w:type="dxa"/>
            <w:right w:w="15" w:type="dxa"/>
          </w:tblCellMar>
        </w:tblPrEx>
        <w:trPr>
          <w:trHeight w:val="340" w:hRule="atLeast"/>
        </w:trPr>
        <w:tc>
          <w:tcPr>
            <w:tcW w:w="2133"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8"/>
              <w:spacing w:before="0" w:beforeAutospacing="0" w:after="0" w:afterAutospacing="0"/>
              <w:jc w:val="both"/>
              <w:rPr>
                <w:rFonts w:ascii="Times New Roman" w:hAnsi="Times New Roman" w:cs="Times New Roman"/>
              </w:rPr>
            </w:pPr>
            <w:r>
              <w:rPr>
                <w:rFonts w:ascii="Times New Roman" w:hAnsi="Times New Roman" w:cs="Times New Roman"/>
                <w:sz w:val="18"/>
                <w:szCs w:val="18"/>
              </w:rPr>
              <w:t>人民币对美元汇率增加100个基准点</w:t>
            </w:r>
          </w:p>
        </w:tc>
        <w:tc>
          <w:tcPr>
            <w:tcW w:w="726" w:type="pct"/>
            <w:tcBorders>
              <w:top w:val="nil"/>
              <w:left w:val="nil"/>
              <w:bottom w:val="single" w:color="auto" w:sz="8" w:space="0"/>
              <w:right w:val="single" w:color="auto" w:sz="8" w:space="0"/>
            </w:tcBorders>
            <w:tcMar>
              <w:top w:w="0" w:type="dxa"/>
              <w:left w:w="108" w:type="dxa"/>
              <w:bottom w:w="0" w:type="dxa"/>
              <w:right w:w="108" w:type="dxa"/>
            </w:tcMar>
            <w:vAlign w:val="center"/>
          </w:tcPr>
          <w:p>
            <w:pPr>
              <w:pStyle w:val="8"/>
              <w:spacing w:before="0" w:beforeAutospacing="0" w:after="0" w:afterAutospacing="0"/>
              <w:jc w:val="right"/>
              <w:textAlignment w:val="center"/>
              <w:rPr>
                <w:rFonts w:ascii="Times New Roman" w:hAnsi="Times New Roman" w:cs="Times New Roman"/>
                <w:sz w:val="18"/>
                <w:szCs w:val="18"/>
              </w:rPr>
            </w:pPr>
            <w:r>
              <w:rPr>
                <w:rFonts w:ascii="Times New Roman" w:hAnsi="Times New Roman" w:cs="Times New Roman"/>
                <w:sz w:val="18"/>
                <w:szCs w:val="18"/>
              </w:rPr>
              <w:t xml:space="preserve"> 72.13 </w:t>
            </w:r>
          </w:p>
        </w:tc>
        <w:tc>
          <w:tcPr>
            <w:tcW w:w="726" w:type="pct"/>
            <w:tcBorders>
              <w:top w:val="nil"/>
              <w:left w:val="nil"/>
              <w:bottom w:val="single" w:color="auto" w:sz="8" w:space="0"/>
              <w:right w:val="single" w:color="auto" w:sz="8" w:space="0"/>
            </w:tcBorders>
            <w:tcMar>
              <w:top w:w="0" w:type="dxa"/>
              <w:left w:w="108" w:type="dxa"/>
              <w:bottom w:w="0" w:type="dxa"/>
              <w:right w:w="108" w:type="dxa"/>
            </w:tcMar>
            <w:vAlign w:val="center"/>
          </w:tcPr>
          <w:p>
            <w:pPr>
              <w:pStyle w:val="8"/>
              <w:spacing w:before="0" w:beforeAutospacing="0" w:after="0" w:afterAutospacing="0"/>
              <w:jc w:val="right"/>
              <w:rPr>
                <w:rFonts w:ascii="Times New Roman" w:hAnsi="Times New Roman" w:cs="Times New Roman"/>
                <w:sz w:val="18"/>
                <w:szCs w:val="18"/>
              </w:rPr>
            </w:pPr>
            <w:r>
              <w:rPr>
                <w:rFonts w:ascii="Times New Roman" w:hAnsi="Times New Roman" w:cs="Times New Roman"/>
                <w:sz w:val="18"/>
                <w:szCs w:val="18"/>
              </w:rPr>
              <w:t> 72.13</w:t>
            </w:r>
          </w:p>
        </w:tc>
        <w:tc>
          <w:tcPr>
            <w:tcW w:w="707" w:type="pct"/>
            <w:tcBorders>
              <w:top w:val="nil"/>
              <w:left w:val="nil"/>
              <w:bottom w:val="single" w:color="auto" w:sz="8" w:space="0"/>
              <w:right w:val="single" w:color="auto" w:sz="8" w:space="0"/>
            </w:tcBorders>
            <w:tcMar>
              <w:top w:w="0" w:type="dxa"/>
              <w:left w:w="108" w:type="dxa"/>
              <w:bottom w:w="0" w:type="dxa"/>
              <w:right w:w="108" w:type="dxa"/>
            </w:tcMar>
            <w:vAlign w:val="center"/>
          </w:tcPr>
          <w:p>
            <w:pPr>
              <w:pStyle w:val="8"/>
              <w:spacing w:before="0" w:beforeAutospacing="0" w:after="0" w:afterAutospacing="0"/>
              <w:jc w:val="right"/>
              <w:rPr>
                <w:rFonts w:ascii="Times New Roman" w:hAnsi="Times New Roman" w:cs="Times New Roman"/>
                <w:sz w:val="18"/>
                <w:szCs w:val="18"/>
              </w:rPr>
            </w:pPr>
            <w:r>
              <w:rPr>
                <w:rFonts w:ascii="Times New Roman" w:hAnsi="Times New Roman" w:cs="Times New Roman"/>
                <w:sz w:val="18"/>
                <w:szCs w:val="18"/>
              </w:rPr>
              <w:t>-33,133.87</w:t>
            </w:r>
          </w:p>
        </w:tc>
        <w:tc>
          <w:tcPr>
            <w:tcW w:w="705" w:type="pct"/>
            <w:tcBorders>
              <w:top w:val="nil"/>
              <w:left w:val="nil"/>
              <w:bottom w:val="single" w:color="auto" w:sz="8" w:space="0"/>
              <w:right w:val="single" w:color="auto" w:sz="8" w:space="0"/>
            </w:tcBorders>
            <w:tcMar>
              <w:top w:w="0" w:type="dxa"/>
              <w:left w:w="108" w:type="dxa"/>
              <w:bottom w:w="0" w:type="dxa"/>
              <w:right w:w="108" w:type="dxa"/>
            </w:tcMar>
            <w:vAlign w:val="center"/>
          </w:tcPr>
          <w:p>
            <w:pPr>
              <w:pStyle w:val="8"/>
              <w:spacing w:before="0" w:beforeAutospacing="0" w:after="0" w:afterAutospacing="0"/>
              <w:jc w:val="right"/>
              <w:rPr>
                <w:rFonts w:ascii="Times New Roman" w:hAnsi="Times New Roman" w:cs="Times New Roman"/>
                <w:sz w:val="18"/>
                <w:szCs w:val="18"/>
              </w:rPr>
            </w:pPr>
            <w:r>
              <w:rPr>
                <w:rFonts w:ascii="Times New Roman" w:hAnsi="Times New Roman" w:cs="Times New Roman"/>
                <w:sz w:val="18"/>
                <w:szCs w:val="18"/>
              </w:rPr>
              <w:t>-33,133.87</w:t>
            </w:r>
          </w:p>
        </w:tc>
      </w:tr>
      <w:tr>
        <w:tblPrEx>
          <w:tblCellMar>
            <w:top w:w="15" w:type="dxa"/>
            <w:left w:w="15" w:type="dxa"/>
            <w:bottom w:w="15" w:type="dxa"/>
            <w:right w:w="15" w:type="dxa"/>
          </w:tblCellMar>
        </w:tblPrEx>
        <w:trPr>
          <w:trHeight w:val="340" w:hRule="atLeast"/>
        </w:trPr>
        <w:tc>
          <w:tcPr>
            <w:tcW w:w="2133"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8"/>
              <w:spacing w:before="0" w:beforeAutospacing="0" w:after="0" w:afterAutospacing="0"/>
              <w:jc w:val="both"/>
              <w:rPr>
                <w:rFonts w:ascii="Times New Roman" w:hAnsi="Times New Roman" w:cs="Times New Roman"/>
              </w:rPr>
            </w:pPr>
            <w:r>
              <w:rPr>
                <w:rFonts w:ascii="Times New Roman" w:hAnsi="Times New Roman" w:cs="Times New Roman"/>
                <w:sz w:val="18"/>
                <w:szCs w:val="18"/>
              </w:rPr>
              <w:t>人民币对欧元汇率增加100个基准点</w:t>
            </w:r>
          </w:p>
        </w:tc>
        <w:tc>
          <w:tcPr>
            <w:tcW w:w="726" w:type="pct"/>
            <w:tcBorders>
              <w:top w:val="nil"/>
              <w:left w:val="nil"/>
              <w:bottom w:val="single" w:color="auto" w:sz="8" w:space="0"/>
              <w:right w:val="single" w:color="auto" w:sz="8" w:space="0"/>
            </w:tcBorders>
            <w:tcMar>
              <w:top w:w="0" w:type="dxa"/>
              <w:left w:w="108" w:type="dxa"/>
              <w:bottom w:w="0" w:type="dxa"/>
              <w:right w:w="108" w:type="dxa"/>
            </w:tcMar>
            <w:vAlign w:val="center"/>
          </w:tcPr>
          <w:p>
            <w:pPr>
              <w:pStyle w:val="8"/>
              <w:spacing w:before="0" w:beforeAutospacing="0" w:after="0" w:afterAutospacing="0"/>
              <w:jc w:val="right"/>
              <w:textAlignment w:val="center"/>
              <w:rPr>
                <w:rFonts w:ascii="Times New Roman" w:hAnsi="Times New Roman" w:cs="Times New Roman"/>
                <w:sz w:val="18"/>
                <w:szCs w:val="18"/>
              </w:rPr>
            </w:pPr>
            <w:r>
              <w:rPr>
                <w:rFonts w:ascii="Times New Roman" w:hAnsi="Times New Roman" w:cs="Times New Roman"/>
                <w:sz w:val="18"/>
                <w:szCs w:val="18"/>
              </w:rPr>
              <w:t xml:space="preserve"> 118.00 </w:t>
            </w:r>
          </w:p>
        </w:tc>
        <w:tc>
          <w:tcPr>
            <w:tcW w:w="726" w:type="pct"/>
            <w:tcBorders>
              <w:top w:val="nil"/>
              <w:left w:val="nil"/>
              <w:bottom w:val="single" w:color="auto" w:sz="8" w:space="0"/>
              <w:right w:val="single" w:color="auto" w:sz="8" w:space="0"/>
            </w:tcBorders>
            <w:tcMar>
              <w:top w:w="0" w:type="dxa"/>
              <w:left w:w="108" w:type="dxa"/>
              <w:bottom w:w="0" w:type="dxa"/>
              <w:right w:w="108" w:type="dxa"/>
            </w:tcMar>
            <w:vAlign w:val="center"/>
          </w:tcPr>
          <w:p>
            <w:pPr>
              <w:pStyle w:val="8"/>
              <w:spacing w:before="0" w:beforeAutospacing="0" w:after="0" w:afterAutospacing="0"/>
              <w:jc w:val="right"/>
              <w:rPr>
                <w:rFonts w:ascii="Times New Roman" w:hAnsi="Times New Roman" w:cs="Times New Roman"/>
                <w:sz w:val="18"/>
                <w:szCs w:val="18"/>
              </w:rPr>
            </w:pPr>
            <w:r>
              <w:rPr>
                <w:rFonts w:ascii="Times New Roman" w:hAnsi="Times New Roman" w:cs="Times New Roman"/>
                <w:sz w:val="18"/>
                <w:szCs w:val="18"/>
              </w:rPr>
              <w:t> 118.00</w:t>
            </w:r>
          </w:p>
        </w:tc>
        <w:tc>
          <w:tcPr>
            <w:tcW w:w="707" w:type="pct"/>
            <w:tcBorders>
              <w:top w:val="nil"/>
              <w:left w:val="nil"/>
              <w:bottom w:val="single" w:color="auto" w:sz="8" w:space="0"/>
              <w:right w:val="single" w:color="auto" w:sz="8" w:space="0"/>
            </w:tcBorders>
            <w:tcMar>
              <w:top w:w="0" w:type="dxa"/>
              <w:left w:w="108" w:type="dxa"/>
              <w:bottom w:w="0" w:type="dxa"/>
              <w:right w:w="108" w:type="dxa"/>
            </w:tcMar>
            <w:vAlign w:val="center"/>
          </w:tcPr>
          <w:p>
            <w:pPr>
              <w:pStyle w:val="8"/>
              <w:spacing w:before="0" w:beforeAutospacing="0" w:after="0" w:afterAutospacing="0"/>
              <w:jc w:val="right"/>
              <w:rPr>
                <w:rFonts w:ascii="Times New Roman" w:hAnsi="Times New Roman" w:cs="Times New Roman"/>
                <w:sz w:val="18"/>
                <w:szCs w:val="18"/>
              </w:rPr>
            </w:pPr>
            <w:r>
              <w:rPr>
                <w:rFonts w:ascii="Times New Roman" w:hAnsi="Times New Roman" w:cs="Times New Roman"/>
                <w:sz w:val="18"/>
                <w:szCs w:val="18"/>
              </w:rPr>
              <w:t>148.50</w:t>
            </w:r>
          </w:p>
        </w:tc>
        <w:tc>
          <w:tcPr>
            <w:tcW w:w="705" w:type="pct"/>
            <w:tcBorders>
              <w:top w:val="nil"/>
              <w:left w:val="nil"/>
              <w:bottom w:val="single" w:color="auto" w:sz="8" w:space="0"/>
              <w:right w:val="single" w:color="auto" w:sz="8" w:space="0"/>
            </w:tcBorders>
            <w:tcMar>
              <w:top w:w="0" w:type="dxa"/>
              <w:left w:w="108" w:type="dxa"/>
              <w:bottom w:w="0" w:type="dxa"/>
              <w:right w:w="108" w:type="dxa"/>
            </w:tcMar>
            <w:vAlign w:val="center"/>
          </w:tcPr>
          <w:p>
            <w:pPr>
              <w:pStyle w:val="8"/>
              <w:spacing w:before="0" w:beforeAutospacing="0" w:after="0" w:afterAutospacing="0"/>
              <w:jc w:val="right"/>
              <w:rPr>
                <w:rFonts w:ascii="Times New Roman" w:hAnsi="Times New Roman" w:cs="Times New Roman"/>
                <w:sz w:val="18"/>
                <w:szCs w:val="18"/>
              </w:rPr>
            </w:pPr>
            <w:r>
              <w:rPr>
                <w:rFonts w:ascii="Times New Roman" w:hAnsi="Times New Roman" w:cs="Times New Roman"/>
                <w:sz w:val="18"/>
                <w:szCs w:val="18"/>
              </w:rPr>
              <w:t>148.50</w:t>
            </w:r>
          </w:p>
        </w:tc>
      </w:tr>
      <w:tr>
        <w:tblPrEx>
          <w:tblCellMar>
            <w:top w:w="15" w:type="dxa"/>
            <w:left w:w="15" w:type="dxa"/>
            <w:bottom w:w="15" w:type="dxa"/>
            <w:right w:w="15" w:type="dxa"/>
          </w:tblCellMar>
        </w:tblPrEx>
        <w:trPr>
          <w:trHeight w:val="340" w:hRule="atLeast"/>
        </w:trPr>
        <w:tc>
          <w:tcPr>
            <w:tcW w:w="2133"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8"/>
              <w:spacing w:before="0" w:beforeAutospacing="0" w:after="0" w:afterAutospacing="0"/>
              <w:jc w:val="both"/>
              <w:rPr>
                <w:rFonts w:ascii="Times New Roman" w:hAnsi="Times New Roman" w:cs="Times New Roman"/>
              </w:rPr>
            </w:pPr>
            <w:r>
              <w:rPr>
                <w:rFonts w:ascii="Times New Roman" w:hAnsi="Times New Roman" w:cs="Times New Roman"/>
                <w:sz w:val="18"/>
                <w:szCs w:val="18"/>
              </w:rPr>
              <w:t>人民币对日元汇率增加100个基准点</w:t>
            </w:r>
          </w:p>
        </w:tc>
        <w:tc>
          <w:tcPr>
            <w:tcW w:w="726" w:type="pct"/>
            <w:tcBorders>
              <w:top w:val="nil"/>
              <w:left w:val="nil"/>
              <w:bottom w:val="single" w:color="auto" w:sz="8" w:space="0"/>
              <w:right w:val="single" w:color="auto" w:sz="8" w:space="0"/>
            </w:tcBorders>
            <w:tcMar>
              <w:top w:w="0" w:type="dxa"/>
              <w:left w:w="108" w:type="dxa"/>
              <w:bottom w:w="0" w:type="dxa"/>
              <w:right w:w="108" w:type="dxa"/>
            </w:tcMar>
            <w:vAlign w:val="center"/>
          </w:tcPr>
          <w:p>
            <w:pPr>
              <w:pStyle w:val="8"/>
              <w:spacing w:before="0" w:beforeAutospacing="0" w:after="0" w:afterAutospacing="0"/>
              <w:jc w:val="right"/>
              <w:textAlignment w:val="center"/>
              <w:rPr>
                <w:rFonts w:ascii="Times New Roman" w:hAnsi="Times New Roman" w:cs="Times New Roman"/>
                <w:sz w:val="18"/>
                <w:szCs w:val="18"/>
              </w:rPr>
            </w:pPr>
            <w:r>
              <w:rPr>
                <w:rFonts w:ascii="Times New Roman" w:hAnsi="Times New Roman" w:cs="Times New Roman"/>
                <w:sz w:val="18"/>
                <w:szCs w:val="18"/>
              </w:rPr>
              <w:t xml:space="preserve"> 8,500.00 </w:t>
            </w:r>
          </w:p>
        </w:tc>
        <w:tc>
          <w:tcPr>
            <w:tcW w:w="726" w:type="pct"/>
            <w:tcBorders>
              <w:top w:val="nil"/>
              <w:left w:val="nil"/>
              <w:bottom w:val="single" w:color="auto" w:sz="8" w:space="0"/>
              <w:right w:val="single" w:color="auto" w:sz="8" w:space="0"/>
            </w:tcBorders>
            <w:tcMar>
              <w:top w:w="0" w:type="dxa"/>
              <w:left w:w="108" w:type="dxa"/>
              <w:bottom w:w="0" w:type="dxa"/>
              <w:right w:w="108" w:type="dxa"/>
            </w:tcMar>
            <w:vAlign w:val="center"/>
          </w:tcPr>
          <w:p>
            <w:pPr>
              <w:pStyle w:val="8"/>
              <w:spacing w:before="0" w:beforeAutospacing="0" w:after="0" w:afterAutospacing="0"/>
              <w:jc w:val="right"/>
              <w:rPr>
                <w:rFonts w:ascii="Times New Roman" w:hAnsi="Times New Roman" w:cs="Times New Roman"/>
                <w:sz w:val="18"/>
                <w:szCs w:val="18"/>
              </w:rPr>
            </w:pPr>
            <w:r>
              <w:rPr>
                <w:rFonts w:ascii="Times New Roman" w:hAnsi="Times New Roman" w:cs="Times New Roman"/>
                <w:sz w:val="18"/>
                <w:szCs w:val="18"/>
              </w:rPr>
              <w:t xml:space="preserve"> 8,500.00 </w:t>
            </w:r>
          </w:p>
        </w:tc>
        <w:tc>
          <w:tcPr>
            <w:tcW w:w="707" w:type="pct"/>
            <w:tcBorders>
              <w:top w:val="nil"/>
              <w:left w:val="nil"/>
              <w:bottom w:val="single" w:color="auto" w:sz="8" w:space="0"/>
              <w:right w:val="single" w:color="auto" w:sz="8" w:space="0"/>
            </w:tcBorders>
            <w:tcMar>
              <w:top w:w="0" w:type="dxa"/>
              <w:left w:w="108" w:type="dxa"/>
              <w:bottom w:w="0" w:type="dxa"/>
              <w:right w:w="108" w:type="dxa"/>
            </w:tcMar>
            <w:vAlign w:val="center"/>
          </w:tcPr>
          <w:p>
            <w:pPr>
              <w:pStyle w:val="8"/>
              <w:spacing w:before="0" w:beforeAutospacing="0" w:after="0" w:afterAutospacing="0"/>
              <w:jc w:val="right"/>
              <w:rPr>
                <w:rFonts w:ascii="Times New Roman" w:hAnsi="Times New Roman" w:cs="Times New Roman"/>
                <w:sz w:val="18"/>
                <w:szCs w:val="18"/>
              </w:rPr>
            </w:pPr>
            <w:r>
              <w:rPr>
                <w:rFonts w:ascii="Times New Roman" w:hAnsi="Times New Roman" w:cs="Times New Roman"/>
                <w:sz w:val="18"/>
                <w:szCs w:val="18"/>
              </w:rPr>
              <w:t>6,375.00</w:t>
            </w:r>
          </w:p>
        </w:tc>
        <w:tc>
          <w:tcPr>
            <w:tcW w:w="705" w:type="pct"/>
            <w:tcBorders>
              <w:top w:val="nil"/>
              <w:left w:val="nil"/>
              <w:bottom w:val="single" w:color="auto" w:sz="8" w:space="0"/>
              <w:right w:val="single" w:color="auto" w:sz="8" w:space="0"/>
            </w:tcBorders>
            <w:tcMar>
              <w:top w:w="0" w:type="dxa"/>
              <w:left w:w="108" w:type="dxa"/>
              <w:bottom w:w="0" w:type="dxa"/>
              <w:right w:w="108" w:type="dxa"/>
            </w:tcMar>
            <w:vAlign w:val="center"/>
          </w:tcPr>
          <w:p>
            <w:pPr>
              <w:pStyle w:val="8"/>
              <w:spacing w:before="0" w:beforeAutospacing="0" w:after="0" w:afterAutospacing="0"/>
              <w:jc w:val="right"/>
              <w:rPr>
                <w:rFonts w:ascii="Times New Roman" w:hAnsi="Times New Roman" w:cs="Times New Roman"/>
                <w:sz w:val="18"/>
                <w:szCs w:val="18"/>
              </w:rPr>
            </w:pPr>
            <w:r>
              <w:rPr>
                <w:rFonts w:ascii="Times New Roman" w:hAnsi="Times New Roman" w:cs="Times New Roman"/>
                <w:sz w:val="18"/>
                <w:szCs w:val="18"/>
              </w:rPr>
              <w:t>6,375.00</w:t>
            </w:r>
          </w:p>
        </w:tc>
      </w:tr>
    </w:tbl>
    <w:p>
      <w:pPr>
        <w:pStyle w:val="8"/>
        <w:spacing w:before="0" w:beforeAutospacing="0" w:after="0" w:afterAutospacing="0" w:line="273" w:lineRule="auto"/>
        <w:ind w:firstLine="360"/>
        <w:rPr>
          <w:rFonts w:ascii="Times New Roman" w:hAnsi="Times New Roman" w:cs="Times New Roman"/>
          <w:sz w:val="21"/>
          <w:szCs w:val="21"/>
        </w:rPr>
      </w:pPr>
      <w:r>
        <w:rPr>
          <w:rFonts w:ascii="Times New Roman" w:hAnsi="Times New Roman" w:cs="Times New Roman"/>
          <w:sz w:val="18"/>
          <w:szCs w:val="18"/>
        </w:rPr>
        <w:t>注1：上表以正数表示增加，以负数表示减少。</w:t>
      </w:r>
    </w:p>
    <w:p>
      <w:pPr>
        <w:pStyle w:val="8"/>
        <w:spacing w:before="0" w:beforeAutospacing="0" w:after="0" w:afterAutospacing="0" w:line="273" w:lineRule="auto"/>
        <w:ind w:firstLine="360"/>
        <w:rPr>
          <w:rFonts w:ascii="Times New Roman" w:hAnsi="Times New Roman" w:cs="Times New Roman"/>
          <w:sz w:val="21"/>
          <w:szCs w:val="21"/>
        </w:rPr>
      </w:pPr>
      <w:r>
        <w:rPr>
          <w:rFonts w:ascii="Times New Roman" w:hAnsi="Times New Roman" w:cs="Times New Roman"/>
          <w:sz w:val="18"/>
          <w:szCs w:val="18"/>
        </w:rPr>
        <w:t>注2：上表的股东权益变动不包括留存收益。</w:t>
      </w:r>
    </w:p>
    <w:p>
      <w:pPr>
        <w:pStyle w:val="8"/>
        <w:spacing w:before="0" w:beforeAutospacing="0" w:after="0" w:afterAutospacing="0" w:line="273" w:lineRule="auto"/>
        <w:ind w:firstLine="360"/>
        <w:rPr>
          <w:rFonts w:ascii="Times New Roman" w:hAnsi="Times New Roman" w:cs="Times New Roman"/>
          <w:sz w:val="21"/>
          <w:szCs w:val="21"/>
        </w:rPr>
      </w:pPr>
      <w:r>
        <w:rPr>
          <w:rFonts w:ascii="Times New Roman" w:hAnsi="Times New Roman" w:cs="Times New Roman"/>
          <w:sz w:val="18"/>
          <w:szCs w:val="18"/>
        </w:rPr>
        <w:t>利率风险</w:t>
      </w:r>
    </w:p>
    <w:p>
      <w:pPr>
        <w:pStyle w:val="8"/>
        <w:spacing w:before="0" w:beforeAutospacing="0" w:after="0" w:afterAutospacing="0" w:line="273" w:lineRule="auto"/>
        <w:ind w:firstLine="360"/>
        <w:rPr>
          <w:rFonts w:ascii="Times New Roman" w:hAnsi="Times New Roman" w:cs="Times New Roman"/>
          <w:sz w:val="18"/>
          <w:szCs w:val="18"/>
        </w:rPr>
      </w:pPr>
      <w:r>
        <w:rPr>
          <w:rFonts w:ascii="Times New Roman" w:hAnsi="Times New Roman" w:cs="Times New Roman"/>
          <w:sz w:val="18"/>
          <w:szCs w:val="18"/>
        </w:rPr>
        <w:t>利率风险，是指金融工具的公允价值或未来现金流量因市场利率变动而发生波动的风险。本集团的利率风险产生于银行借款及应付债券等带息债务。浮动利率的金融负债使本集团面临现金流量利率风险，固定利率的金融负债使本集团面临公允价值利率风险。本集团根据当时的市场环境来决定固定利率及浮动利率合同的相对比例。于2023年6月30日，本集团的带息债务主要为浮动利率借款合同，金额合计为148,000,000.00元。</w:t>
      </w:r>
    </w:p>
    <w:p>
      <w:pPr>
        <w:pStyle w:val="8"/>
        <w:spacing w:before="0" w:beforeAutospacing="0" w:after="0" w:afterAutospacing="0" w:line="273" w:lineRule="auto"/>
        <w:ind w:firstLine="360"/>
        <w:rPr>
          <w:rFonts w:ascii="Times New Roman" w:hAnsi="Times New Roman" w:cs="Times New Roman"/>
          <w:sz w:val="21"/>
          <w:szCs w:val="21"/>
        </w:rPr>
      </w:pPr>
      <w:r>
        <w:rPr>
          <w:rFonts w:ascii="Times New Roman" w:hAnsi="Times New Roman" w:cs="Times New Roman"/>
          <w:sz w:val="18"/>
          <w:szCs w:val="18"/>
        </w:rPr>
        <w:t>利率风险的敏感性分析见下表，反映了在其他变量不变的假设下，浮动利率金融资产和负债的利率发生合理、可能的变动时，将对净利润和股东权益产生的影响。</w:t>
      </w:r>
    </w:p>
    <w:tbl>
      <w:tblPr>
        <w:tblStyle w:val="9"/>
        <w:tblW w:w="9810" w:type="dxa"/>
        <w:tblInd w:w="0" w:type="dxa"/>
        <w:tblLayout w:type="autofit"/>
        <w:tblCellMar>
          <w:top w:w="15" w:type="dxa"/>
          <w:left w:w="15" w:type="dxa"/>
          <w:bottom w:w="15" w:type="dxa"/>
          <w:right w:w="15" w:type="dxa"/>
        </w:tblCellMar>
      </w:tblPr>
      <w:tblGrid>
        <w:gridCol w:w="3709"/>
        <w:gridCol w:w="1433"/>
        <w:gridCol w:w="1452"/>
        <w:gridCol w:w="1607"/>
        <w:gridCol w:w="1609"/>
      </w:tblGrid>
      <w:tr>
        <w:tblPrEx>
          <w:tblCellMar>
            <w:top w:w="15" w:type="dxa"/>
            <w:left w:w="15" w:type="dxa"/>
            <w:bottom w:w="15" w:type="dxa"/>
            <w:right w:w="15" w:type="dxa"/>
          </w:tblCellMar>
        </w:tblPrEx>
        <w:trPr>
          <w:trHeight w:val="340" w:hRule="atLeast"/>
        </w:trPr>
        <w:tc>
          <w:tcPr>
            <w:tcW w:w="1890" w:type="pct"/>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8"/>
              <w:spacing w:before="0" w:beforeAutospacing="0" w:after="0" w:afterAutospacing="0"/>
              <w:jc w:val="center"/>
              <w:rPr>
                <w:rFonts w:ascii="Times New Roman" w:hAnsi="Times New Roman" w:cs="Times New Roman"/>
              </w:rPr>
            </w:pPr>
            <w:r>
              <w:rPr>
                <w:rFonts w:ascii="Times New Roman" w:hAnsi="Times New Roman" w:cs="Times New Roman"/>
                <w:sz w:val="18"/>
                <w:szCs w:val="18"/>
              </w:rPr>
              <w:t>项目</w:t>
            </w:r>
          </w:p>
        </w:tc>
        <w:tc>
          <w:tcPr>
            <w:tcW w:w="1470" w:type="pct"/>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pStyle w:val="8"/>
              <w:spacing w:before="0" w:beforeAutospacing="0" w:after="0" w:afterAutospacing="0"/>
              <w:jc w:val="center"/>
              <w:rPr>
                <w:rFonts w:ascii="Times New Roman" w:hAnsi="Times New Roman" w:cs="Times New Roman"/>
              </w:rPr>
            </w:pPr>
            <w:r>
              <w:rPr>
                <w:rFonts w:ascii="Times New Roman" w:hAnsi="Times New Roman" w:cs="Times New Roman"/>
                <w:sz w:val="18"/>
                <w:szCs w:val="18"/>
              </w:rPr>
              <w:t>本年</w:t>
            </w:r>
          </w:p>
        </w:tc>
        <w:tc>
          <w:tcPr>
            <w:tcW w:w="1639" w:type="pct"/>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pStyle w:val="8"/>
              <w:spacing w:before="0" w:beforeAutospacing="0" w:after="0" w:afterAutospacing="0"/>
              <w:jc w:val="center"/>
              <w:rPr>
                <w:rFonts w:ascii="Times New Roman" w:hAnsi="Times New Roman" w:cs="Times New Roman"/>
              </w:rPr>
            </w:pPr>
            <w:r>
              <w:rPr>
                <w:rFonts w:ascii="Times New Roman" w:hAnsi="Times New Roman" w:cs="Times New Roman"/>
                <w:sz w:val="18"/>
                <w:szCs w:val="18"/>
              </w:rPr>
              <w:t>上年同期</w:t>
            </w:r>
          </w:p>
        </w:tc>
      </w:tr>
      <w:tr>
        <w:tblPrEx>
          <w:tblCellMar>
            <w:top w:w="15" w:type="dxa"/>
            <w:left w:w="15" w:type="dxa"/>
            <w:bottom w:w="15" w:type="dxa"/>
            <w:right w:w="15" w:type="dxa"/>
          </w:tblCellMar>
        </w:tblPrEx>
        <w:trPr>
          <w:trHeight w:val="340" w:hRule="atLeast"/>
        </w:trPr>
        <w:tc>
          <w:tcPr>
            <w:tcW w:w="0" w:type="auto"/>
            <w:vMerge w:val="continue"/>
            <w:tcBorders>
              <w:top w:val="single" w:color="auto" w:sz="8" w:space="0"/>
              <w:left w:val="single" w:color="auto" w:sz="8" w:space="0"/>
              <w:bottom w:val="single" w:color="auto" w:sz="8" w:space="0"/>
              <w:right w:val="single" w:color="auto" w:sz="8" w:space="0"/>
            </w:tcBorders>
            <w:vAlign w:val="center"/>
          </w:tcPr>
          <w:p>
            <w:pPr>
              <w:rPr>
                <w:rFonts w:ascii="Times New Roman" w:hAnsi="Times New Roman" w:eastAsia="宋体" w:cs="Times New Roman"/>
                <w:sz w:val="24"/>
                <w:szCs w:val="24"/>
              </w:rPr>
            </w:pPr>
          </w:p>
        </w:tc>
        <w:tc>
          <w:tcPr>
            <w:tcW w:w="730"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8"/>
              <w:spacing w:before="0" w:beforeAutospacing="0" w:after="0" w:afterAutospacing="0"/>
              <w:jc w:val="center"/>
              <w:rPr>
                <w:rFonts w:ascii="Times New Roman" w:hAnsi="Times New Roman" w:cs="Times New Roman"/>
              </w:rPr>
            </w:pPr>
            <w:r>
              <w:rPr>
                <w:rFonts w:ascii="Times New Roman" w:hAnsi="Times New Roman" w:cs="Times New Roman"/>
                <w:sz w:val="18"/>
                <w:szCs w:val="18"/>
              </w:rPr>
              <w:t>对利润的影响</w:t>
            </w:r>
          </w:p>
        </w:tc>
        <w:tc>
          <w:tcPr>
            <w:tcW w:w="739" w:type="pct"/>
            <w:tcBorders>
              <w:top w:val="nil"/>
              <w:left w:val="nil"/>
              <w:bottom w:val="single" w:color="auto" w:sz="8" w:space="0"/>
              <w:right w:val="single" w:color="auto" w:sz="8" w:space="0"/>
            </w:tcBorders>
            <w:tcMar>
              <w:top w:w="0" w:type="dxa"/>
              <w:left w:w="108" w:type="dxa"/>
              <w:bottom w:w="0" w:type="dxa"/>
              <w:right w:w="108" w:type="dxa"/>
            </w:tcMar>
            <w:vAlign w:val="center"/>
          </w:tcPr>
          <w:p>
            <w:pPr>
              <w:pStyle w:val="8"/>
              <w:spacing w:before="0" w:beforeAutospacing="0" w:after="0" w:afterAutospacing="0"/>
              <w:jc w:val="center"/>
              <w:rPr>
                <w:rFonts w:ascii="Times New Roman" w:hAnsi="Times New Roman" w:cs="Times New Roman"/>
              </w:rPr>
            </w:pPr>
            <w:r>
              <w:rPr>
                <w:rFonts w:ascii="Times New Roman" w:hAnsi="Times New Roman" w:cs="Times New Roman"/>
                <w:sz w:val="18"/>
                <w:szCs w:val="18"/>
              </w:rPr>
              <w:t>对股东权益的影响</w:t>
            </w:r>
          </w:p>
        </w:tc>
        <w:tc>
          <w:tcPr>
            <w:tcW w:w="819" w:type="pct"/>
            <w:tcBorders>
              <w:top w:val="nil"/>
              <w:left w:val="nil"/>
              <w:bottom w:val="single" w:color="auto" w:sz="8" w:space="0"/>
              <w:right w:val="single" w:color="auto" w:sz="8" w:space="0"/>
            </w:tcBorders>
            <w:tcMar>
              <w:top w:w="0" w:type="dxa"/>
              <w:left w:w="108" w:type="dxa"/>
              <w:bottom w:w="0" w:type="dxa"/>
              <w:right w:w="108" w:type="dxa"/>
            </w:tcMar>
            <w:vAlign w:val="center"/>
          </w:tcPr>
          <w:p>
            <w:pPr>
              <w:pStyle w:val="8"/>
              <w:spacing w:before="0" w:beforeAutospacing="0" w:after="0" w:afterAutospacing="0"/>
              <w:jc w:val="center"/>
              <w:rPr>
                <w:rFonts w:ascii="Times New Roman" w:hAnsi="Times New Roman" w:cs="Times New Roman"/>
              </w:rPr>
            </w:pPr>
            <w:r>
              <w:rPr>
                <w:rFonts w:ascii="Times New Roman" w:hAnsi="Times New Roman" w:cs="Times New Roman"/>
                <w:sz w:val="18"/>
                <w:szCs w:val="18"/>
              </w:rPr>
              <w:t>对利润的影响</w:t>
            </w:r>
          </w:p>
        </w:tc>
        <w:tc>
          <w:tcPr>
            <w:tcW w:w="819" w:type="pct"/>
            <w:tcBorders>
              <w:top w:val="nil"/>
              <w:left w:val="nil"/>
              <w:bottom w:val="single" w:color="auto" w:sz="8" w:space="0"/>
              <w:right w:val="single" w:color="auto" w:sz="8" w:space="0"/>
            </w:tcBorders>
            <w:tcMar>
              <w:top w:w="0" w:type="dxa"/>
              <w:left w:w="108" w:type="dxa"/>
              <w:bottom w:w="0" w:type="dxa"/>
              <w:right w:w="108" w:type="dxa"/>
            </w:tcMar>
            <w:vAlign w:val="center"/>
          </w:tcPr>
          <w:p>
            <w:pPr>
              <w:pStyle w:val="8"/>
              <w:spacing w:before="0" w:beforeAutospacing="0" w:after="0" w:afterAutospacing="0"/>
              <w:jc w:val="center"/>
              <w:rPr>
                <w:rFonts w:ascii="Times New Roman" w:hAnsi="Times New Roman" w:cs="Times New Roman"/>
              </w:rPr>
            </w:pPr>
            <w:r>
              <w:rPr>
                <w:rFonts w:ascii="Times New Roman" w:hAnsi="Times New Roman" w:cs="Times New Roman"/>
                <w:sz w:val="18"/>
                <w:szCs w:val="18"/>
              </w:rPr>
              <w:t>对股东权益的影响</w:t>
            </w:r>
          </w:p>
        </w:tc>
      </w:tr>
      <w:tr>
        <w:tblPrEx>
          <w:tblCellMar>
            <w:top w:w="15" w:type="dxa"/>
            <w:left w:w="15" w:type="dxa"/>
            <w:bottom w:w="15" w:type="dxa"/>
            <w:right w:w="15" w:type="dxa"/>
          </w:tblCellMar>
        </w:tblPrEx>
        <w:trPr>
          <w:trHeight w:val="340" w:hRule="atLeast"/>
        </w:trPr>
        <w:tc>
          <w:tcPr>
            <w:tcW w:w="1890"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8"/>
              <w:spacing w:before="0" w:beforeAutospacing="0" w:after="0" w:afterAutospacing="0"/>
              <w:jc w:val="both"/>
              <w:rPr>
                <w:rFonts w:ascii="Times New Roman" w:hAnsi="Times New Roman" w:cs="Times New Roman"/>
              </w:rPr>
            </w:pPr>
            <w:r>
              <w:rPr>
                <w:rFonts w:ascii="Times New Roman" w:hAnsi="Times New Roman" w:cs="Times New Roman"/>
                <w:sz w:val="18"/>
                <w:szCs w:val="18"/>
              </w:rPr>
              <w:t>人民币基准利率增加25个基准点</w:t>
            </w:r>
          </w:p>
        </w:tc>
        <w:tc>
          <w:tcPr>
            <w:tcW w:w="730" w:type="pct"/>
            <w:tcBorders>
              <w:top w:val="nil"/>
              <w:left w:val="nil"/>
              <w:bottom w:val="single" w:color="auto" w:sz="8" w:space="0"/>
              <w:right w:val="single" w:color="auto" w:sz="8" w:space="0"/>
            </w:tcBorders>
            <w:tcMar>
              <w:top w:w="0" w:type="dxa"/>
              <w:left w:w="108" w:type="dxa"/>
              <w:bottom w:w="0" w:type="dxa"/>
              <w:right w:w="108" w:type="dxa"/>
            </w:tcMar>
            <w:vAlign w:val="center"/>
          </w:tcPr>
          <w:p>
            <w:pPr>
              <w:pStyle w:val="8"/>
              <w:spacing w:before="0" w:beforeAutospacing="0" w:after="0" w:afterAutospacing="0"/>
              <w:jc w:val="right"/>
              <w:textAlignment w:val="center"/>
              <w:rPr>
                <w:rFonts w:ascii="Times New Roman" w:hAnsi="Times New Roman" w:cs="Times New Roman"/>
                <w:sz w:val="18"/>
                <w:szCs w:val="18"/>
              </w:rPr>
            </w:pPr>
            <w:r>
              <w:rPr>
                <w:rFonts w:ascii="Times New Roman" w:hAnsi="Times New Roman" w:cs="Times New Roman"/>
                <w:sz w:val="18"/>
                <w:szCs w:val="18"/>
              </w:rPr>
              <w:t xml:space="preserve"> -370,000.00 </w:t>
            </w:r>
          </w:p>
        </w:tc>
        <w:tc>
          <w:tcPr>
            <w:tcW w:w="739" w:type="pct"/>
            <w:tcBorders>
              <w:top w:val="nil"/>
              <w:left w:val="nil"/>
              <w:bottom w:val="single" w:color="auto" w:sz="8" w:space="0"/>
              <w:right w:val="single" w:color="auto" w:sz="8" w:space="0"/>
            </w:tcBorders>
            <w:tcMar>
              <w:top w:w="0" w:type="dxa"/>
              <w:left w:w="108" w:type="dxa"/>
              <w:bottom w:w="0" w:type="dxa"/>
              <w:right w:w="108" w:type="dxa"/>
            </w:tcMar>
            <w:vAlign w:val="center"/>
          </w:tcPr>
          <w:p>
            <w:pPr>
              <w:pStyle w:val="8"/>
              <w:spacing w:before="0" w:beforeAutospacing="0" w:after="0" w:afterAutospacing="0"/>
              <w:jc w:val="right"/>
              <w:rPr>
                <w:rFonts w:ascii="Times New Roman" w:hAnsi="Times New Roman" w:cs="Times New Roman"/>
                <w:sz w:val="18"/>
                <w:szCs w:val="18"/>
              </w:rPr>
            </w:pPr>
            <w:r>
              <w:rPr>
                <w:rFonts w:ascii="Times New Roman" w:hAnsi="Times New Roman" w:cs="Times New Roman"/>
                <w:sz w:val="18"/>
                <w:szCs w:val="18"/>
              </w:rPr>
              <w:t> -370,000.00</w:t>
            </w:r>
          </w:p>
        </w:tc>
        <w:tc>
          <w:tcPr>
            <w:tcW w:w="1603"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8"/>
              <w:spacing w:before="0" w:beforeAutospacing="0" w:after="0" w:afterAutospacing="0"/>
              <w:jc w:val="right"/>
              <w:rPr>
                <w:rFonts w:ascii="Times New Roman" w:hAnsi="Times New Roman" w:cs="Times New Roman"/>
                <w:sz w:val="21"/>
                <w:szCs w:val="21"/>
              </w:rPr>
            </w:pPr>
            <w:r>
              <w:rPr>
                <w:rFonts w:ascii="Times New Roman" w:hAnsi="Times New Roman" w:cs="Times New Roman"/>
                <w:sz w:val="18"/>
                <w:szCs w:val="18"/>
              </w:rPr>
              <w:t>-496,875.00</w:t>
            </w:r>
          </w:p>
        </w:tc>
        <w:tc>
          <w:tcPr>
            <w:tcW w:w="1606"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8"/>
              <w:spacing w:before="0" w:beforeAutospacing="0" w:after="0" w:afterAutospacing="0"/>
              <w:jc w:val="right"/>
              <w:rPr>
                <w:rFonts w:ascii="Times New Roman" w:hAnsi="Times New Roman" w:cs="Times New Roman"/>
                <w:sz w:val="21"/>
                <w:szCs w:val="21"/>
              </w:rPr>
            </w:pPr>
            <w:r>
              <w:rPr>
                <w:rFonts w:ascii="Times New Roman" w:hAnsi="Times New Roman" w:cs="Times New Roman"/>
                <w:sz w:val="18"/>
                <w:szCs w:val="18"/>
              </w:rPr>
              <w:t>-496,875.00</w:t>
            </w:r>
          </w:p>
        </w:tc>
      </w:tr>
      <w:tr>
        <w:tblPrEx>
          <w:tblCellMar>
            <w:top w:w="15" w:type="dxa"/>
            <w:left w:w="15" w:type="dxa"/>
            <w:bottom w:w="15" w:type="dxa"/>
            <w:right w:w="15" w:type="dxa"/>
          </w:tblCellMar>
        </w:tblPrEx>
        <w:trPr>
          <w:trHeight w:val="340" w:hRule="atLeast"/>
        </w:trPr>
        <w:tc>
          <w:tcPr>
            <w:tcW w:w="1890"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8"/>
              <w:spacing w:before="0" w:beforeAutospacing="0" w:after="0" w:afterAutospacing="0"/>
              <w:jc w:val="both"/>
              <w:rPr>
                <w:rFonts w:ascii="Times New Roman" w:hAnsi="Times New Roman" w:cs="Times New Roman"/>
              </w:rPr>
            </w:pPr>
            <w:r>
              <w:rPr>
                <w:rFonts w:ascii="Times New Roman" w:hAnsi="Times New Roman" w:cs="Times New Roman"/>
                <w:sz w:val="18"/>
                <w:szCs w:val="18"/>
              </w:rPr>
              <w:t>人民币基准利率降低25个基准点</w:t>
            </w:r>
          </w:p>
        </w:tc>
        <w:tc>
          <w:tcPr>
            <w:tcW w:w="730" w:type="pct"/>
            <w:tcBorders>
              <w:top w:val="nil"/>
              <w:left w:val="nil"/>
              <w:bottom w:val="single" w:color="auto" w:sz="8" w:space="0"/>
              <w:right w:val="single" w:color="auto" w:sz="8" w:space="0"/>
            </w:tcBorders>
            <w:tcMar>
              <w:top w:w="0" w:type="dxa"/>
              <w:left w:w="108" w:type="dxa"/>
              <w:bottom w:w="0" w:type="dxa"/>
              <w:right w:w="108" w:type="dxa"/>
            </w:tcMar>
            <w:vAlign w:val="center"/>
          </w:tcPr>
          <w:p>
            <w:pPr>
              <w:pStyle w:val="8"/>
              <w:spacing w:before="0" w:beforeAutospacing="0" w:after="0" w:afterAutospacing="0"/>
              <w:jc w:val="right"/>
              <w:rPr>
                <w:rFonts w:ascii="Times New Roman" w:hAnsi="Times New Roman" w:cs="Times New Roman"/>
                <w:sz w:val="18"/>
                <w:szCs w:val="18"/>
              </w:rPr>
            </w:pPr>
            <w:r>
              <w:rPr>
                <w:rFonts w:ascii="Times New Roman" w:hAnsi="Times New Roman" w:cs="Times New Roman"/>
                <w:sz w:val="18"/>
                <w:szCs w:val="18"/>
              </w:rPr>
              <w:t>370,000.00</w:t>
            </w:r>
          </w:p>
        </w:tc>
        <w:tc>
          <w:tcPr>
            <w:tcW w:w="739" w:type="pct"/>
            <w:tcBorders>
              <w:top w:val="nil"/>
              <w:left w:val="nil"/>
              <w:bottom w:val="single" w:color="auto" w:sz="8" w:space="0"/>
              <w:right w:val="single" w:color="auto" w:sz="8" w:space="0"/>
            </w:tcBorders>
            <w:tcMar>
              <w:top w:w="0" w:type="dxa"/>
              <w:left w:w="108" w:type="dxa"/>
              <w:bottom w:w="0" w:type="dxa"/>
              <w:right w:w="108" w:type="dxa"/>
            </w:tcMar>
            <w:vAlign w:val="center"/>
          </w:tcPr>
          <w:p>
            <w:pPr>
              <w:pStyle w:val="8"/>
              <w:spacing w:before="0" w:beforeAutospacing="0" w:after="0" w:afterAutospacing="0"/>
              <w:jc w:val="right"/>
              <w:rPr>
                <w:rFonts w:ascii="Times New Roman" w:hAnsi="Times New Roman" w:cs="Times New Roman"/>
                <w:sz w:val="18"/>
                <w:szCs w:val="18"/>
              </w:rPr>
            </w:pPr>
            <w:r>
              <w:rPr>
                <w:rFonts w:ascii="Times New Roman" w:hAnsi="Times New Roman" w:cs="Times New Roman"/>
                <w:sz w:val="18"/>
                <w:szCs w:val="18"/>
              </w:rPr>
              <w:t>370,000.00</w:t>
            </w:r>
          </w:p>
        </w:tc>
        <w:tc>
          <w:tcPr>
            <w:tcW w:w="1603"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8"/>
              <w:spacing w:before="0" w:beforeAutospacing="0" w:after="0" w:afterAutospacing="0"/>
              <w:jc w:val="right"/>
              <w:rPr>
                <w:rFonts w:ascii="Times New Roman" w:hAnsi="Times New Roman" w:cs="Times New Roman"/>
                <w:sz w:val="21"/>
                <w:szCs w:val="21"/>
              </w:rPr>
            </w:pPr>
            <w:r>
              <w:rPr>
                <w:rFonts w:ascii="Times New Roman" w:hAnsi="Times New Roman" w:cs="Times New Roman"/>
                <w:sz w:val="18"/>
                <w:szCs w:val="18"/>
              </w:rPr>
              <w:t>496,875.00</w:t>
            </w:r>
          </w:p>
        </w:tc>
        <w:tc>
          <w:tcPr>
            <w:tcW w:w="1606"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8"/>
              <w:spacing w:before="0" w:beforeAutospacing="0" w:after="0" w:afterAutospacing="0"/>
              <w:jc w:val="right"/>
              <w:rPr>
                <w:rFonts w:ascii="Times New Roman" w:hAnsi="Times New Roman" w:cs="Times New Roman"/>
                <w:sz w:val="21"/>
                <w:szCs w:val="21"/>
              </w:rPr>
            </w:pPr>
            <w:r>
              <w:rPr>
                <w:rFonts w:ascii="Times New Roman" w:hAnsi="Times New Roman" w:cs="Times New Roman"/>
                <w:sz w:val="18"/>
                <w:szCs w:val="18"/>
              </w:rPr>
              <w:t>496,875.00</w:t>
            </w:r>
          </w:p>
        </w:tc>
      </w:tr>
    </w:tbl>
    <w:p>
      <w:pPr>
        <w:pStyle w:val="8"/>
        <w:spacing w:before="0" w:beforeAutospacing="0" w:after="0" w:afterAutospacing="0" w:line="273" w:lineRule="auto"/>
        <w:ind w:firstLine="360"/>
        <w:rPr>
          <w:rFonts w:ascii="Times New Roman" w:hAnsi="Times New Roman" w:cs="Times New Roman"/>
          <w:sz w:val="21"/>
          <w:szCs w:val="21"/>
        </w:rPr>
      </w:pPr>
      <w:r>
        <w:rPr>
          <w:rFonts w:ascii="Times New Roman" w:hAnsi="Times New Roman" w:cs="Times New Roman"/>
          <w:sz w:val="18"/>
          <w:szCs w:val="18"/>
        </w:rPr>
        <w:t>注1：上表以正数表示增加，以负数表示减少。</w:t>
      </w:r>
    </w:p>
    <w:p>
      <w:pPr>
        <w:pStyle w:val="8"/>
        <w:spacing w:before="0" w:beforeAutospacing="0" w:after="0" w:afterAutospacing="0" w:line="273" w:lineRule="auto"/>
        <w:ind w:firstLine="360"/>
        <w:rPr>
          <w:rFonts w:ascii="Times New Roman" w:hAnsi="Times New Roman" w:cs="Times New Roman"/>
          <w:sz w:val="21"/>
          <w:szCs w:val="21"/>
        </w:rPr>
      </w:pPr>
      <w:r>
        <w:rPr>
          <w:rFonts w:ascii="Times New Roman" w:hAnsi="Times New Roman" w:cs="Times New Roman"/>
          <w:sz w:val="18"/>
          <w:szCs w:val="18"/>
        </w:rPr>
        <w:t>注2：上表的股东权益变动不包括留存收益。</w:t>
      </w:r>
    </w:p>
    <w:p>
      <w:pPr>
        <w:pStyle w:val="8"/>
        <w:spacing w:before="0" w:beforeAutospacing="0" w:after="0" w:afterAutospacing="0" w:line="273" w:lineRule="auto"/>
        <w:ind w:firstLine="360"/>
        <w:rPr>
          <w:rFonts w:ascii="Times New Roman" w:hAnsi="Times New Roman" w:cs="Times New Roman"/>
          <w:sz w:val="21"/>
          <w:szCs w:val="21"/>
        </w:rPr>
      </w:pPr>
      <w:r>
        <w:rPr>
          <w:rFonts w:ascii="Times New Roman" w:hAnsi="Times New Roman" w:cs="Times New Roman"/>
          <w:sz w:val="18"/>
          <w:szCs w:val="18"/>
        </w:rPr>
        <w:t>其他价格风险</w:t>
      </w:r>
    </w:p>
    <w:p>
      <w:pPr>
        <w:pStyle w:val="8"/>
        <w:spacing w:before="0" w:beforeAutospacing="0" w:after="0" w:afterAutospacing="0" w:line="273" w:lineRule="auto"/>
        <w:ind w:firstLine="360"/>
        <w:rPr>
          <w:rFonts w:ascii="Times New Roman" w:hAnsi="Times New Roman" w:cs="Times New Roman"/>
          <w:sz w:val="21"/>
          <w:szCs w:val="21"/>
        </w:rPr>
      </w:pPr>
      <w:r>
        <w:rPr>
          <w:rFonts w:ascii="Times New Roman" w:hAnsi="Times New Roman" w:cs="Times New Roman"/>
          <w:sz w:val="18"/>
          <w:szCs w:val="18"/>
        </w:rPr>
        <w:t>其他价格风险，是指金融工具的公允价值或未来现金流量因汇率风险和利率风险以外的市场价格变动而发生波动的风险，无论这些变动是由于与单项金融工具或其发行方有关的因素而引起的，还是由于与市场内交易的所有类似金融工具有关的因素而引起的。本集团持有的分类为以公允价值计量且其变动计入当期损益、以公允价值计量且其变动计入其他综合收益的金融资产的投资在资产负债表日以公允价值计量。因此，本集团承担着证券市场价格变动的风险。本集团采取持有多种权益证券组合的方式降低权益证券投资的价格风险。</w:t>
      </w:r>
    </w:p>
    <w:p>
      <w:pPr>
        <w:pStyle w:val="8"/>
        <w:spacing w:before="0" w:beforeAutospacing="0" w:after="0" w:afterAutospacing="0" w:line="273" w:lineRule="auto"/>
        <w:ind w:firstLine="360"/>
        <w:rPr>
          <w:rFonts w:ascii="Times New Roman" w:hAnsi="Times New Roman" w:cs="Times New Roman"/>
          <w:sz w:val="21"/>
          <w:szCs w:val="21"/>
        </w:rPr>
      </w:pPr>
      <w:r>
        <w:rPr>
          <w:rFonts w:ascii="Times New Roman" w:hAnsi="Times New Roman" w:cs="Times New Roman"/>
          <w:sz w:val="18"/>
          <w:szCs w:val="18"/>
        </w:rPr>
        <w:t>本集团无高风险投资，无重大的其他市场风险。</w:t>
      </w:r>
    </w:p>
    <w:p>
      <w:pPr>
        <w:pStyle w:val="8"/>
        <w:spacing w:before="0" w:beforeAutospacing="0" w:after="0" w:afterAutospacing="0"/>
        <w:rPr>
          <w:rFonts w:ascii="Times New Roman" w:hAnsi="Times New Roman" w:cs="Times New Roman"/>
          <w:sz w:val="18"/>
          <w:szCs w:val="18"/>
        </w:rPr>
      </w:pPr>
      <w:r>
        <w:rPr>
          <w:rFonts w:ascii="Times New Roman" w:hAnsi="Times New Roman" w:cs="Times New Roman"/>
          <w:sz w:val="18"/>
          <w:szCs w:val="18"/>
        </w:rPr>
        <w:t> </w:t>
      </w:r>
    </w:p>
    <w:p>
      <w:pPr>
        <w:pStyle w:val="2"/>
        <w:spacing w:before="300" w:after="300" w:line="320" w:lineRule="exact"/>
        <w:rPr>
          <w:rFonts w:ascii="Times New Roman" w:hAnsi="Times New Roman" w:eastAsia="宋体" w:cs="Times New Roman"/>
          <w:b/>
          <w:bCs/>
          <w:sz w:val="24"/>
          <w:szCs w:val="24"/>
        </w:rPr>
      </w:pPr>
      <w:bookmarkStart w:id="413" w:name="_Toc989298"/>
      <w:r>
        <w:rPr>
          <w:rFonts w:ascii="Times New Roman" w:hAnsi="Times New Roman" w:eastAsia="宋体" w:cs="Times New Roman"/>
          <w:b/>
          <w:bCs/>
          <w:sz w:val="24"/>
          <w:szCs w:val="24"/>
        </w:rPr>
        <w:t>十一、公允价值的披露</w:t>
      </w:r>
      <w:bookmarkEnd w:id="413"/>
    </w:p>
    <w:p>
      <w:pPr>
        <w:pStyle w:val="3"/>
        <w:spacing w:line="280" w:lineRule="exact"/>
        <w:jc w:val="left"/>
        <w:rPr>
          <w:rFonts w:ascii="Times New Roman" w:hAnsi="Times New Roman" w:cs="Times New Roman"/>
          <w:b/>
          <w:bCs/>
        </w:rPr>
      </w:pPr>
      <w:bookmarkStart w:id="414" w:name="_Toc989299"/>
      <w:r>
        <w:rPr>
          <w:rFonts w:ascii="Times New Roman" w:hAnsi="Times New Roman" w:cs="Times New Roman"/>
          <w:b/>
          <w:bCs/>
        </w:rPr>
        <w:t>1、以公允价值计量的资产和负债的期末公允价值</w:t>
      </w:r>
      <w:bookmarkEnd w:id="414"/>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7"/>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w:t>
            </w:r>
          </w:p>
        </w:tc>
        <w:tc>
          <w:tcPr>
            <w:tcW w:w="7711"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期末公允价值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第一层次公允价值计量</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第二层次公允价值计量</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第三层次公允价值计量</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一、持续的公允价值计量</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（2）权益工具投资</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322,179.67</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322,179.67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二、非持续的公允价值计量</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w:t>
            </w:r>
          </w:p>
        </w:tc>
      </w:tr>
    </w:tbl>
    <w:p>
      <w:pPr>
        <w:pStyle w:val="3"/>
        <w:spacing w:line="280" w:lineRule="exact"/>
        <w:jc w:val="left"/>
        <w:rPr>
          <w:rFonts w:ascii="Times New Roman" w:hAnsi="Times New Roman" w:cs="Times New Roman"/>
          <w:b/>
          <w:bCs/>
        </w:rPr>
      </w:pPr>
      <w:bookmarkStart w:id="415" w:name="_Toc989300"/>
      <w:r>
        <w:rPr>
          <w:rFonts w:ascii="Times New Roman" w:hAnsi="Times New Roman" w:cs="Times New Roman"/>
          <w:b/>
          <w:bCs/>
        </w:rPr>
        <w:t>2、持续和非持续第一层次公允价值计量项目市价的确定依据</w:t>
      </w:r>
      <w:bookmarkEnd w:id="415"/>
    </w:p>
    <w:p>
      <w:pPr>
        <w:rPr>
          <w:rFonts w:ascii="Times New Roman" w:hAnsi="Times New Roman" w:cs="Times New Roman"/>
        </w:rPr>
      </w:pPr>
    </w:p>
    <w:p>
      <w:pPr>
        <w:pStyle w:val="3"/>
        <w:spacing w:line="280" w:lineRule="exact"/>
        <w:jc w:val="left"/>
        <w:rPr>
          <w:rFonts w:ascii="Times New Roman" w:hAnsi="Times New Roman" w:cs="Times New Roman"/>
          <w:b/>
          <w:bCs/>
        </w:rPr>
      </w:pPr>
      <w:bookmarkStart w:id="416" w:name="_Toc989301"/>
      <w:r>
        <w:rPr>
          <w:rFonts w:ascii="Times New Roman" w:hAnsi="Times New Roman" w:cs="Times New Roman"/>
          <w:b/>
          <w:bCs/>
        </w:rPr>
        <w:t>3、持续和非持续第二层次公允价值计量项目，采用的估值技术和重要参数的定性及定量信息</w:t>
      </w:r>
      <w:bookmarkEnd w:id="416"/>
    </w:p>
    <w:p>
      <w:pPr>
        <w:rPr>
          <w:rFonts w:ascii="Times New Roman" w:hAnsi="Times New Roman" w:cs="Times New Roman"/>
        </w:rPr>
      </w:pPr>
    </w:p>
    <w:p>
      <w:pPr>
        <w:pStyle w:val="3"/>
        <w:spacing w:line="280" w:lineRule="exact"/>
        <w:jc w:val="left"/>
        <w:rPr>
          <w:rFonts w:ascii="Times New Roman" w:hAnsi="Times New Roman" w:cs="Times New Roman"/>
          <w:b/>
          <w:bCs/>
        </w:rPr>
      </w:pPr>
      <w:bookmarkStart w:id="417" w:name="_Toc989302"/>
      <w:r>
        <w:rPr>
          <w:rFonts w:ascii="Times New Roman" w:hAnsi="Times New Roman" w:cs="Times New Roman"/>
          <w:b/>
          <w:bCs/>
        </w:rPr>
        <w:t>4、持续和非持续第三层次公允价值计量项目，采用的估值技术和重要参数的定性及定量信息</w:t>
      </w:r>
      <w:bookmarkEnd w:id="417"/>
    </w:p>
    <w:p>
      <w:pPr>
        <w:rPr>
          <w:rFonts w:ascii="Times New Roman" w:hAnsi="Times New Roman" w:cs="Times New Roman"/>
        </w:rPr>
      </w:pPr>
    </w:p>
    <w:p>
      <w:pPr>
        <w:pStyle w:val="3"/>
        <w:spacing w:line="280" w:lineRule="exact"/>
        <w:jc w:val="left"/>
        <w:rPr>
          <w:rFonts w:ascii="Times New Roman" w:hAnsi="Times New Roman" w:cs="Times New Roman"/>
          <w:b/>
          <w:bCs/>
        </w:rPr>
      </w:pPr>
      <w:bookmarkStart w:id="418" w:name="_Toc989303"/>
      <w:r>
        <w:rPr>
          <w:rFonts w:ascii="Times New Roman" w:hAnsi="Times New Roman" w:cs="Times New Roman"/>
          <w:b/>
          <w:bCs/>
        </w:rPr>
        <w:t>5、持续的第三层次公允价值计量项目，期初与期末账面价值间的调节信息及不可观察参数敏感性分析</w:t>
      </w:r>
      <w:bookmarkEnd w:id="418"/>
    </w:p>
    <w:p>
      <w:pPr>
        <w:rPr>
          <w:rFonts w:ascii="Times New Roman" w:hAnsi="Times New Roman" w:cs="Times New Roman"/>
        </w:rPr>
      </w:pPr>
    </w:p>
    <w:p>
      <w:pPr>
        <w:pStyle w:val="3"/>
        <w:spacing w:line="280" w:lineRule="exact"/>
        <w:jc w:val="left"/>
        <w:rPr>
          <w:rFonts w:ascii="Times New Roman" w:hAnsi="Times New Roman" w:cs="Times New Roman"/>
          <w:b/>
          <w:bCs/>
        </w:rPr>
      </w:pPr>
      <w:bookmarkStart w:id="419" w:name="_Toc989304"/>
      <w:r>
        <w:rPr>
          <w:rFonts w:ascii="Times New Roman" w:hAnsi="Times New Roman" w:cs="Times New Roman"/>
          <w:b/>
          <w:bCs/>
        </w:rPr>
        <w:t>6、持续的公允价值计量项目，本期内发生各层级之间转换的，转换的原因及确定转换时点的政策</w:t>
      </w:r>
      <w:bookmarkEnd w:id="419"/>
    </w:p>
    <w:p>
      <w:pPr>
        <w:rPr>
          <w:rFonts w:ascii="Times New Roman" w:hAnsi="Times New Roman" w:cs="Times New Roman"/>
        </w:rPr>
      </w:pPr>
    </w:p>
    <w:p>
      <w:pPr>
        <w:pStyle w:val="3"/>
        <w:spacing w:line="280" w:lineRule="exact"/>
        <w:jc w:val="left"/>
        <w:rPr>
          <w:rFonts w:ascii="Times New Roman" w:hAnsi="Times New Roman" w:cs="Times New Roman"/>
          <w:b/>
          <w:bCs/>
        </w:rPr>
      </w:pPr>
      <w:bookmarkStart w:id="420" w:name="_Toc989305"/>
      <w:r>
        <w:rPr>
          <w:rFonts w:ascii="Times New Roman" w:hAnsi="Times New Roman" w:cs="Times New Roman"/>
          <w:b/>
          <w:bCs/>
        </w:rPr>
        <w:t>7、本期内发生的估值技术变更及变更原因</w:t>
      </w:r>
      <w:bookmarkEnd w:id="420"/>
    </w:p>
    <w:p>
      <w:pPr>
        <w:rPr>
          <w:rFonts w:ascii="Times New Roman" w:hAnsi="Times New Roman" w:cs="Times New Roman"/>
        </w:rPr>
      </w:pPr>
    </w:p>
    <w:p>
      <w:pPr>
        <w:pStyle w:val="3"/>
        <w:spacing w:line="280" w:lineRule="exact"/>
        <w:jc w:val="left"/>
        <w:rPr>
          <w:rFonts w:ascii="Times New Roman" w:hAnsi="Times New Roman" w:cs="Times New Roman"/>
          <w:b/>
          <w:bCs/>
        </w:rPr>
      </w:pPr>
      <w:bookmarkStart w:id="421" w:name="_Toc989306"/>
      <w:r>
        <w:rPr>
          <w:rFonts w:ascii="Times New Roman" w:hAnsi="Times New Roman" w:cs="Times New Roman"/>
          <w:b/>
          <w:bCs/>
        </w:rPr>
        <w:t>8、不以公允价值计量的金融资产和金融负债的公允价值情况</w:t>
      </w:r>
      <w:bookmarkEnd w:id="421"/>
    </w:p>
    <w:p>
      <w:pPr>
        <w:rPr>
          <w:rFonts w:ascii="Times New Roman" w:hAnsi="Times New Roman" w:cs="Times New Roman"/>
        </w:rPr>
      </w:pPr>
    </w:p>
    <w:p>
      <w:pPr>
        <w:pStyle w:val="3"/>
        <w:spacing w:line="280" w:lineRule="exact"/>
        <w:jc w:val="left"/>
        <w:rPr>
          <w:rFonts w:ascii="Times New Roman" w:hAnsi="Times New Roman" w:cs="Times New Roman"/>
          <w:b/>
          <w:bCs/>
        </w:rPr>
      </w:pPr>
      <w:bookmarkStart w:id="422" w:name="_Toc989307"/>
      <w:r>
        <w:rPr>
          <w:rFonts w:ascii="Times New Roman" w:hAnsi="Times New Roman" w:cs="Times New Roman"/>
          <w:b/>
          <w:bCs/>
        </w:rPr>
        <w:t>9、其他</w:t>
      </w:r>
      <w:bookmarkEnd w:id="422"/>
    </w:p>
    <w:p>
      <w:pPr>
        <w:rPr>
          <w:rFonts w:ascii="Times New Roman" w:hAnsi="Times New Roman" w:cs="Times New Roman"/>
        </w:rPr>
      </w:pPr>
    </w:p>
    <w:p>
      <w:pPr>
        <w:pStyle w:val="2"/>
        <w:spacing w:before="300" w:after="300" w:line="320" w:lineRule="exact"/>
        <w:rPr>
          <w:rFonts w:ascii="Times New Roman" w:hAnsi="Times New Roman" w:eastAsia="宋体" w:cs="Times New Roman"/>
          <w:b/>
          <w:bCs/>
          <w:sz w:val="24"/>
          <w:szCs w:val="24"/>
        </w:rPr>
      </w:pPr>
      <w:bookmarkStart w:id="423" w:name="_Toc989308"/>
      <w:r>
        <w:rPr>
          <w:rFonts w:ascii="Times New Roman" w:hAnsi="Times New Roman" w:eastAsia="宋体" w:cs="Times New Roman"/>
          <w:b/>
          <w:bCs/>
          <w:sz w:val="24"/>
          <w:szCs w:val="24"/>
        </w:rPr>
        <w:t>十二、关联方及关联交易</w:t>
      </w:r>
      <w:bookmarkEnd w:id="423"/>
    </w:p>
    <w:p>
      <w:pPr>
        <w:pStyle w:val="3"/>
        <w:spacing w:line="280" w:lineRule="exact"/>
        <w:jc w:val="left"/>
        <w:rPr>
          <w:rFonts w:ascii="Times New Roman" w:hAnsi="Times New Roman" w:cs="Times New Roman"/>
          <w:b/>
          <w:bCs/>
        </w:rPr>
      </w:pPr>
      <w:bookmarkStart w:id="424" w:name="_Toc989309"/>
      <w:r>
        <w:rPr>
          <w:rFonts w:ascii="Times New Roman" w:hAnsi="Times New Roman" w:cs="Times New Roman"/>
          <w:b/>
          <w:bCs/>
        </w:rPr>
        <w:t>1、本企业的母公司情况</w:t>
      </w:r>
      <w:bookmarkEnd w:id="424"/>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7"/>
        <w:gridCol w:w="1607"/>
        <w:gridCol w:w="160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母公司名称</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注册地</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业务性质</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注册资本</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母公司对本企业的持股比例</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母公司对本企业的表决权比例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蓝润发展控股集 团有限公司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深圳</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投资</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666700万元</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27.23%</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27.23%</w:t>
            </w:r>
          </w:p>
        </w:tc>
      </w:tr>
    </w:tbl>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本企业的母公司情况的说明</w:t>
      </w:r>
    </w:p>
    <w:p>
      <w:pPr>
        <w:rPr>
          <w:rFonts w:ascii="Times New Roman" w:hAnsi="Times New Roman" w:cs="Times New Roman"/>
        </w:rPr>
      </w:pP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本企业最终控制方是戴学斌。</w:t>
      </w: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其他说明：</w:t>
      </w:r>
    </w:p>
    <w:p>
      <w:pPr>
        <w:rPr>
          <w:rFonts w:ascii="Times New Roman" w:hAnsi="Times New Roman" w:cs="Times New Roman"/>
        </w:rPr>
      </w:pPr>
    </w:p>
    <w:p>
      <w:pPr>
        <w:pStyle w:val="3"/>
        <w:spacing w:line="280" w:lineRule="exact"/>
        <w:jc w:val="left"/>
        <w:rPr>
          <w:rFonts w:ascii="Times New Roman" w:hAnsi="Times New Roman" w:cs="Times New Roman"/>
          <w:b/>
          <w:bCs/>
        </w:rPr>
      </w:pPr>
      <w:bookmarkStart w:id="425" w:name="_Toc989310"/>
      <w:r>
        <w:rPr>
          <w:rFonts w:ascii="Times New Roman" w:hAnsi="Times New Roman" w:cs="Times New Roman"/>
          <w:b/>
          <w:bCs/>
        </w:rPr>
        <w:t>2、本企业的子公司情况</w:t>
      </w:r>
      <w:bookmarkEnd w:id="425"/>
    </w:p>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本企业子公司的情况详见附注九、1、在子公司中的权益。</w:t>
      </w:r>
    </w:p>
    <w:p>
      <w:pPr>
        <w:pStyle w:val="3"/>
        <w:spacing w:line="280" w:lineRule="exact"/>
        <w:jc w:val="left"/>
        <w:rPr>
          <w:rFonts w:ascii="Times New Roman" w:hAnsi="Times New Roman" w:cs="Times New Roman"/>
          <w:b/>
          <w:bCs/>
        </w:rPr>
      </w:pPr>
      <w:bookmarkStart w:id="426" w:name="_Toc989311"/>
      <w:r>
        <w:rPr>
          <w:rFonts w:ascii="Times New Roman" w:hAnsi="Times New Roman" w:cs="Times New Roman"/>
          <w:b/>
          <w:bCs/>
        </w:rPr>
        <w:t>3、本企业合营和联营企业情况</w:t>
      </w:r>
      <w:bookmarkEnd w:id="426"/>
    </w:p>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本企业重要的合营或联营企业详见附注。</w:t>
      </w: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本期与本公司发生关联方交易，或前期与本公司发生关联方交易形成余额的其他合营或联营企业情况如下：</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1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合营或联营企业名称</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与本企业关系</w:t>
            </w:r>
          </w:p>
        </w:tc>
      </w:tr>
    </w:tbl>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其他说明</w:t>
      </w:r>
    </w:p>
    <w:p>
      <w:pPr>
        <w:rPr>
          <w:rFonts w:ascii="Times New Roman" w:hAnsi="Times New Roman" w:cs="Times New Roman"/>
        </w:rPr>
      </w:pPr>
    </w:p>
    <w:p>
      <w:pPr>
        <w:pStyle w:val="3"/>
        <w:spacing w:line="280" w:lineRule="exact"/>
        <w:jc w:val="left"/>
        <w:rPr>
          <w:rFonts w:ascii="Times New Roman" w:hAnsi="Times New Roman" w:cs="Times New Roman"/>
          <w:b/>
          <w:bCs/>
        </w:rPr>
      </w:pPr>
      <w:bookmarkStart w:id="427" w:name="_Toc989312"/>
      <w:r>
        <w:rPr>
          <w:rFonts w:ascii="Times New Roman" w:hAnsi="Times New Roman" w:cs="Times New Roman"/>
          <w:b/>
          <w:bCs/>
        </w:rPr>
        <w:t>4、其他关联方情况</w:t>
      </w:r>
      <w:bookmarkEnd w:id="427"/>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1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其他关联方名称</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其他关联方与本企业关系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怡君控股有限公司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受同一方控制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蓝润集团有限公司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受同一方控制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上海信赫投资管理有限公司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受同一方控制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深圳蓝润控股有限公司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受同一方控制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四川凰城物业服务有限公司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受同一方控制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蓝润地产有限责任公司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受同一方控制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成都蓝润置业有限公司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受同一方控制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成都蓝润锦鸿实业有限公司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受同一方控制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成都天府新区蓝润城市发展有限公司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受同一方控制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成都弘骏盛通实业有限公司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受同一方控制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南充弘润通置业有限公司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受同一方控制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成都盛泰华星实业有限公司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受同一方控制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成都昊翔盛达实业有限公司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受同一方控制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成都博瑞华达实业有限公司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受同一方控制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成都玉林宾馆有限公司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受同一方控制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成都华宇胜汇实业有限公司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受同一方控制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成都锦融盛通实业有限公司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受同一方控制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成都新悦房地产开发有限公司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受同一方控制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四川中建建宏置业有限公司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受同一方控制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重庆畅映实业有限公司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受同一方控制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成都明兴金汇置业有限公司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受同一方控制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四川亿通达贸易有限公司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受同一方控制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四川鸿源星房地产开发有限公司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受同一方控制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北京蓝润华盛置业有限公司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受同一方控制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成都盛和瑞兴置业有限公司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受同一方控制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成都东景泰置业有限公司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受同一方控制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上海运川实业有限公司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受同一方控制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成都蓝润耀恒置业有限公司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受同一方控制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上海安蓝置业有限公司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受同一方控制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蓝润生活服务集团有限公司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受同一方控制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君杰资本管理有限公司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受同一方控制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深圳蓝润物流仓储有限公司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受同一方控制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新远程物流有限公司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受同一方控制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成都爱摩信息科技有限公司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受同一方控制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成都盈泰明道股权投资基金管理有限公司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受同一方控制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怡君智慧商业管理有限公司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受同一方控制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成都蓝润润达商业管理有限公司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受同一方控制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成都润家商业管理有限公司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受同一方控制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渠县润家商业管理有限公司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受同一方控制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达州润家锦瑞商业管理有限公司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受同一方控制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成都佳茂乐旺实业有限公司（原名：成都魅澜光影文化传播有限公司）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受同一方控制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怡君新悦酒店管理有限公司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受同一方控制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成都璞悦瑞河酒店管理有限公司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受同一方控制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成都璞悦酒店管理有限公司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受同一方控制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成都璞里蓝客城酒店管理有限公司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受同一方控制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成都璞里春天酒店管理有限公司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受同一方控制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达州璞里酒店管理有限公司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受同一方控制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璞门(香港)酒店管理有限公司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受同一方控制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四川柳牌酒业股份有限公司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受同一方控制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四川远鸿物业管理有限公司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受同一方控制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绵阳蓝润物业管理有限公司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受同一方控制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四川远鸿物业管理有限公司绵阳分公司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受同一方控制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四川远鸿物业管理有限公司成都分公司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受同一方控制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四川远鸿物业管理有限公司宜宾分公司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受同一方控制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四川远鸿物业管理有限公司南充分公司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受同一方控制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四川远鸿物业管理有限公司渠县分公司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受同一方控制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四川远鸿物业管理有限公司温江分公司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受同一方控制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四川远鸿物业管理有限公司达州分公司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受同一方控制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四川远鸿物业管理有限公司西昌分公司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受同一方控制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四川远鸿物业管理有限公司自贡分公司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受同一方控制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四川蓝润实业集团有限公司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受同一方控制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北京盛宏恒兴实业有限公司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受同一方控制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达州昊华实业有限公司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受同一方控制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成都昊华君翔置业有限公司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受同一方控制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四川蓝润锦怡健康管理有限公司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受同一方控制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大竹县远鸿商混实业有限公司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受同一方控制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成都蓝润智邦置业有限公司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受同一方控制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成都蓝润创汇置业有限公司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受同一方控制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开江嘉胜和实业有限公司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受同一方控制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成都蓝润航瑞置业有限公司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受同一方控制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渠县诚德华泰实业有限公司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受同一方控制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成都蓝润华仁置业有限公司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受同一方控制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重庆翔胜汇实业有限公司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受同一方控制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成都昊华君宇置业有限公司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受同一方控制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四川君昌达实业有限公司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受同一方控制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成都君和君祥置业有限公司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受同一方控制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大竹华亿金瑞贸易有限公司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受同一方控制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成都蓝润华锦置业有限公司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受同一方控制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成都蓝润兴茂置业有限公司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受同一方控制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达州市弘润置业有限公司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受同一方控制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成都启阳恒隆置业有限公司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受同一方控制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开江佳华实业有限公司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受同一方控制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成都鸿源星置地有限公司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受同一方控制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达州市润耀实业有限公司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受同一方控制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达州市富润锐达实业有限公司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受同一方控制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浦领基金销售有限公司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受同一方控制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成都蓝润锦尚实业有限公司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受同一方控制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四川蓝润能源股份有限公司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受同一方控制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四川五仓发展企业管理有限公司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受同一方控制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五仓农牧集团有限公司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受同一方控制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达州五仓宝晟农牧有限公司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受同一方控制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达州宝廪农牧技术有限公司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受同一方控制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巴中五仓宝联农牧技术有限公司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受同一方控制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西充五仓宝廪农牧有限公司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受同一方控制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南部县五仓宝廪农牧有限公司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受同一方控制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宣汉五仓宝晟农牧有限公司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受同一方控制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巴中五仓宝嘉农牧有限公司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受同一方控制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巴中五仓宝腾农牧有限公司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受同一方控制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巴中五仓宝成农牧有限公司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受同一方控制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巴中五仓宝瑞农牧有限公司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受同一方控制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巴中五仓宝盈农牧有限公司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受同一方控制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巴中五仓宝润农牧有限公司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受同一方控制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巴中五仓宝裕农牧有限公司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受同一方控制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巴中五仓宝益农牧有限公司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受同一方控制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巴中五仓宝康农牧有限公司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受同一方控制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西充五仓宝玥农牧有限公司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受同一方控制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西充五仓宝辰农牧有限公司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受同一方控制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巴中五仓宝双农牧有限公司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受同一方控制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巴中五仓宝菩农牧有限公司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受同一方控制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巴中五仓宝坪农牧有限公司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受同一方控制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天津丰润恒道有限公司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受同一方控制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四川臻捷科技服务有限公司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受同一方控制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天津华瑞富达贸易有限公司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受同一方控制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北京正佳华瀚实业有限公司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受同一方控制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成都璞门雅居酒店管理有限公司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受同一方控制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上海东谦佳实业有限公司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受同一方控制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四川轩泰贸易有限公司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受同一方控制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四川亿华贸易有限公司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受同一方控制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四川蓝润农业发展有限公司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受同一方控制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四川鼎嘉泰贸易有限公司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受同一方控制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成都捷阔灏达实业有限公司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受同一方控制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榆林市千树塔矿业投资有限公司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公司股东之一（付小铜）担任执行董事的公司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莱阳银龙投资有限公司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公司股东</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达州银行股份有限公司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实际控制人戴学斌先生担任达州银行董事职务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牧原食品股份有限公司（集团）</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公司重要子公司的少数股东</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青岛联合友和食品有限公司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公司重要子公司的少数股东</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青岛东方睿智商贸有限公司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公司重要子公司的少数股东的实际控制人控制的其他公司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青岛飞熊领鲜科技有限公司（集团）</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公司重要子公司的少数股东的实际控制人控制的其他公司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青岛优尼特尚品食品有限公司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公司重要子公司的少数股东的实际控制人控制的其他公司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青岛全澳供应链科技股份有限公司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公司重要子公司的少数股东的参股公司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沃德佳（青岛）供应链管理有限公司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公司重要子公司的少数股东的参股公司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成都佳享食品有限公司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公司子公司的少数股东</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宣威市鼎宏食品有限公司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公司子公司的少数股东</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蓬莱富华冷藏有限公司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公司子公司的少数股东</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上海新农科技股份有限公司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公司子公司的少数股东</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李凯</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公司子公司的少数股东</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青岛飞熊锦鑫科技有限公司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公司重要子公司的少数股东的实际控制人控制的其他公司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力诚国际贸易股份有限公司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公司高管担任监事的公司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西安航天高技术产业发展集团有限公司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公司高管担任监事的公司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青岛洪亨亚和实业有限公司</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公司股东</w:t>
            </w:r>
          </w:p>
        </w:tc>
      </w:tr>
    </w:tbl>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其他说明</w:t>
      </w:r>
    </w:p>
    <w:p>
      <w:pPr>
        <w:rPr>
          <w:rFonts w:ascii="Times New Roman" w:hAnsi="Times New Roman" w:cs="Times New Roman"/>
        </w:rPr>
      </w:pPr>
    </w:p>
    <w:p>
      <w:pPr>
        <w:pStyle w:val="3"/>
        <w:spacing w:line="280" w:lineRule="exact"/>
        <w:jc w:val="left"/>
        <w:rPr>
          <w:rFonts w:ascii="Times New Roman" w:hAnsi="Times New Roman" w:cs="Times New Roman"/>
          <w:b/>
          <w:bCs/>
        </w:rPr>
      </w:pPr>
      <w:bookmarkStart w:id="428" w:name="_Toc989313"/>
      <w:r>
        <w:rPr>
          <w:rFonts w:ascii="Times New Roman" w:hAnsi="Times New Roman" w:cs="Times New Roman"/>
          <w:b/>
          <w:bCs/>
        </w:rPr>
        <w:t>5、关联交易情况</w:t>
      </w:r>
      <w:bookmarkEnd w:id="428"/>
    </w:p>
    <w:p>
      <w:pPr>
        <w:keepNext/>
        <w:keepLines/>
        <w:spacing w:before="300" w:after="300" w:line="280" w:lineRule="exact"/>
        <w:outlineLvl w:val="3"/>
        <w:rPr>
          <w:rFonts w:ascii="Times New Roman" w:hAnsi="Times New Roman" w:eastAsia="宋体" w:cs="Times New Roman"/>
          <w:b/>
          <w:bCs/>
          <w:szCs w:val="21"/>
        </w:rPr>
      </w:pPr>
      <w:bookmarkStart w:id="429" w:name="_Toc989314"/>
      <w:r>
        <w:rPr>
          <w:rFonts w:ascii="Times New Roman" w:hAnsi="Times New Roman" w:eastAsia="宋体" w:cs="Times New Roman"/>
          <w:b/>
          <w:bCs/>
          <w:szCs w:val="21"/>
        </w:rPr>
        <w:t>（1） 购销商品、提供和接受劳务的关联交易</w:t>
      </w:r>
      <w:bookmarkEnd w:id="429"/>
    </w:p>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采购商品/接受劳务情况表</w:t>
      </w:r>
    </w:p>
    <w:p>
      <w:pPr>
        <w:spacing w:before="120" w:after="12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7"/>
        <w:gridCol w:w="1607"/>
        <w:gridCol w:w="160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关联方</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关联交易内容</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本期发生额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获批的交易额度</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是否超过交易额度</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成都佳享食品有限公司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购买商品（熟食制品）</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否</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622,384.07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牧原食品股份有限公司（集团）</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购买商品(毛猪)</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914,842,103.51</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否</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932,129,583.93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青岛联合友和食品有限公司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代理费</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1,294,939.91</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否</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1,446,119.55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青岛联合友和食品有限公司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购买商品（猪产品）</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27,069,922.43</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否</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2,187,550.96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青岛联合友和食品有限公司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购买商品（鸡产品）</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1,678,574.12</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否</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669,600.00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四川远鸿物业管理有限公司温江分公司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购买商品(垃圾清运费)</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否</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4,684.56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四川远鸿物业管理有限公司温江分公司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购买商品（电费）</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24,893.81</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否</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39,680.95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四川远鸿物业管理有限公司温江分公司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购买商品（物业服务费）</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346,607.16</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否</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266,823.01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四川远鸿物业管理有限公司温江分公司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购买商品（水费）</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522.88</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否</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成都润家商业管理有限公司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购买商品(物业服务费)</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28,926.92</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否</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16,395.96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成都润家商业管理有限公司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购买商品（电费）</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30,000.00</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否</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成都润家商业管理有限公司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购买商品（水费）</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226.30</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否</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青岛东方睿智商贸有限公司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购买猪产品</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19,266.06</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否</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牧原食品股份有限公司（集团）</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购买猪产品</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231,880.74</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否</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青岛飞熊锦鑫科技有限公司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购买猪产品</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23,119.27</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否</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青岛飞熊领鲜科技有限公司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购买猪产品</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24,363,499.55</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否</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青岛飞熊领鲜科技有限公司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购买羊产品</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10,914,156.94</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否</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青岛飞熊领鲜科技有限公司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代理费</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176.54</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否</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青岛飞熊领鲜科技有限公司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关税</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2,868,231.66</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否</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青岛飞熊领鲜科技有限公司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购买牛产品</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1,510,055.34</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否</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巴中五仓宝裕农牧有限公司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购买猪仔</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1,727,358.60</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否</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西充五仓宝廪农牧有限公司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购买猪仔</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531,232.00</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否</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四川蓝润实业集团有限公司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汽车租赁费</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143,362.83</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否</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合计</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987,649,056.57</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937,382,822.99</w:t>
            </w:r>
          </w:p>
        </w:tc>
      </w:tr>
    </w:tbl>
    <w:p>
      <w:pPr>
        <w:spacing w:before="10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出售商品/提供劳务情况表</w:t>
      </w:r>
    </w:p>
    <w:p>
      <w:pPr>
        <w:spacing w:before="120" w:after="12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09"/>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关联方</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关联交易内容</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本期发生额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成都佳享食品有限公司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销售商品（冷鲜肉、冷冻肉、熟食等）</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-18,573.83</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623,288.37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成都璞悦酒店管理有限公司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销售商品（冷鲜肉、冷冻肉、熟食等）</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105,302.45</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1,624,561.86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达州银行股份有限公司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销售商品（冷鲜肉、冷冻肉、熟食等）</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484,386.27</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1,518,838.30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青岛飞熊领鲜科技有限公司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销售商品（冷鲜肉、冷冻肉、熟食等）</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30,136,566.16</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413,965.05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青岛优尼特尚品食品有限公司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销售商品（冷鲜肉、冷冻肉、熟食等）</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1,208,405.87</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青岛东方睿智商贸有限公司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销售商品（冷鲜肉、冷冻肉、熟食等）</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1,999,581.78</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沃德佳（青岛）供应链管理有限公司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销售商品（冷鲜肉、冷冻肉、熟食等）</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238,117.40</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青岛联合友和食品有限公司</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销售商品（冷鲜肉、冷冻肉、熟食等）</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227,958.47</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6,021.24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合计</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34,381,744.57</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4,186,674.82</w:t>
            </w:r>
          </w:p>
        </w:tc>
      </w:tr>
    </w:tbl>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购销商品、提供和接受劳务的关联交易说明</w:t>
      </w:r>
    </w:p>
    <w:p>
      <w:pPr>
        <w:rPr>
          <w:rFonts w:ascii="Times New Roman" w:hAnsi="Times New Roman" w:cs="Times New Roman"/>
        </w:rPr>
      </w:pPr>
    </w:p>
    <w:p>
      <w:pPr>
        <w:keepNext/>
        <w:keepLines/>
        <w:spacing w:before="300" w:after="300" w:line="280" w:lineRule="exact"/>
        <w:outlineLvl w:val="3"/>
        <w:rPr>
          <w:rFonts w:ascii="Times New Roman" w:hAnsi="Times New Roman" w:eastAsia="宋体" w:cs="Times New Roman"/>
          <w:b/>
          <w:bCs/>
          <w:szCs w:val="21"/>
        </w:rPr>
      </w:pPr>
      <w:bookmarkStart w:id="430" w:name="_Toc989315"/>
      <w:r>
        <w:rPr>
          <w:rFonts w:ascii="Times New Roman" w:hAnsi="Times New Roman" w:eastAsia="宋体" w:cs="Times New Roman"/>
          <w:b/>
          <w:bCs/>
          <w:szCs w:val="21"/>
        </w:rPr>
        <w:t>（2） 关联受托管理/承包及委托管理/出包情况</w:t>
      </w:r>
      <w:bookmarkEnd w:id="430"/>
    </w:p>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本公司受托管理/承包情况表：</w:t>
      </w:r>
    </w:p>
    <w:p>
      <w:pPr>
        <w:spacing w:before="120" w:after="12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委托方/出包方名称</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受托方/承包方名称</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受托/承包资产类型</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受托/承包起始日</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受托/承包终止日</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托管收益/承包收益定价依据</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本期确认的托管收益/承包收益</w:t>
            </w:r>
          </w:p>
        </w:tc>
      </w:tr>
    </w:tbl>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关联托管/承包情况说明</w:t>
      </w:r>
    </w:p>
    <w:p>
      <w:pPr>
        <w:rPr>
          <w:rFonts w:ascii="Times New Roman" w:hAnsi="Times New Roman" w:cs="Times New Roman"/>
        </w:rPr>
      </w:pP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本公司委托管理/出包情况表：</w:t>
      </w:r>
    </w:p>
    <w:p>
      <w:pPr>
        <w:spacing w:before="120" w:after="12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委托方/出包方名称</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受托方/承包方名称</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委托/出包资产类型</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委托/出包起始日</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委托/出包终止日</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托管费/出包费定价依据</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本期确认的托管费/出包费</w:t>
            </w:r>
          </w:p>
        </w:tc>
      </w:tr>
    </w:tbl>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关联管理/出包情况说明</w:t>
      </w:r>
    </w:p>
    <w:p>
      <w:pPr>
        <w:rPr>
          <w:rFonts w:ascii="Times New Roman" w:hAnsi="Times New Roman" w:cs="Times New Roman"/>
        </w:rPr>
      </w:pPr>
    </w:p>
    <w:p>
      <w:pPr>
        <w:keepNext/>
        <w:keepLines/>
        <w:spacing w:before="300" w:after="300" w:line="280" w:lineRule="exact"/>
        <w:outlineLvl w:val="3"/>
        <w:rPr>
          <w:rFonts w:ascii="Times New Roman" w:hAnsi="Times New Roman" w:eastAsia="宋体" w:cs="Times New Roman"/>
          <w:b/>
          <w:bCs/>
          <w:szCs w:val="21"/>
        </w:rPr>
      </w:pPr>
      <w:bookmarkStart w:id="431" w:name="_Toc989316"/>
      <w:r>
        <w:rPr>
          <w:rFonts w:ascii="Times New Roman" w:hAnsi="Times New Roman" w:eastAsia="宋体" w:cs="Times New Roman"/>
          <w:b/>
          <w:bCs/>
          <w:szCs w:val="21"/>
        </w:rPr>
        <w:t>（3） 关联租赁情况</w:t>
      </w:r>
      <w:bookmarkEnd w:id="431"/>
    </w:p>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本公司作为出租方：</w:t>
      </w:r>
    </w:p>
    <w:p>
      <w:pPr>
        <w:spacing w:before="120" w:after="12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09"/>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承租方名称</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租赁资产种类</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本期确认的租赁收入</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上期确认的租赁收入</w:t>
            </w:r>
          </w:p>
        </w:tc>
      </w:tr>
    </w:tbl>
    <w:p>
      <w:pPr>
        <w:spacing w:before="10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本公司作为承租方：</w:t>
      </w:r>
    </w:p>
    <w:p>
      <w:pPr>
        <w:spacing w:before="120" w:after="12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04"/>
        <w:gridCol w:w="804"/>
        <w:gridCol w:w="804"/>
        <w:gridCol w:w="803"/>
        <w:gridCol w:w="803"/>
        <w:gridCol w:w="803"/>
        <w:gridCol w:w="803"/>
        <w:gridCol w:w="803"/>
        <w:gridCol w:w="803"/>
        <w:gridCol w:w="803"/>
        <w:gridCol w:w="803"/>
        <w:gridCol w:w="80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出租方名称</w:t>
            </w:r>
          </w:p>
        </w:tc>
        <w:tc>
          <w:tcPr>
            <w:tcW w:w="8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租赁资产种类</w:t>
            </w:r>
          </w:p>
        </w:tc>
        <w:tc>
          <w:tcPr>
            <w:tcW w:w="160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简化处理的短期租赁和低价值资产租赁的租金费用（如适用）</w:t>
            </w:r>
          </w:p>
        </w:tc>
        <w:tc>
          <w:tcPr>
            <w:tcW w:w="160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未纳入租赁负债计量的可变租赁付款额（如适用）</w:t>
            </w:r>
          </w:p>
        </w:tc>
        <w:tc>
          <w:tcPr>
            <w:tcW w:w="160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支付的租金</w:t>
            </w:r>
          </w:p>
        </w:tc>
        <w:tc>
          <w:tcPr>
            <w:tcW w:w="160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承担的租赁负债利息支出</w:t>
            </w:r>
          </w:p>
        </w:tc>
        <w:tc>
          <w:tcPr>
            <w:tcW w:w="160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增加的使用权资产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03" w:type="dxa"/>
            <w:vMerge w:val="continue"/>
            <w:tcBorders>
              <w:top w:val="single" w:color="auto" w:sz="2" w:space="0"/>
              <w:left w:val="single" w:color="auto" w:sz="2" w:space="0"/>
              <w:bottom w:val="single" w:color="auto" w:sz="2" w:space="0"/>
              <w:right w:val="single" w:color="auto" w:sz="2" w:space="0"/>
            </w:tcBorders>
            <w:vAlign w:val="center"/>
          </w:tcPr>
          <w:p>
            <w:pPr>
              <w:rPr>
                <w:rFonts w:ascii="Times New Roman" w:hAnsi="Times New Roman" w:cs="Times New Roman"/>
              </w:rPr>
            </w:pPr>
          </w:p>
        </w:tc>
        <w:tc>
          <w:tcPr>
            <w:tcW w:w="803" w:type="dxa"/>
            <w:vMerge w:val="continue"/>
            <w:tcBorders>
              <w:top w:val="single" w:color="auto" w:sz="2" w:space="0"/>
              <w:left w:val="single" w:color="auto" w:sz="2" w:space="0"/>
              <w:bottom w:val="single" w:color="auto" w:sz="2" w:space="0"/>
              <w:right w:val="single" w:color="auto" w:sz="2" w:space="0"/>
            </w:tcBorders>
            <w:vAlign w:val="center"/>
          </w:tcPr>
          <w:p>
            <w:pPr>
              <w:rPr>
                <w:rFonts w:ascii="Times New Roman" w:hAnsi="Times New Roman" w:cs="Times New Roman"/>
              </w:rPr>
            </w:pP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本期发生额</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上期发生额</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本期发生额</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上期发生额</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本期发生额</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上期发生额</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本期发生额</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上期发生额</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本期发生额</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0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成都润家商业管理有限公司</w:t>
            </w:r>
          </w:p>
        </w:tc>
        <w:tc>
          <w:tcPr>
            <w:tcW w:w="80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房屋租赁</w:t>
            </w:r>
          </w:p>
        </w:tc>
        <w:tc>
          <w:tcPr>
            <w:tcW w:w="8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1,137,961.10</w:t>
            </w:r>
          </w:p>
        </w:tc>
        <w:tc>
          <w:tcPr>
            <w:tcW w:w="8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1,137,961.12</w:t>
            </w:r>
          </w:p>
        </w:tc>
        <w:tc>
          <w:tcPr>
            <w:tcW w:w="8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59,391.03</w:t>
            </w:r>
          </w:p>
        </w:tc>
        <w:tc>
          <w:tcPr>
            <w:tcW w:w="8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104,353.00</w:t>
            </w:r>
          </w:p>
        </w:tc>
        <w:tc>
          <w:tcPr>
            <w:tcW w:w="8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0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成都润家商业管理有限公司</w:t>
            </w:r>
          </w:p>
        </w:tc>
        <w:tc>
          <w:tcPr>
            <w:tcW w:w="80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房屋租赁</w:t>
            </w:r>
          </w:p>
        </w:tc>
        <w:tc>
          <w:tcPr>
            <w:tcW w:w="8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29,972.48</w:t>
            </w:r>
          </w:p>
        </w:tc>
        <w:tc>
          <w:tcPr>
            <w:tcW w:w="8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4,852.44</w:t>
            </w:r>
          </w:p>
        </w:tc>
        <w:tc>
          <w:tcPr>
            <w:tcW w:w="8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378,345.45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0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成都润家商业管理有限公司</w:t>
            </w:r>
          </w:p>
        </w:tc>
        <w:tc>
          <w:tcPr>
            <w:tcW w:w="80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房屋租赁</w:t>
            </w:r>
          </w:p>
        </w:tc>
        <w:tc>
          <w:tcPr>
            <w:tcW w:w="8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159,860.64</w:t>
            </w:r>
          </w:p>
        </w:tc>
        <w:tc>
          <w:tcPr>
            <w:tcW w:w="8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126,873.48</w:t>
            </w:r>
          </w:p>
        </w:tc>
        <w:tc>
          <w:tcPr>
            <w:tcW w:w="8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38,046.58</w:t>
            </w:r>
          </w:p>
        </w:tc>
        <w:tc>
          <w:tcPr>
            <w:tcW w:w="8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42,753.41</w:t>
            </w:r>
          </w:p>
        </w:tc>
        <w:tc>
          <w:tcPr>
            <w:tcW w:w="8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80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bl>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关联租赁情况说明</w:t>
      </w:r>
    </w:p>
    <w:p>
      <w:pPr>
        <w:pStyle w:val="8"/>
        <w:spacing w:before="0" w:beforeAutospacing="0" w:after="0" w:afterAutospacing="0" w:line="276" w:lineRule="auto"/>
        <w:ind w:firstLine="332"/>
        <w:jc w:val="both"/>
        <w:rPr>
          <w:rFonts w:ascii="Times New Roman" w:hAnsi="Times New Roman" w:cs="Times New Roman"/>
        </w:rPr>
      </w:pPr>
      <w:r>
        <w:rPr>
          <w:rFonts w:ascii="Times New Roman" w:hAnsi="Times New Roman" w:cs="Times New Roman"/>
          <w:spacing w:val="-7"/>
          <w:sz w:val="18"/>
          <w:szCs w:val="18"/>
        </w:rPr>
        <w:t>山东龙大美食股份有限公司租入成都润家商业管理有限公司房屋，租赁起始日为2021年8月1日，租赁终止日为2024年7月31日，租赁费定价依据</w:t>
      </w:r>
      <w:r>
        <w:rPr>
          <w:rFonts w:ascii="Times New Roman" w:hAnsi="Times New Roman" w:cs="Times New Roman"/>
          <w:spacing w:val="-9"/>
          <w:sz w:val="18"/>
          <w:szCs w:val="18"/>
        </w:rPr>
        <w:t>为市场价格；</w:t>
      </w:r>
      <w:r>
        <w:rPr>
          <w:rFonts w:ascii="Times New Roman" w:hAnsi="Times New Roman" w:cs="Times New Roman"/>
          <w:spacing w:val="-7"/>
          <w:sz w:val="18"/>
          <w:szCs w:val="18"/>
        </w:rPr>
        <w:t>山东龙大美食股份有限公司租入成都润家商业管理有限公司房屋，租赁起始日为2022年3月18日，租赁终止日为2022年12月31日，租赁费定价依据</w:t>
      </w:r>
      <w:r>
        <w:rPr>
          <w:rFonts w:ascii="Times New Roman" w:hAnsi="Times New Roman" w:cs="Times New Roman"/>
          <w:spacing w:val="-9"/>
          <w:sz w:val="18"/>
          <w:szCs w:val="18"/>
        </w:rPr>
        <w:t>为市场价格；</w:t>
      </w:r>
      <w:r>
        <w:rPr>
          <w:rFonts w:ascii="Times New Roman" w:hAnsi="Times New Roman" w:cs="Times New Roman"/>
          <w:spacing w:val="-10"/>
          <w:sz w:val="18"/>
          <w:szCs w:val="18"/>
        </w:rPr>
        <w:t>山东龙大生猪产品工程技术研究有限公司租入成都润家商业管理有限</w:t>
      </w:r>
      <w:r>
        <w:rPr>
          <w:rFonts w:ascii="Times New Roman" w:hAnsi="Times New Roman" w:cs="Times New Roman"/>
          <w:spacing w:val="-8"/>
          <w:sz w:val="18"/>
          <w:szCs w:val="18"/>
        </w:rPr>
        <w:t>公司房屋，租赁起始日为</w:t>
      </w:r>
      <w:r>
        <w:rPr>
          <w:rFonts w:ascii="Times New Roman" w:hAnsi="Times New Roman" w:cs="Times New Roman"/>
          <w:sz w:val="18"/>
          <w:szCs w:val="18"/>
        </w:rPr>
        <w:t>2021年8月1</w:t>
      </w:r>
      <w:r>
        <w:rPr>
          <w:rFonts w:ascii="Times New Roman" w:hAnsi="Times New Roman" w:cs="Times New Roman"/>
          <w:spacing w:val="-5"/>
          <w:sz w:val="18"/>
          <w:szCs w:val="18"/>
        </w:rPr>
        <w:t>日，租赁终止日为</w:t>
      </w:r>
      <w:r>
        <w:rPr>
          <w:rFonts w:ascii="Times New Roman" w:hAnsi="Times New Roman" w:cs="Times New Roman"/>
          <w:sz w:val="18"/>
          <w:szCs w:val="18"/>
        </w:rPr>
        <w:t>2028年10月16</w:t>
      </w:r>
      <w:r>
        <w:rPr>
          <w:rFonts w:ascii="Times New Roman" w:hAnsi="Times New Roman" w:cs="Times New Roman"/>
          <w:spacing w:val="-7"/>
          <w:sz w:val="18"/>
          <w:szCs w:val="18"/>
        </w:rPr>
        <w:t>日，租赁费定价依据为市场价格。</w:t>
      </w:r>
    </w:p>
    <w:p>
      <w:pPr>
        <w:keepNext/>
        <w:keepLines/>
        <w:spacing w:before="300" w:after="300" w:line="280" w:lineRule="exact"/>
        <w:outlineLvl w:val="3"/>
        <w:rPr>
          <w:rFonts w:ascii="Times New Roman" w:hAnsi="Times New Roman" w:eastAsia="宋体" w:cs="Times New Roman"/>
          <w:b/>
          <w:bCs/>
          <w:szCs w:val="21"/>
        </w:rPr>
      </w:pPr>
      <w:bookmarkStart w:id="432" w:name="_Toc989317"/>
      <w:r>
        <w:rPr>
          <w:rFonts w:ascii="Times New Roman" w:hAnsi="Times New Roman" w:eastAsia="宋体" w:cs="Times New Roman"/>
          <w:b/>
          <w:bCs/>
          <w:szCs w:val="21"/>
        </w:rPr>
        <w:t>（4） 关联担保情况</w:t>
      </w:r>
      <w:bookmarkEnd w:id="432"/>
    </w:p>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本公司作为担保方</w:t>
      </w:r>
    </w:p>
    <w:p>
      <w:pPr>
        <w:spacing w:before="120" w:after="12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7"/>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被担保方</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担保金额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担保起始日</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担保到期日</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担保是否已经履行完毕</w:t>
            </w:r>
          </w:p>
        </w:tc>
      </w:tr>
    </w:tbl>
    <w:p>
      <w:pPr>
        <w:spacing w:before="100" w:after="40" w:line="240" w:lineRule="exact"/>
        <w:rPr>
          <w:rFonts w:ascii="Times New Roman" w:hAnsi="Times New Roman" w:eastAsia="宋体" w:cs="Times New Roman"/>
          <w:sz w:val="18"/>
          <w:szCs w:val="18"/>
        </w:rPr>
      </w:pPr>
    </w:p>
    <w:p>
      <w:pPr>
        <w:spacing w:before="10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本公司作为被担保方</w:t>
      </w:r>
    </w:p>
    <w:p>
      <w:pPr>
        <w:spacing w:before="120" w:after="12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7"/>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担保方</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担保金额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担保起始日</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担保到期日</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担保是否已经履行完毕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蓝润发展控股集团有限公司</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50,000,000.00</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2023年06月28日</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2024年06月26日</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蓝润发展控股集团有限公司</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36,000,000.00</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2023年06月13日</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2023年12月07日</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蓝润发展控股集团有限公司</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10,000,000.00</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2023年03月24日</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2023年09月24日</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蓝润发展控股集团有限公司</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10,000,000.00</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2023年03月24日</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2023年09月24日</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蓝润发展控股集团有限公司</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16,000,000.00</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2023年04月27日</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2024年04月25日</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蓝润发展控股集团有限公司</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15,900,000.00</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2023年04月27日</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2024年04月25日</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蓝润发展控股集团有限公司</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3,000,000.00</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2023年04月27日</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2024年04月25日</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蓝润发展控股集团有限公司</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45,100,000.00</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2023年04月27日</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2024年04月25日</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蓝润发展控股集团有限公司</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80,000,000.00</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2023年01月06日</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2024年01月02日</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蓝润发展控股集团有限公司</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10,000,000.00</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2022年10月26日</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2023年10月25日</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蓝润发展控股集团有限公司</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10,000,000.00</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2023年01月03日</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2024年01月02日</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蓝润发展控股集团有限公司/烟台龙大养殖有限公司</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10,000,000.00</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2022年08月19日</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2023年07月30日</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蓝润发展控股集团有限公司/烟台龙大养殖有限公司</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10,000,000.00</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2022年08月25日</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2023年07月30日</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蓝润发展控股集团有限公司/烟台龙大养殖有限公司</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60,000,000.00</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2023年05月11日</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2024年05月10日</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蓝润发展控股集团有限公司/烟台龙大养殖有限公司</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122,500,000.00</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2021年04月06日</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2026年04月06日</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蓝润发展控股集团有限公司</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68,000,000.00</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2022年07月26日</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2023年08月25日</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蓝润发展控股集团有限公司</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7,000,000.00</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2022年07月26日</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2023年07月25日</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蓝润发展控股集团有限公司/莱阳市悦果堂果蔬食品有限公司</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47,000,000.00</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2023年06月29日</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2024年06月28日</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蓝润发展控股集团有限公司</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83,000,000.00</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2023年06月08日</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2023年12月04日</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蓝润发展控股集团有限公司</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2,700,000.00</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2023年06月28日</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2024年03月24日</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蓝润发展控股集团有限公司</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80,000,000.00</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2023年03月28日</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2024年03月25日</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蓝润发展控股集团有限公司/烟台龙大养殖有限公司</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10,000,000.00</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2023年06月22日</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2024年06月20日</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蓝润发展控股集团有限公司</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10,000,000.00</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2023年06月27日</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2023年12月21日</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蓝润发展控股集团有限公司</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10,000,000.00</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2023年06月26日</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2023年12月21日</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蓝润发展控股集团有限公司/烟台龙大养殖有限公司</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10,000,000.00</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2022年07月14日</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2023年07月13日</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蓝润发展控股集团有限公司/烟台龙大养殖有限公司</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4,500,000.00</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2022年07月14日</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2023年07月13日</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蓝润发展控股集团有限公司/烟台龙大养殖有限公司</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15,500,000.00</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2023年01月11日</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2024年01月10日</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蓝润发展控股集团有限公司/烟台龙大养殖有限公司</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10,000,000.00</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2023年02月27日</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2024年02月26日</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蓝润发展控股集团有限公司/烟台龙大养殖有限公司</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10,000,000.00</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2023年03月11日</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2024年03月09日</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蓝润发展控股集团有限公司/烟台龙大养殖有限公司</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10,000,000.00</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2023年03月13日</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2024年03月11日</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蓝润发展控股集团有限公司/烟台龙大养殖有限公司</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4,000,000.00</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2023年03月20日</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2024年03月18日</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蓝润发展控股集团有限公司/烟台龙大养殖有限公司</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6,000,000.00</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2023年03月24日</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2024年03月22日</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蓝润发展控股集团有限公司/烟台龙大养殖有限公司</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10,000,000.00</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2023年03月24日</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2024年03月22日</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蓝润发展控股集团有限公司/烟台龙大养殖有限公司</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10,000,000.00</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2023年03月25日</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2024年03月22日</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蓝润发展控股集团有限公司/烟台龙大养殖有限公司</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98,000,000.00</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2021年04月06日</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2026年04月06日</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蓝润发展控股集团有限公司</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112,800,000.00</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2023年01月11日</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2023年07月10日</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蓝润发展控股集团有限公司</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70,000,000.00</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2022年12月30日</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2023年07月20日</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蓝润发展控股集团有限公司</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67,200,000.00</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2023年01月12日</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2023年07月12日</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蓝润发展控股集团有限公司</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35,000,000.00</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2023年06月27日</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2024年06月25日</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蓝润发展控股集团有限公司</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10,000,000.00</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2022年11月16日</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2023年11月15日</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蓝润发展控股集团有限公司</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10,000,000.00</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2022年11月15日</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2023年11月15日</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蓝润发展控股集团有限公司</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10,000,000.00</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2022年11月15日</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2023年11月15日</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蓝润发展控股集团有限公司</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10,000,000.00</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2022年11月15日</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2023年11月15日</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蓝润发展控股集团有限公司</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10,000,000.00</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2022年11月15日</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2023年11月15日</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否</w:t>
            </w:r>
          </w:p>
        </w:tc>
      </w:tr>
    </w:tbl>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关联担保情况说明</w:t>
      </w:r>
    </w:p>
    <w:p>
      <w:pPr>
        <w:pStyle w:val="8"/>
        <w:rPr>
          <w:rFonts w:ascii="Times New Roman" w:hAnsi="Times New Roman" w:cs="Times New Roman"/>
          <w:sz w:val="18"/>
          <w:szCs w:val="18"/>
        </w:rPr>
      </w:pPr>
      <w:r>
        <w:rPr>
          <w:rFonts w:ascii="Times New Roman" w:hAnsi="Times New Roman" w:cs="Times New Roman"/>
          <w:sz w:val="18"/>
          <w:szCs w:val="18"/>
        </w:rPr>
        <w:t>无</w:t>
      </w:r>
    </w:p>
    <w:p>
      <w:pPr>
        <w:keepNext/>
        <w:keepLines/>
        <w:spacing w:before="300" w:after="300" w:line="280" w:lineRule="exact"/>
        <w:outlineLvl w:val="3"/>
        <w:rPr>
          <w:rFonts w:ascii="Times New Roman" w:hAnsi="Times New Roman" w:eastAsia="宋体" w:cs="Times New Roman"/>
          <w:b/>
          <w:bCs/>
          <w:szCs w:val="21"/>
        </w:rPr>
      </w:pPr>
      <w:bookmarkStart w:id="433" w:name="_Toc989318"/>
      <w:r>
        <w:rPr>
          <w:rFonts w:ascii="Times New Roman" w:hAnsi="Times New Roman" w:eastAsia="宋体" w:cs="Times New Roman"/>
          <w:b/>
          <w:bCs/>
          <w:szCs w:val="21"/>
        </w:rPr>
        <w:t>（5） 关联方资金拆借</w:t>
      </w:r>
      <w:bookmarkEnd w:id="433"/>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7"/>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关联方</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拆借金额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起始日</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到期日</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拆入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拆出</w:t>
            </w:r>
          </w:p>
        </w:tc>
      </w:tr>
    </w:tbl>
    <w:p>
      <w:pPr>
        <w:keepNext/>
        <w:keepLines/>
        <w:spacing w:before="300" w:after="300" w:line="280" w:lineRule="exact"/>
        <w:outlineLvl w:val="3"/>
        <w:rPr>
          <w:rFonts w:ascii="Times New Roman" w:hAnsi="Times New Roman" w:eastAsia="宋体" w:cs="Times New Roman"/>
          <w:b/>
          <w:bCs/>
          <w:szCs w:val="21"/>
        </w:rPr>
      </w:pPr>
      <w:bookmarkStart w:id="434" w:name="_Toc989319"/>
      <w:r>
        <w:rPr>
          <w:rFonts w:ascii="Times New Roman" w:hAnsi="Times New Roman" w:eastAsia="宋体" w:cs="Times New Roman"/>
          <w:b/>
          <w:bCs/>
          <w:szCs w:val="21"/>
        </w:rPr>
        <w:t>（6） 关联方资产转让、债务重组情况</w:t>
      </w:r>
      <w:bookmarkEnd w:id="434"/>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09"/>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关联方</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关联交易内容</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本期发生额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上期发生额</w:t>
            </w:r>
          </w:p>
        </w:tc>
      </w:tr>
    </w:tbl>
    <w:p>
      <w:pPr>
        <w:keepNext/>
        <w:keepLines/>
        <w:spacing w:before="300" w:after="300" w:line="280" w:lineRule="exact"/>
        <w:outlineLvl w:val="3"/>
        <w:rPr>
          <w:rFonts w:ascii="Times New Roman" w:hAnsi="Times New Roman" w:eastAsia="宋体" w:cs="Times New Roman"/>
          <w:b/>
          <w:bCs/>
          <w:szCs w:val="21"/>
        </w:rPr>
      </w:pPr>
      <w:bookmarkStart w:id="435" w:name="_Toc989320"/>
      <w:r>
        <w:rPr>
          <w:rFonts w:ascii="Times New Roman" w:hAnsi="Times New Roman" w:eastAsia="宋体" w:cs="Times New Roman"/>
          <w:b/>
          <w:bCs/>
          <w:szCs w:val="21"/>
        </w:rPr>
        <w:t>（7） 关键管理人员报酬</w:t>
      </w:r>
      <w:bookmarkEnd w:id="435"/>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关键管理人员报酬</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1,499,009.04</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1,416,742.30</w:t>
            </w:r>
          </w:p>
        </w:tc>
      </w:tr>
    </w:tbl>
    <w:p>
      <w:pPr>
        <w:keepNext/>
        <w:keepLines/>
        <w:spacing w:before="300" w:after="300" w:line="280" w:lineRule="exact"/>
        <w:outlineLvl w:val="3"/>
        <w:rPr>
          <w:rFonts w:ascii="Times New Roman" w:hAnsi="Times New Roman" w:eastAsia="宋体" w:cs="Times New Roman"/>
          <w:b/>
          <w:bCs/>
          <w:szCs w:val="21"/>
        </w:rPr>
      </w:pPr>
      <w:bookmarkStart w:id="436" w:name="_Toc989321"/>
      <w:r>
        <w:rPr>
          <w:rFonts w:ascii="Times New Roman" w:hAnsi="Times New Roman" w:eastAsia="宋体" w:cs="Times New Roman"/>
          <w:b/>
          <w:bCs/>
          <w:szCs w:val="21"/>
        </w:rPr>
        <w:t>（8） 其他关联交易</w:t>
      </w:r>
      <w:bookmarkEnd w:id="436"/>
    </w:p>
    <w:p>
      <w:pPr>
        <w:pStyle w:val="8"/>
        <w:rPr>
          <w:rFonts w:ascii="Times New Roman" w:hAnsi="Times New Roman" w:cs="Times New Roman"/>
          <w:sz w:val="18"/>
          <w:szCs w:val="18"/>
        </w:rPr>
      </w:pPr>
      <w:r>
        <w:rPr>
          <w:rFonts w:ascii="Times New Roman" w:hAnsi="Times New Roman" w:cs="Times New Roman"/>
          <w:sz w:val="18"/>
          <w:szCs w:val="18"/>
        </w:rPr>
        <w:t>无</w:t>
      </w:r>
    </w:p>
    <w:p>
      <w:pPr>
        <w:pStyle w:val="3"/>
        <w:spacing w:line="280" w:lineRule="exact"/>
        <w:jc w:val="left"/>
        <w:rPr>
          <w:rFonts w:ascii="Times New Roman" w:hAnsi="Times New Roman" w:cs="Times New Roman"/>
          <w:b/>
          <w:bCs/>
        </w:rPr>
      </w:pPr>
      <w:bookmarkStart w:id="437" w:name="_Toc989322"/>
      <w:r>
        <w:rPr>
          <w:rFonts w:ascii="Times New Roman" w:hAnsi="Times New Roman" w:cs="Times New Roman"/>
          <w:b/>
          <w:bCs/>
        </w:rPr>
        <w:t>6、关联方应收应付款项</w:t>
      </w:r>
      <w:bookmarkEnd w:id="437"/>
    </w:p>
    <w:p>
      <w:pPr>
        <w:keepNext/>
        <w:keepLines/>
        <w:spacing w:before="300" w:after="300" w:line="280" w:lineRule="exact"/>
        <w:outlineLvl w:val="3"/>
        <w:rPr>
          <w:rFonts w:ascii="Times New Roman" w:hAnsi="Times New Roman" w:eastAsia="宋体" w:cs="Times New Roman"/>
          <w:b/>
          <w:bCs/>
          <w:szCs w:val="21"/>
        </w:rPr>
      </w:pPr>
      <w:bookmarkStart w:id="438" w:name="_Toc989323"/>
      <w:r>
        <w:rPr>
          <w:rFonts w:ascii="Times New Roman" w:hAnsi="Times New Roman" w:eastAsia="宋体" w:cs="Times New Roman"/>
          <w:b/>
          <w:bCs/>
          <w:szCs w:val="21"/>
        </w:rPr>
        <w:t>（1） 应收项目</w:t>
      </w:r>
      <w:bookmarkEnd w:id="438"/>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7"/>
        <w:gridCol w:w="1606"/>
        <w:gridCol w:w="1606"/>
        <w:gridCol w:w="1607"/>
        <w:gridCol w:w="1606"/>
        <w:gridCol w:w="160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项目名称</w:t>
            </w:r>
          </w:p>
        </w:tc>
        <w:tc>
          <w:tcPr>
            <w:tcW w:w="160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关联方</w:t>
            </w:r>
          </w:p>
        </w:tc>
        <w:tc>
          <w:tcPr>
            <w:tcW w:w="321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期末余额</w:t>
            </w:r>
          </w:p>
        </w:tc>
        <w:tc>
          <w:tcPr>
            <w:tcW w:w="321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160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账面余额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坏账准备</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账面余额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坏账准备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应收账款</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成都璞悦酒店管理有限公司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1,972,814.94</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393,981.74</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2,048,424.53</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45,851.46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应收账款</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成都佳享食品有限公司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463,607.63</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9,272.15</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686,863.92</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13,793.58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其他应收款</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四川远鸿物业管理有限公司温江分公司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100.00</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22.91</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100.00</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22.91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其他应收款</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成都润家商业管理有限公司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89,575.32</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21,760.43</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89,575.32</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15,178.25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其他应收款</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成都佳享食品有限公司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909,000.00</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18,180.00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其他应收款</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宣威市鼎宏食品有限公司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2,870,000.00</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1,435,000.00</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2,870,000.00</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1,435,000.00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预付款项</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牧原食品股份有限公司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1,306,639.11</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预付款项</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青岛全澳供应链科技股份有限公司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20,586,806.34</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预付款项</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牧原食品股份有限公司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1,239,316.72</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预付款项</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青岛优尼特尚品食品有限公司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9,000.00</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预付款项</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青岛飞熊领鲜科技有限公司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16,730,903.31</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预付款项</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青岛飞熊锦鑫科技有限公司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2,080.73</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预付款项</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青岛联合友和食品有限公司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5,210,946.31</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预付款项</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巴中五仓宝裕农牧有限公司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641.40</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货币资金</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达州银行股份有限公司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613,324,957.06</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731,901,485.99</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bl>
    <w:p>
      <w:pPr>
        <w:keepNext/>
        <w:keepLines/>
        <w:spacing w:before="300" w:after="300" w:line="280" w:lineRule="exact"/>
        <w:outlineLvl w:val="3"/>
        <w:rPr>
          <w:rFonts w:ascii="Times New Roman" w:hAnsi="Times New Roman" w:eastAsia="宋体" w:cs="Times New Roman"/>
          <w:b/>
          <w:bCs/>
          <w:szCs w:val="21"/>
        </w:rPr>
      </w:pPr>
      <w:bookmarkStart w:id="439" w:name="_Toc989324"/>
      <w:r>
        <w:rPr>
          <w:rFonts w:ascii="Times New Roman" w:hAnsi="Times New Roman" w:eastAsia="宋体" w:cs="Times New Roman"/>
          <w:b/>
          <w:bCs/>
          <w:szCs w:val="21"/>
        </w:rPr>
        <w:t>（2） 应付项目</w:t>
      </w:r>
      <w:bookmarkEnd w:id="439"/>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09"/>
        <w:gridCol w:w="2836"/>
        <w:gridCol w:w="1984"/>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09"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项目名称</w:t>
            </w:r>
          </w:p>
        </w:tc>
        <w:tc>
          <w:tcPr>
            <w:tcW w:w="283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关联方</w:t>
            </w:r>
          </w:p>
        </w:tc>
        <w:tc>
          <w:tcPr>
            <w:tcW w:w="1984"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期末账面余额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期初账面余额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09"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应付账款</w:t>
            </w:r>
          </w:p>
        </w:tc>
        <w:tc>
          <w:tcPr>
            <w:tcW w:w="283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成都佳享食品有限公司</w:t>
            </w:r>
          </w:p>
        </w:tc>
        <w:tc>
          <w:tcPr>
            <w:tcW w:w="198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3,557,503.44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09"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应付账款</w:t>
            </w:r>
          </w:p>
        </w:tc>
        <w:tc>
          <w:tcPr>
            <w:tcW w:w="283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青岛东方睿智商贸有限公司</w:t>
            </w:r>
          </w:p>
        </w:tc>
        <w:tc>
          <w:tcPr>
            <w:tcW w:w="198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202,516.89</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202,516.89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09"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应付账款</w:t>
            </w:r>
          </w:p>
        </w:tc>
        <w:tc>
          <w:tcPr>
            <w:tcW w:w="283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青岛飞熊领鲜科技有限公司</w:t>
            </w:r>
          </w:p>
        </w:tc>
        <w:tc>
          <w:tcPr>
            <w:tcW w:w="198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24,411,363.73</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6,091,876.10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09"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应付账款</w:t>
            </w:r>
          </w:p>
        </w:tc>
        <w:tc>
          <w:tcPr>
            <w:tcW w:w="283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青岛联合友和食品有限公司</w:t>
            </w:r>
          </w:p>
        </w:tc>
        <w:tc>
          <w:tcPr>
            <w:tcW w:w="198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4,643,585.45</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4,718,411.59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09"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应付账款</w:t>
            </w:r>
          </w:p>
        </w:tc>
        <w:tc>
          <w:tcPr>
            <w:tcW w:w="283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青岛优尼特尚品食品有限公司</w:t>
            </w:r>
          </w:p>
        </w:tc>
        <w:tc>
          <w:tcPr>
            <w:tcW w:w="198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12,155.96</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3,155.96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09"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应付账款</w:t>
            </w:r>
          </w:p>
        </w:tc>
        <w:tc>
          <w:tcPr>
            <w:tcW w:w="283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四川远鸿物业管理有限公司温江分公司</w:t>
            </w:r>
          </w:p>
        </w:tc>
        <w:tc>
          <w:tcPr>
            <w:tcW w:w="198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2,324.45</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2,324.45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09"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应付账款</w:t>
            </w:r>
          </w:p>
        </w:tc>
        <w:tc>
          <w:tcPr>
            <w:tcW w:w="283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牧原食品股份有限公司</w:t>
            </w:r>
          </w:p>
        </w:tc>
        <w:tc>
          <w:tcPr>
            <w:tcW w:w="198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1,199,519.29</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161,604.56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09"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应付账款</w:t>
            </w:r>
          </w:p>
        </w:tc>
        <w:tc>
          <w:tcPr>
            <w:tcW w:w="283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青岛全澳供应链科技股份有限公司</w:t>
            </w:r>
          </w:p>
        </w:tc>
        <w:tc>
          <w:tcPr>
            <w:tcW w:w="198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18,952,438.64</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09"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应付票据</w:t>
            </w:r>
          </w:p>
        </w:tc>
        <w:tc>
          <w:tcPr>
            <w:tcW w:w="283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牧原食品股份有限公司</w:t>
            </w:r>
          </w:p>
        </w:tc>
        <w:tc>
          <w:tcPr>
            <w:tcW w:w="198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60,000,000.00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09"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应付票据</w:t>
            </w:r>
          </w:p>
        </w:tc>
        <w:tc>
          <w:tcPr>
            <w:tcW w:w="283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青岛飞熊领鲜科技有限公司</w:t>
            </w:r>
          </w:p>
        </w:tc>
        <w:tc>
          <w:tcPr>
            <w:tcW w:w="198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180,000,000.00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09"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租赁负债</w:t>
            </w:r>
          </w:p>
        </w:tc>
        <w:tc>
          <w:tcPr>
            <w:tcW w:w="283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成都润家商业管理有限公司</w:t>
            </w:r>
          </w:p>
        </w:tc>
        <w:tc>
          <w:tcPr>
            <w:tcW w:w="198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4,414,331.50</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2,873,340.67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09"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合同负债</w:t>
            </w:r>
          </w:p>
        </w:tc>
        <w:tc>
          <w:tcPr>
            <w:tcW w:w="283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青岛飞熊领鲜科技有限公司</w:t>
            </w:r>
          </w:p>
        </w:tc>
        <w:tc>
          <w:tcPr>
            <w:tcW w:w="198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1,955,888.50</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1,055,347.91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09"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合同负债</w:t>
            </w:r>
          </w:p>
        </w:tc>
        <w:tc>
          <w:tcPr>
            <w:tcW w:w="283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青岛优尼特尚品食品有限公司</w:t>
            </w:r>
          </w:p>
        </w:tc>
        <w:tc>
          <w:tcPr>
            <w:tcW w:w="198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544,392.66</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09"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合同负债</w:t>
            </w:r>
          </w:p>
        </w:tc>
        <w:tc>
          <w:tcPr>
            <w:tcW w:w="283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青岛全澳供应链科技股份有限公司</w:t>
            </w:r>
          </w:p>
        </w:tc>
        <w:tc>
          <w:tcPr>
            <w:tcW w:w="198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4,519.22</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4,519.22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09"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合同负债</w:t>
            </w:r>
          </w:p>
        </w:tc>
        <w:tc>
          <w:tcPr>
            <w:tcW w:w="283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青岛联合友和食品有限公司</w:t>
            </w:r>
          </w:p>
        </w:tc>
        <w:tc>
          <w:tcPr>
            <w:tcW w:w="198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2,276.48</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1,197.58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09"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合同负债</w:t>
            </w:r>
          </w:p>
        </w:tc>
        <w:tc>
          <w:tcPr>
            <w:tcW w:w="283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四川远鸿物业管理有限公司温江分公司</w:t>
            </w:r>
          </w:p>
        </w:tc>
        <w:tc>
          <w:tcPr>
            <w:tcW w:w="198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816.51</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09"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合同负债</w:t>
            </w:r>
          </w:p>
        </w:tc>
        <w:tc>
          <w:tcPr>
            <w:tcW w:w="283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成都璞悦酒店管理有限公司</w:t>
            </w:r>
          </w:p>
        </w:tc>
        <w:tc>
          <w:tcPr>
            <w:tcW w:w="1984"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0.72</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bl>
    <w:p>
      <w:pPr>
        <w:pStyle w:val="3"/>
        <w:spacing w:line="280" w:lineRule="exact"/>
        <w:jc w:val="left"/>
        <w:rPr>
          <w:rFonts w:ascii="Times New Roman" w:hAnsi="Times New Roman" w:cs="Times New Roman"/>
          <w:b/>
          <w:bCs/>
        </w:rPr>
      </w:pPr>
      <w:bookmarkStart w:id="440" w:name="_Toc989325"/>
      <w:r>
        <w:rPr>
          <w:rFonts w:ascii="Times New Roman" w:hAnsi="Times New Roman" w:cs="Times New Roman"/>
          <w:b/>
          <w:bCs/>
        </w:rPr>
        <w:t>7、关联方承诺</w:t>
      </w:r>
      <w:bookmarkEnd w:id="440"/>
    </w:p>
    <w:p>
      <w:pPr>
        <w:rPr>
          <w:rFonts w:ascii="Times New Roman" w:hAnsi="Times New Roman" w:cs="Times New Roman"/>
        </w:rPr>
      </w:pPr>
    </w:p>
    <w:p>
      <w:pPr>
        <w:pStyle w:val="3"/>
        <w:spacing w:line="280" w:lineRule="exact"/>
        <w:jc w:val="left"/>
        <w:rPr>
          <w:rFonts w:ascii="Times New Roman" w:hAnsi="Times New Roman" w:cs="Times New Roman"/>
          <w:b/>
          <w:bCs/>
        </w:rPr>
      </w:pPr>
      <w:bookmarkStart w:id="441" w:name="_Toc989326"/>
      <w:r>
        <w:rPr>
          <w:rFonts w:ascii="Times New Roman" w:hAnsi="Times New Roman" w:cs="Times New Roman"/>
          <w:b/>
          <w:bCs/>
        </w:rPr>
        <w:t>8、其他</w:t>
      </w:r>
      <w:bookmarkEnd w:id="441"/>
    </w:p>
    <w:p>
      <w:pPr>
        <w:rPr>
          <w:rFonts w:ascii="Times New Roman" w:hAnsi="Times New Roman" w:cs="Times New Roman"/>
        </w:rPr>
      </w:pPr>
    </w:p>
    <w:p>
      <w:pPr>
        <w:pStyle w:val="2"/>
        <w:spacing w:before="300" w:after="300" w:line="320" w:lineRule="exact"/>
        <w:rPr>
          <w:rFonts w:ascii="Times New Roman" w:hAnsi="Times New Roman" w:eastAsia="宋体" w:cs="Times New Roman"/>
          <w:b/>
          <w:bCs/>
          <w:sz w:val="24"/>
          <w:szCs w:val="24"/>
        </w:rPr>
      </w:pPr>
      <w:bookmarkStart w:id="442" w:name="_Toc989327"/>
      <w:r>
        <w:rPr>
          <w:rFonts w:ascii="Times New Roman" w:hAnsi="Times New Roman" w:eastAsia="宋体" w:cs="Times New Roman"/>
          <w:b/>
          <w:bCs/>
          <w:sz w:val="24"/>
          <w:szCs w:val="24"/>
        </w:rPr>
        <w:t>十三、股份支付</w:t>
      </w:r>
      <w:bookmarkEnd w:id="442"/>
    </w:p>
    <w:p>
      <w:pPr>
        <w:pStyle w:val="3"/>
        <w:spacing w:line="280" w:lineRule="exact"/>
        <w:jc w:val="left"/>
        <w:rPr>
          <w:rFonts w:ascii="Times New Roman" w:hAnsi="Times New Roman" w:cs="Times New Roman"/>
          <w:b/>
          <w:bCs/>
        </w:rPr>
      </w:pPr>
      <w:bookmarkStart w:id="443" w:name="_Toc989328"/>
      <w:r>
        <w:rPr>
          <w:rFonts w:ascii="Times New Roman" w:hAnsi="Times New Roman" w:cs="Times New Roman"/>
          <w:b/>
          <w:bCs/>
        </w:rPr>
        <w:t>1、股份支付总体情况</w:t>
      </w:r>
      <w:bookmarkEnd w:id="443"/>
    </w:p>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适用 □不适用</w:t>
      </w:r>
    </w:p>
    <w:p>
      <w:pPr>
        <w:spacing w:before="120" w:after="12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1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公司本期授予的各项权益工具总额</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公司本期行权的各项权益工具总额</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30,872.00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公司本期失效的各项权益工具总额</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公司期末发行在外的股票期权行权价格的范围和合同剩余期限</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授予日为2019年12月2日的激励对象取得的股票期权自授予登记完成之日起12/24/36个月后的首个交易日起至授予完成之日起24/36/48个月内的最后一个交易日当日止可分别行权占其获授总数40%、30%、30%的股票。行权价格为7.169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公司期末发行在外的其他权益工具行权价格的范围和合同剩余期限</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授予日为2019年12月2日的激励对象取得的限制性股票在授予后即行锁定。激励对象持有的限制性股票分三次解锁，即各个解锁期满后激励对象可分别解锁（或由公司回购注销）占其获授总数40%、30%、30%的限制性股票。授予价格为6.93元/股。</w:t>
            </w:r>
          </w:p>
        </w:tc>
      </w:tr>
    </w:tbl>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其他说明</w:t>
      </w:r>
    </w:p>
    <w:p>
      <w:pPr>
        <w:pStyle w:val="8"/>
        <w:rPr>
          <w:rFonts w:ascii="Times New Roman" w:hAnsi="Times New Roman" w:cs="Times New Roman"/>
          <w:sz w:val="18"/>
          <w:szCs w:val="18"/>
        </w:rPr>
      </w:pPr>
      <w:r>
        <w:rPr>
          <w:rFonts w:ascii="Times New Roman" w:hAnsi="Times New Roman" w:cs="Times New Roman"/>
          <w:sz w:val="18"/>
          <w:szCs w:val="18"/>
        </w:rPr>
        <w:t>无</w:t>
      </w:r>
    </w:p>
    <w:p>
      <w:pPr>
        <w:pStyle w:val="3"/>
        <w:spacing w:line="280" w:lineRule="exact"/>
        <w:jc w:val="left"/>
        <w:rPr>
          <w:rFonts w:ascii="Times New Roman" w:hAnsi="Times New Roman" w:cs="Times New Roman"/>
          <w:b/>
          <w:bCs/>
        </w:rPr>
      </w:pPr>
      <w:bookmarkStart w:id="444" w:name="_Toc989329"/>
      <w:r>
        <w:rPr>
          <w:rFonts w:ascii="Times New Roman" w:hAnsi="Times New Roman" w:cs="Times New Roman"/>
          <w:b/>
          <w:bCs/>
        </w:rPr>
        <w:t>2、以权益结算的股份支付情况</w:t>
      </w:r>
      <w:bookmarkEnd w:id="444"/>
    </w:p>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适用 □不适用</w:t>
      </w:r>
    </w:p>
    <w:p>
      <w:pPr>
        <w:spacing w:before="120" w:after="12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1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授予日权益工具公允价值的确定方法</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限制性股权激励按照授予日股票收盘价格确定/期权公允价值按照布莱克-斯科尔斯模型计算</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可行权权益工具数量的确定依据</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实际授予激励对象的转增后总份额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本期估计与上期估计有重大差异的原因</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以权益结算的股份支付计入资本公积的累计金额</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41,989,720.05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本期以权益结算的股份支付确认的费用总额</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r>
    </w:tbl>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其他说明</w:t>
      </w:r>
    </w:p>
    <w:p>
      <w:pPr>
        <w:rPr>
          <w:rFonts w:ascii="Times New Roman" w:hAnsi="Times New Roman" w:cs="Times New Roman"/>
        </w:rPr>
      </w:pPr>
    </w:p>
    <w:p>
      <w:pPr>
        <w:pStyle w:val="3"/>
        <w:spacing w:line="280" w:lineRule="exact"/>
        <w:jc w:val="left"/>
        <w:rPr>
          <w:rFonts w:ascii="Times New Roman" w:hAnsi="Times New Roman" w:cs="Times New Roman"/>
          <w:b/>
          <w:bCs/>
        </w:rPr>
      </w:pPr>
      <w:bookmarkStart w:id="445" w:name="_Toc989330"/>
      <w:r>
        <w:rPr>
          <w:rFonts w:ascii="Times New Roman" w:hAnsi="Times New Roman" w:cs="Times New Roman"/>
          <w:b/>
          <w:bCs/>
        </w:rPr>
        <w:t>3、以现金结算的股份支付情况</w:t>
      </w:r>
      <w:bookmarkEnd w:id="445"/>
    </w:p>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 xml:space="preserve">□适用 </w:t>
      </w: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不适用</w:t>
      </w:r>
    </w:p>
    <w:p>
      <w:pPr>
        <w:pStyle w:val="3"/>
        <w:spacing w:line="280" w:lineRule="exact"/>
        <w:jc w:val="left"/>
        <w:rPr>
          <w:rFonts w:ascii="Times New Roman" w:hAnsi="Times New Roman" w:cs="Times New Roman"/>
          <w:b/>
          <w:bCs/>
        </w:rPr>
      </w:pPr>
      <w:bookmarkStart w:id="446" w:name="_Toc989331"/>
      <w:r>
        <w:rPr>
          <w:rFonts w:ascii="Times New Roman" w:hAnsi="Times New Roman" w:cs="Times New Roman"/>
          <w:b/>
          <w:bCs/>
        </w:rPr>
        <w:t>4、股份支付的修改、终止情况</w:t>
      </w:r>
      <w:bookmarkEnd w:id="446"/>
    </w:p>
    <w:p>
      <w:pPr>
        <w:pStyle w:val="8"/>
        <w:rPr>
          <w:rFonts w:ascii="Times New Roman" w:hAnsi="Times New Roman" w:cs="Times New Roman"/>
          <w:sz w:val="18"/>
          <w:szCs w:val="18"/>
        </w:rPr>
      </w:pPr>
      <w:r>
        <w:rPr>
          <w:rFonts w:ascii="Times New Roman" w:hAnsi="Times New Roman" w:cs="Times New Roman"/>
          <w:sz w:val="18"/>
          <w:szCs w:val="18"/>
        </w:rPr>
        <w:t>无</w:t>
      </w:r>
    </w:p>
    <w:p>
      <w:pPr>
        <w:pStyle w:val="3"/>
        <w:spacing w:line="280" w:lineRule="exact"/>
        <w:jc w:val="left"/>
        <w:rPr>
          <w:rFonts w:ascii="Times New Roman" w:hAnsi="Times New Roman" w:cs="Times New Roman"/>
          <w:b/>
          <w:bCs/>
        </w:rPr>
      </w:pPr>
      <w:bookmarkStart w:id="447" w:name="_Toc989332"/>
      <w:r>
        <w:rPr>
          <w:rFonts w:ascii="Times New Roman" w:hAnsi="Times New Roman" w:cs="Times New Roman"/>
          <w:b/>
          <w:bCs/>
        </w:rPr>
        <w:t xml:space="preserve">5、其他 </w:t>
      </w:r>
      <w:bookmarkEnd w:id="447"/>
    </w:p>
    <w:p>
      <w:pPr>
        <w:pStyle w:val="8"/>
        <w:rPr>
          <w:rFonts w:ascii="Times New Roman" w:hAnsi="Times New Roman" w:cs="Times New Roman"/>
          <w:sz w:val="18"/>
          <w:szCs w:val="18"/>
        </w:rPr>
      </w:pPr>
      <w:r>
        <w:rPr>
          <w:rFonts w:ascii="Times New Roman" w:hAnsi="Times New Roman" w:cs="Times New Roman"/>
          <w:sz w:val="18"/>
          <w:szCs w:val="18"/>
        </w:rPr>
        <w:t>无</w:t>
      </w:r>
    </w:p>
    <w:p>
      <w:pPr>
        <w:pStyle w:val="2"/>
        <w:spacing w:before="300" w:after="300" w:line="320" w:lineRule="exact"/>
        <w:rPr>
          <w:rFonts w:ascii="Times New Roman" w:hAnsi="Times New Roman" w:eastAsia="宋体" w:cs="Times New Roman"/>
          <w:b/>
          <w:bCs/>
          <w:sz w:val="24"/>
          <w:szCs w:val="24"/>
        </w:rPr>
      </w:pPr>
      <w:bookmarkStart w:id="448" w:name="_Toc989333"/>
      <w:r>
        <w:rPr>
          <w:rFonts w:ascii="Times New Roman" w:hAnsi="Times New Roman" w:eastAsia="宋体" w:cs="Times New Roman"/>
          <w:b/>
          <w:bCs/>
          <w:sz w:val="24"/>
          <w:szCs w:val="24"/>
        </w:rPr>
        <w:t>十四、承诺及或有事项</w:t>
      </w:r>
      <w:bookmarkEnd w:id="448"/>
    </w:p>
    <w:p>
      <w:pPr>
        <w:pStyle w:val="3"/>
        <w:spacing w:line="280" w:lineRule="exact"/>
        <w:jc w:val="left"/>
        <w:rPr>
          <w:rFonts w:ascii="Times New Roman" w:hAnsi="Times New Roman" w:cs="Times New Roman"/>
          <w:b/>
          <w:bCs/>
        </w:rPr>
      </w:pPr>
      <w:bookmarkStart w:id="449" w:name="_Toc989334"/>
      <w:r>
        <w:rPr>
          <w:rFonts w:ascii="Times New Roman" w:hAnsi="Times New Roman" w:cs="Times New Roman"/>
          <w:b/>
          <w:bCs/>
        </w:rPr>
        <w:t>1、重要承诺事项</w:t>
      </w:r>
      <w:bookmarkEnd w:id="449"/>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资产负债表日存在的重要承诺</w:t>
      </w:r>
    </w:p>
    <w:p>
      <w:pPr>
        <w:rPr>
          <w:rFonts w:ascii="Times New Roman" w:hAnsi="Times New Roman" w:cs="Times New Roman"/>
        </w:rPr>
      </w:pPr>
    </w:p>
    <w:p>
      <w:pPr>
        <w:pStyle w:val="3"/>
        <w:spacing w:line="280" w:lineRule="exact"/>
        <w:jc w:val="left"/>
        <w:rPr>
          <w:rFonts w:ascii="Times New Roman" w:hAnsi="Times New Roman" w:cs="Times New Roman"/>
          <w:b/>
          <w:bCs/>
        </w:rPr>
      </w:pPr>
      <w:bookmarkStart w:id="450" w:name="_Toc989335"/>
      <w:r>
        <w:rPr>
          <w:rFonts w:ascii="Times New Roman" w:hAnsi="Times New Roman" w:cs="Times New Roman"/>
          <w:b/>
          <w:bCs/>
        </w:rPr>
        <w:t>2、或有事项</w:t>
      </w:r>
      <w:bookmarkEnd w:id="450"/>
    </w:p>
    <w:p>
      <w:pPr>
        <w:keepNext/>
        <w:keepLines/>
        <w:spacing w:before="300" w:after="300" w:line="280" w:lineRule="exact"/>
        <w:outlineLvl w:val="3"/>
        <w:rPr>
          <w:rFonts w:ascii="Times New Roman" w:hAnsi="Times New Roman" w:eastAsia="宋体" w:cs="Times New Roman"/>
          <w:b/>
          <w:bCs/>
          <w:szCs w:val="21"/>
        </w:rPr>
      </w:pPr>
      <w:bookmarkStart w:id="451" w:name="_Toc989336"/>
      <w:r>
        <w:rPr>
          <w:rFonts w:ascii="Times New Roman" w:hAnsi="Times New Roman" w:eastAsia="宋体" w:cs="Times New Roman"/>
          <w:b/>
          <w:bCs/>
          <w:szCs w:val="21"/>
        </w:rPr>
        <w:t>（1） 资产负债表日存在的重要或有事项</w:t>
      </w:r>
      <w:bookmarkEnd w:id="451"/>
    </w:p>
    <w:p>
      <w:pPr>
        <w:rPr>
          <w:rFonts w:ascii="Times New Roman" w:hAnsi="Times New Roman" w:cs="Times New Roman"/>
        </w:rPr>
      </w:pPr>
    </w:p>
    <w:p>
      <w:pPr>
        <w:keepNext/>
        <w:keepLines/>
        <w:spacing w:before="300" w:after="300" w:line="280" w:lineRule="exact"/>
        <w:outlineLvl w:val="3"/>
        <w:rPr>
          <w:rFonts w:ascii="Times New Roman" w:hAnsi="Times New Roman" w:eastAsia="宋体" w:cs="Times New Roman"/>
          <w:b/>
          <w:bCs/>
          <w:szCs w:val="21"/>
        </w:rPr>
      </w:pPr>
      <w:bookmarkStart w:id="452" w:name="_Toc989337"/>
      <w:r>
        <w:rPr>
          <w:rFonts w:ascii="Times New Roman" w:hAnsi="Times New Roman" w:eastAsia="宋体" w:cs="Times New Roman"/>
          <w:b/>
          <w:bCs/>
          <w:szCs w:val="21"/>
        </w:rPr>
        <w:t>（2） 公司没有需要披露的重要或有事项，也应予以说明</w:t>
      </w:r>
      <w:bookmarkEnd w:id="452"/>
    </w:p>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公司不存在需要披露的重要或有事项。</w:t>
      </w:r>
    </w:p>
    <w:p>
      <w:pPr>
        <w:pStyle w:val="3"/>
        <w:spacing w:line="280" w:lineRule="exact"/>
        <w:jc w:val="left"/>
        <w:rPr>
          <w:rFonts w:ascii="Times New Roman" w:hAnsi="Times New Roman" w:cs="Times New Roman"/>
          <w:b/>
          <w:bCs/>
        </w:rPr>
      </w:pPr>
      <w:bookmarkStart w:id="453" w:name="_Toc989338"/>
      <w:r>
        <w:rPr>
          <w:rFonts w:ascii="Times New Roman" w:hAnsi="Times New Roman" w:cs="Times New Roman"/>
          <w:b/>
          <w:bCs/>
        </w:rPr>
        <w:t>3、其他</w:t>
      </w:r>
      <w:bookmarkEnd w:id="453"/>
    </w:p>
    <w:p>
      <w:pPr>
        <w:rPr>
          <w:rFonts w:ascii="Times New Roman" w:hAnsi="Times New Roman" w:cs="Times New Roman"/>
        </w:rPr>
      </w:pPr>
    </w:p>
    <w:p>
      <w:pPr>
        <w:pStyle w:val="2"/>
        <w:spacing w:before="300" w:after="300" w:line="320" w:lineRule="exact"/>
        <w:rPr>
          <w:rFonts w:ascii="Times New Roman" w:hAnsi="Times New Roman" w:eastAsia="宋体" w:cs="Times New Roman"/>
          <w:b/>
          <w:bCs/>
          <w:sz w:val="24"/>
          <w:szCs w:val="24"/>
        </w:rPr>
      </w:pPr>
      <w:bookmarkStart w:id="454" w:name="_Toc989339"/>
      <w:r>
        <w:rPr>
          <w:rFonts w:ascii="Times New Roman" w:hAnsi="Times New Roman" w:eastAsia="宋体" w:cs="Times New Roman"/>
          <w:b/>
          <w:bCs/>
          <w:sz w:val="24"/>
          <w:szCs w:val="24"/>
        </w:rPr>
        <w:t>十五、资产负债表日后事项</w:t>
      </w:r>
      <w:bookmarkEnd w:id="454"/>
    </w:p>
    <w:p>
      <w:pPr>
        <w:pStyle w:val="3"/>
        <w:spacing w:line="280" w:lineRule="exact"/>
        <w:jc w:val="left"/>
        <w:rPr>
          <w:rFonts w:ascii="Times New Roman" w:hAnsi="Times New Roman" w:cs="Times New Roman"/>
          <w:b/>
          <w:bCs/>
        </w:rPr>
      </w:pPr>
      <w:bookmarkStart w:id="455" w:name="_Toc989340"/>
      <w:r>
        <w:rPr>
          <w:rFonts w:ascii="Times New Roman" w:hAnsi="Times New Roman" w:cs="Times New Roman"/>
          <w:b/>
          <w:bCs/>
        </w:rPr>
        <w:t>1、重要的非调整事项</w:t>
      </w:r>
      <w:bookmarkEnd w:id="455"/>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09"/>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内容</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对财务状况和经营成果的影响数</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无法估计影响数的原因</w:t>
            </w:r>
          </w:p>
        </w:tc>
      </w:tr>
    </w:tbl>
    <w:p>
      <w:pPr>
        <w:pStyle w:val="3"/>
        <w:spacing w:line="280" w:lineRule="exact"/>
        <w:jc w:val="left"/>
        <w:rPr>
          <w:rFonts w:ascii="Times New Roman" w:hAnsi="Times New Roman" w:cs="Times New Roman"/>
          <w:b/>
          <w:bCs/>
        </w:rPr>
      </w:pPr>
      <w:bookmarkStart w:id="456" w:name="_Toc989341"/>
      <w:r>
        <w:rPr>
          <w:rFonts w:ascii="Times New Roman" w:hAnsi="Times New Roman" w:cs="Times New Roman"/>
          <w:b/>
          <w:bCs/>
        </w:rPr>
        <w:t>2、利润分配情况</w:t>
      </w:r>
      <w:bookmarkEnd w:id="456"/>
    </w:p>
    <w:p>
      <w:pPr>
        <w:spacing w:line="0" w:lineRule="atLeast"/>
        <w:rPr>
          <w:rFonts w:ascii="Times New Roman" w:hAnsi="Times New Roman" w:cs="Times New Roman"/>
        </w:rPr>
      </w:pPr>
    </w:p>
    <w:p>
      <w:pPr>
        <w:pStyle w:val="3"/>
        <w:spacing w:line="280" w:lineRule="exact"/>
        <w:jc w:val="left"/>
        <w:rPr>
          <w:rFonts w:ascii="Times New Roman" w:hAnsi="Times New Roman" w:cs="Times New Roman"/>
          <w:b/>
          <w:bCs/>
        </w:rPr>
      </w:pPr>
      <w:bookmarkStart w:id="457" w:name="_Toc989342"/>
      <w:r>
        <w:rPr>
          <w:rFonts w:ascii="Times New Roman" w:hAnsi="Times New Roman" w:cs="Times New Roman"/>
          <w:b/>
          <w:bCs/>
        </w:rPr>
        <w:t>3、销售退回</w:t>
      </w:r>
      <w:bookmarkEnd w:id="457"/>
    </w:p>
    <w:p>
      <w:pPr>
        <w:rPr>
          <w:rFonts w:ascii="Times New Roman" w:hAnsi="Times New Roman" w:cs="Times New Roman"/>
        </w:rPr>
      </w:pPr>
    </w:p>
    <w:p>
      <w:pPr>
        <w:pStyle w:val="3"/>
        <w:spacing w:line="280" w:lineRule="exact"/>
        <w:jc w:val="left"/>
        <w:rPr>
          <w:rFonts w:ascii="Times New Roman" w:hAnsi="Times New Roman" w:cs="Times New Roman"/>
          <w:b/>
          <w:bCs/>
        </w:rPr>
      </w:pPr>
      <w:bookmarkStart w:id="458" w:name="_Toc989343"/>
      <w:r>
        <w:rPr>
          <w:rFonts w:ascii="Times New Roman" w:hAnsi="Times New Roman" w:cs="Times New Roman"/>
          <w:b/>
          <w:bCs/>
        </w:rPr>
        <w:t>4、其他资产负债表日后事项说明</w:t>
      </w:r>
      <w:bookmarkEnd w:id="458"/>
    </w:p>
    <w:p>
      <w:pPr>
        <w:rPr>
          <w:rFonts w:ascii="Times New Roman" w:hAnsi="Times New Roman" w:cs="Times New Roman"/>
        </w:rPr>
      </w:pPr>
    </w:p>
    <w:p>
      <w:pPr>
        <w:pStyle w:val="2"/>
        <w:spacing w:before="300" w:after="300" w:line="320" w:lineRule="exact"/>
        <w:rPr>
          <w:rFonts w:ascii="Times New Roman" w:hAnsi="Times New Roman" w:eastAsia="宋体" w:cs="Times New Roman"/>
          <w:b/>
          <w:bCs/>
          <w:sz w:val="24"/>
          <w:szCs w:val="24"/>
        </w:rPr>
      </w:pPr>
      <w:bookmarkStart w:id="459" w:name="_Toc989344"/>
      <w:r>
        <w:rPr>
          <w:rFonts w:ascii="Times New Roman" w:hAnsi="Times New Roman" w:eastAsia="宋体" w:cs="Times New Roman"/>
          <w:b/>
          <w:bCs/>
          <w:sz w:val="24"/>
          <w:szCs w:val="24"/>
        </w:rPr>
        <w:t>十六、其他重要事项</w:t>
      </w:r>
      <w:bookmarkEnd w:id="459"/>
    </w:p>
    <w:p>
      <w:pPr>
        <w:pStyle w:val="3"/>
        <w:spacing w:line="280" w:lineRule="exact"/>
        <w:jc w:val="left"/>
        <w:rPr>
          <w:rFonts w:ascii="Times New Roman" w:hAnsi="Times New Roman" w:cs="Times New Roman"/>
          <w:b/>
          <w:bCs/>
        </w:rPr>
      </w:pPr>
      <w:bookmarkStart w:id="460" w:name="_Toc989345"/>
      <w:r>
        <w:rPr>
          <w:rFonts w:ascii="Times New Roman" w:hAnsi="Times New Roman" w:cs="Times New Roman"/>
          <w:b/>
          <w:bCs/>
        </w:rPr>
        <w:t>1、前期会计差错更正</w:t>
      </w:r>
      <w:bookmarkEnd w:id="460"/>
    </w:p>
    <w:p>
      <w:pPr>
        <w:keepNext/>
        <w:keepLines/>
        <w:spacing w:before="300" w:after="300" w:line="280" w:lineRule="exact"/>
        <w:outlineLvl w:val="3"/>
        <w:rPr>
          <w:rFonts w:ascii="Times New Roman" w:hAnsi="Times New Roman" w:eastAsia="宋体" w:cs="Times New Roman"/>
          <w:b/>
          <w:bCs/>
          <w:szCs w:val="21"/>
        </w:rPr>
      </w:pPr>
      <w:bookmarkStart w:id="461" w:name="_Toc989346"/>
      <w:r>
        <w:rPr>
          <w:rFonts w:ascii="Times New Roman" w:hAnsi="Times New Roman" w:eastAsia="宋体" w:cs="Times New Roman"/>
          <w:b/>
          <w:bCs/>
          <w:szCs w:val="21"/>
        </w:rPr>
        <w:t>（1） 追溯重述法</w:t>
      </w:r>
      <w:bookmarkEnd w:id="461"/>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09"/>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会计差错更正的内容</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处理程序</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受影响的各个比较期间报表项目名称</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累积影响数</w:t>
            </w:r>
          </w:p>
        </w:tc>
      </w:tr>
    </w:tbl>
    <w:p>
      <w:pPr>
        <w:keepNext/>
        <w:keepLines/>
        <w:spacing w:before="300" w:after="300" w:line="280" w:lineRule="exact"/>
        <w:outlineLvl w:val="3"/>
        <w:rPr>
          <w:rFonts w:ascii="Times New Roman" w:hAnsi="Times New Roman" w:eastAsia="宋体" w:cs="Times New Roman"/>
          <w:b/>
          <w:bCs/>
          <w:szCs w:val="21"/>
        </w:rPr>
      </w:pPr>
      <w:bookmarkStart w:id="462" w:name="_Toc989347"/>
      <w:r>
        <w:rPr>
          <w:rFonts w:ascii="Times New Roman" w:hAnsi="Times New Roman" w:eastAsia="宋体" w:cs="Times New Roman"/>
          <w:b/>
          <w:bCs/>
          <w:szCs w:val="21"/>
        </w:rPr>
        <w:t>（2） 未来适用法</w:t>
      </w:r>
      <w:bookmarkEnd w:id="462"/>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会计差错更正的内容</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批准程序</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采用未来适用法的原因</w:t>
            </w:r>
          </w:p>
        </w:tc>
      </w:tr>
    </w:tbl>
    <w:p>
      <w:pPr>
        <w:pStyle w:val="3"/>
        <w:spacing w:line="280" w:lineRule="exact"/>
        <w:jc w:val="left"/>
        <w:rPr>
          <w:rFonts w:ascii="Times New Roman" w:hAnsi="Times New Roman" w:cs="Times New Roman"/>
          <w:b/>
          <w:bCs/>
        </w:rPr>
      </w:pPr>
      <w:bookmarkStart w:id="463" w:name="_Toc989348"/>
      <w:r>
        <w:rPr>
          <w:rFonts w:ascii="Times New Roman" w:hAnsi="Times New Roman" w:cs="Times New Roman"/>
          <w:b/>
          <w:bCs/>
        </w:rPr>
        <w:t>2、债务重组</w:t>
      </w:r>
      <w:bookmarkEnd w:id="463"/>
    </w:p>
    <w:p>
      <w:pPr>
        <w:rPr>
          <w:rFonts w:ascii="Times New Roman" w:hAnsi="Times New Roman" w:cs="Times New Roman"/>
        </w:rPr>
      </w:pPr>
    </w:p>
    <w:p>
      <w:pPr>
        <w:pStyle w:val="3"/>
        <w:spacing w:line="280" w:lineRule="exact"/>
        <w:jc w:val="left"/>
        <w:rPr>
          <w:rFonts w:ascii="Times New Roman" w:hAnsi="Times New Roman" w:cs="Times New Roman"/>
          <w:b/>
          <w:bCs/>
        </w:rPr>
      </w:pPr>
      <w:bookmarkStart w:id="464" w:name="_Toc989349"/>
      <w:r>
        <w:rPr>
          <w:rFonts w:ascii="Times New Roman" w:hAnsi="Times New Roman" w:cs="Times New Roman"/>
          <w:b/>
          <w:bCs/>
        </w:rPr>
        <w:t>3、资产置换</w:t>
      </w:r>
      <w:bookmarkEnd w:id="464"/>
    </w:p>
    <w:p>
      <w:pPr>
        <w:keepNext/>
        <w:keepLines/>
        <w:spacing w:before="300" w:after="300" w:line="280" w:lineRule="exact"/>
        <w:outlineLvl w:val="3"/>
        <w:rPr>
          <w:rFonts w:ascii="Times New Roman" w:hAnsi="Times New Roman" w:eastAsia="宋体" w:cs="Times New Roman"/>
          <w:b/>
          <w:bCs/>
          <w:szCs w:val="21"/>
        </w:rPr>
      </w:pPr>
      <w:bookmarkStart w:id="465" w:name="_Toc989350"/>
      <w:r>
        <w:rPr>
          <w:rFonts w:ascii="Times New Roman" w:hAnsi="Times New Roman" w:eastAsia="宋体" w:cs="Times New Roman"/>
          <w:b/>
          <w:bCs/>
          <w:szCs w:val="21"/>
        </w:rPr>
        <w:t>（1） 非货币性资产交换</w:t>
      </w:r>
      <w:bookmarkEnd w:id="465"/>
    </w:p>
    <w:p>
      <w:pPr>
        <w:rPr>
          <w:rFonts w:ascii="Times New Roman" w:hAnsi="Times New Roman" w:cs="Times New Roman"/>
        </w:rPr>
      </w:pPr>
    </w:p>
    <w:p>
      <w:pPr>
        <w:keepNext/>
        <w:keepLines/>
        <w:spacing w:before="300" w:after="300" w:line="280" w:lineRule="exact"/>
        <w:outlineLvl w:val="3"/>
        <w:rPr>
          <w:rFonts w:ascii="Times New Roman" w:hAnsi="Times New Roman" w:eastAsia="宋体" w:cs="Times New Roman"/>
          <w:b/>
          <w:bCs/>
          <w:szCs w:val="21"/>
        </w:rPr>
      </w:pPr>
      <w:bookmarkStart w:id="466" w:name="_Toc989351"/>
      <w:r>
        <w:rPr>
          <w:rFonts w:ascii="Times New Roman" w:hAnsi="Times New Roman" w:eastAsia="宋体" w:cs="Times New Roman"/>
          <w:b/>
          <w:bCs/>
          <w:szCs w:val="21"/>
        </w:rPr>
        <w:t>（2） 其他资产置换</w:t>
      </w:r>
      <w:bookmarkEnd w:id="466"/>
    </w:p>
    <w:p>
      <w:pPr>
        <w:rPr>
          <w:rFonts w:ascii="Times New Roman" w:hAnsi="Times New Roman" w:cs="Times New Roman"/>
        </w:rPr>
      </w:pPr>
    </w:p>
    <w:p>
      <w:pPr>
        <w:pStyle w:val="3"/>
        <w:spacing w:line="280" w:lineRule="exact"/>
        <w:jc w:val="left"/>
        <w:rPr>
          <w:rFonts w:ascii="Times New Roman" w:hAnsi="Times New Roman" w:cs="Times New Roman"/>
          <w:b/>
          <w:bCs/>
        </w:rPr>
      </w:pPr>
      <w:bookmarkStart w:id="467" w:name="_Toc989352"/>
      <w:r>
        <w:rPr>
          <w:rFonts w:ascii="Times New Roman" w:hAnsi="Times New Roman" w:cs="Times New Roman"/>
          <w:b/>
          <w:bCs/>
        </w:rPr>
        <w:t>4、年金计划</w:t>
      </w:r>
      <w:bookmarkEnd w:id="467"/>
    </w:p>
    <w:p>
      <w:pPr>
        <w:rPr>
          <w:rFonts w:ascii="Times New Roman" w:hAnsi="Times New Roman" w:cs="Times New Roman"/>
        </w:rPr>
      </w:pPr>
    </w:p>
    <w:p>
      <w:pPr>
        <w:pStyle w:val="3"/>
        <w:spacing w:line="280" w:lineRule="exact"/>
        <w:jc w:val="left"/>
        <w:rPr>
          <w:rFonts w:ascii="Times New Roman" w:hAnsi="Times New Roman" w:cs="Times New Roman"/>
          <w:b/>
          <w:bCs/>
        </w:rPr>
      </w:pPr>
      <w:bookmarkStart w:id="468" w:name="_Toc989353"/>
      <w:r>
        <w:rPr>
          <w:rFonts w:ascii="Times New Roman" w:hAnsi="Times New Roman" w:cs="Times New Roman"/>
          <w:b/>
          <w:bCs/>
        </w:rPr>
        <w:t>5、终止经营</w:t>
      </w:r>
      <w:bookmarkEnd w:id="468"/>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收入</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费用</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利润总额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所得税费用</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净利润</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归属于母公司所有者的终止经营利润</w:t>
            </w:r>
          </w:p>
        </w:tc>
      </w:tr>
    </w:tbl>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其他说明</w:t>
      </w:r>
    </w:p>
    <w:p>
      <w:pPr>
        <w:rPr>
          <w:rFonts w:ascii="Times New Roman" w:hAnsi="Times New Roman" w:cs="Times New Roman"/>
        </w:rPr>
      </w:pPr>
    </w:p>
    <w:p>
      <w:pPr>
        <w:pStyle w:val="3"/>
        <w:spacing w:line="280" w:lineRule="exact"/>
        <w:jc w:val="left"/>
        <w:rPr>
          <w:rFonts w:ascii="Times New Roman" w:hAnsi="Times New Roman" w:cs="Times New Roman"/>
          <w:b/>
          <w:bCs/>
        </w:rPr>
      </w:pPr>
      <w:bookmarkStart w:id="469" w:name="_Toc989354"/>
      <w:r>
        <w:rPr>
          <w:rFonts w:ascii="Times New Roman" w:hAnsi="Times New Roman" w:cs="Times New Roman"/>
          <w:b/>
          <w:bCs/>
        </w:rPr>
        <w:t>6、分部信息</w:t>
      </w:r>
      <w:bookmarkEnd w:id="469"/>
    </w:p>
    <w:p>
      <w:pPr>
        <w:keepNext/>
        <w:keepLines/>
        <w:spacing w:before="300" w:after="300" w:line="280" w:lineRule="exact"/>
        <w:outlineLvl w:val="3"/>
        <w:rPr>
          <w:rFonts w:ascii="Times New Roman" w:hAnsi="Times New Roman" w:eastAsia="宋体" w:cs="Times New Roman"/>
          <w:b/>
          <w:bCs/>
          <w:szCs w:val="21"/>
        </w:rPr>
      </w:pPr>
      <w:bookmarkStart w:id="470" w:name="_Toc989355"/>
      <w:r>
        <w:rPr>
          <w:rFonts w:ascii="Times New Roman" w:hAnsi="Times New Roman" w:eastAsia="宋体" w:cs="Times New Roman"/>
          <w:b/>
          <w:bCs/>
          <w:szCs w:val="21"/>
        </w:rPr>
        <w:t>（1） 报告分部的确定依据与会计政策</w:t>
      </w:r>
      <w:bookmarkEnd w:id="470"/>
    </w:p>
    <w:p>
      <w:pPr>
        <w:rPr>
          <w:rFonts w:ascii="Times New Roman" w:hAnsi="Times New Roman" w:cs="Times New Roman"/>
        </w:rPr>
      </w:pPr>
    </w:p>
    <w:p>
      <w:pPr>
        <w:keepNext/>
        <w:keepLines/>
        <w:spacing w:before="300" w:after="300" w:line="280" w:lineRule="exact"/>
        <w:outlineLvl w:val="3"/>
        <w:rPr>
          <w:rFonts w:ascii="Times New Roman" w:hAnsi="Times New Roman" w:eastAsia="宋体" w:cs="Times New Roman"/>
          <w:b/>
          <w:bCs/>
          <w:szCs w:val="21"/>
        </w:rPr>
      </w:pPr>
      <w:bookmarkStart w:id="471" w:name="_Toc989356"/>
      <w:r>
        <w:rPr>
          <w:rFonts w:ascii="Times New Roman" w:hAnsi="Times New Roman" w:eastAsia="宋体" w:cs="Times New Roman"/>
          <w:b/>
          <w:bCs/>
          <w:szCs w:val="21"/>
        </w:rPr>
        <w:t>（2） 报告分部的财务信息</w:t>
      </w:r>
      <w:bookmarkEnd w:id="471"/>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09"/>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Times New Roman"/>
                <w:sz w:val="18"/>
                <w:szCs w:val="18"/>
              </w:rPr>
            </w:pP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分部间抵销</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bl>
    <w:p>
      <w:pPr>
        <w:keepNext/>
        <w:keepLines/>
        <w:spacing w:before="300" w:after="300" w:line="280" w:lineRule="exact"/>
        <w:outlineLvl w:val="3"/>
        <w:rPr>
          <w:rFonts w:ascii="Times New Roman" w:hAnsi="Times New Roman" w:eastAsia="宋体" w:cs="Times New Roman"/>
          <w:b/>
          <w:bCs/>
          <w:szCs w:val="21"/>
        </w:rPr>
      </w:pPr>
      <w:bookmarkStart w:id="472" w:name="_Toc989357"/>
      <w:r>
        <w:rPr>
          <w:rFonts w:ascii="Times New Roman" w:hAnsi="Times New Roman" w:eastAsia="宋体" w:cs="Times New Roman"/>
          <w:b/>
          <w:bCs/>
          <w:szCs w:val="21"/>
        </w:rPr>
        <w:t>（3） 公司无报告分部的，或者不能披露各报告分部的资产总额和负债总额的，应说明原因</w:t>
      </w:r>
      <w:bookmarkEnd w:id="472"/>
    </w:p>
    <w:p>
      <w:pPr>
        <w:rPr>
          <w:rFonts w:ascii="Times New Roman" w:hAnsi="Times New Roman" w:cs="Times New Roman"/>
        </w:rPr>
      </w:pPr>
    </w:p>
    <w:p>
      <w:pPr>
        <w:keepNext/>
        <w:keepLines/>
        <w:spacing w:before="300" w:after="300" w:line="280" w:lineRule="exact"/>
        <w:outlineLvl w:val="3"/>
        <w:rPr>
          <w:rFonts w:ascii="Times New Roman" w:hAnsi="Times New Roman" w:eastAsia="宋体" w:cs="Times New Roman"/>
          <w:b/>
          <w:bCs/>
          <w:szCs w:val="21"/>
        </w:rPr>
      </w:pPr>
      <w:bookmarkStart w:id="473" w:name="_Toc989358"/>
      <w:r>
        <w:rPr>
          <w:rFonts w:ascii="Times New Roman" w:hAnsi="Times New Roman" w:eastAsia="宋体" w:cs="Times New Roman"/>
          <w:b/>
          <w:bCs/>
          <w:szCs w:val="21"/>
        </w:rPr>
        <w:t>（4） 其他说明</w:t>
      </w:r>
      <w:bookmarkEnd w:id="473"/>
    </w:p>
    <w:p>
      <w:pPr>
        <w:rPr>
          <w:rFonts w:ascii="Times New Roman" w:hAnsi="Times New Roman" w:cs="Times New Roman"/>
        </w:rPr>
      </w:pPr>
    </w:p>
    <w:p>
      <w:pPr>
        <w:pStyle w:val="3"/>
        <w:spacing w:line="280" w:lineRule="exact"/>
        <w:jc w:val="left"/>
        <w:rPr>
          <w:rFonts w:ascii="Times New Roman" w:hAnsi="Times New Roman" w:cs="Times New Roman"/>
          <w:b/>
          <w:bCs/>
        </w:rPr>
      </w:pPr>
      <w:bookmarkStart w:id="474" w:name="_Toc989359"/>
      <w:r>
        <w:rPr>
          <w:rFonts w:ascii="Times New Roman" w:hAnsi="Times New Roman" w:cs="Times New Roman"/>
          <w:b/>
          <w:bCs/>
        </w:rPr>
        <w:t>7、其他对投资者决策有影响的重要交易和事项</w:t>
      </w:r>
      <w:bookmarkEnd w:id="474"/>
    </w:p>
    <w:p>
      <w:pPr>
        <w:rPr>
          <w:rFonts w:ascii="Times New Roman" w:hAnsi="Times New Roman" w:cs="Times New Roman"/>
        </w:rPr>
      </w:pPr>
    </w:p>
    <w:p>
      <w:pPr>
        <w:pStyle w:val="3"/>
        <w:spacing w:line="280" w:lineRule="exact"/>
        <w:jc w:val="left"/>
        <w:rPr>
          <w:rFonts w:ascii="Times New Roman" w:hAnsi="Times New Roman" w:cs="Times New Roman"/>
          <w:b/>
          <w:bCs/>
        </w:rPr>
      </w:pPr>
      <w:bookmarkStart w:id="475" w:name="_Toc989360"/>
      <w:r>
        <w:rPr>
          <w:rFonts w:ascii="Times New Roman" w:hAnsi="Times New Roman" w:cs="Times New Roman"/>
          <w:b/>
          <w:bCs/>
        </w:rPr>
        <w:t>8、其他</w:t>
      </w:r>
      <w:bookmarkEnd w:id="475"/>
    </w:p>
    <w:p>
      <w:pPr>
        <w:rPr>
          <w:rFonts w:ascii="Times New Roman" w:hAnsi="Times New Roman" w:cs="Times New Roman"/>
        </w:rPr>
      </w:pPr>
    </w:p>
    <w:p>
      <w:pPr>
        <w:pStyle w:val="2"/>
        <w:spacing w:before="300" w:after="300" w:line="320" w:lineRule="exact"/>
        <w:rPr>
          <w:rFonts w:ascii="Times New Roman" w:hAnsi="Times New Roman" w:eastAsia="宋体" w:cs="Times New Roman"/>
          <w:b/>
          <w:bCs/>
          <w:sz w:val="24"/>
          <w:szCs w:val="24"/>
        </w:rPr>
      </w:pPr>
      <w:bookmarkStart w:id="476" w:name="_Toc989361"/>
      <w:r>
        <w:rPr>
          <w:rFonts w:ascii="Times New Roman" w:hAnsi="Times New Roman" w:eastAsia="宋体" w:cs="Times New Roman"/>
          <w:b/>
          <w:bCs/>
          <w:sz w:val="24"/>
          <w:szCs w:val="24"/>
        </w:rPr>
        <w:t>十七、母公司财务报表主要项目注释</w:t>
      </w:r>
      <w:bookmarkEnd w:id="476"/>
    </w:p>
    <w:p>
      <w:pPr>
        <w:pStyle w:val="3"/>
        <w:spacing w:line="280" w:lineRule="exact"/>
        <w:jc w:val="left"/>
        <w:rPr>
          <w:rFonts w:ascii="Times New Roman" w:hAnsi="Times New Roman" w:cs="Times New Roman"/>
          <w:b/>
          <w:bCs/>
        </w:rPr>
      </w:pPr>
      <w:bookmarkStart w:id="477" w:name="_Toc989362"/>
      <w:r>
        <w:rPr>
          <w:rFonts w:ascii="Times New Roman" w:hAnsi="Times New Roman" w:cs="Times New Roman"/>
          <w:b/>
          <w:bCs/>
        </w:rPr>
        <w:t>1、应收账款</w:t>
      </w:r>
      <w:bookmarkEnd w:id="477"/>
    </w:p>
    <w:p>
      <w:pPr>
        <w:keepNext/>
        <w:keepLines/>
        <w:spacing w:before="300" w:after="300" w:line="280" w:lineRule="exact"/>
        <w:outlineLvl w:val="3"/>
        <w:rPr>
          <w:rFonts w:ascii="Times New Roman" w:hAnsi="Times New Roman" w:eastAsia="宋体" w:cs="Times New Roman"/>
          <w:b/>
          <w:bCs/>
          <w:szCs w:val="21"/>
        </w:rPr>
      </w:pPr>
      <w:bookmarkStart w:id="478" w:name="_Toc989363"/>
      <w:r>
        <w:rPr>
          <w:rFonts w:ascii="Times New Roman" w:hAnsi="Times New Roman" w:eastAsia="宋体" w:cs="Times New Roman"/>
          <w:b/>
          <w:bCs/>
          <w:szCs w:val="21"/>
        </w:rPr>
        <w:t>（1） 应收账款分类披露</w:t>
      </w:r>
      <w:bookmarkEnd w:id="478"/>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75"/>
        <w:gridCol w:w="876"/>
        <w:gridCol w:w="877"/>
        <w:gridCol w:w="876"/>
        <w:gridCol w:w="877"/>
        <w:gridCol w:w="876"/>
        <w:gridCol w:w="876"/>
        <w:gridCol w:w="877"/>
        <w:gridCol w:w="876"/>
        <w:gridCol w:w="877"/>
        <w:gridCol w:w="8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类别</w:t>
            </w:r>
          </w:p>
        </w:tc>
        <w:tc>
          <w:tcPr>
            <w:tcW w:w="4381"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期末余额</w:t>
            </w:r>
          </w:p>
        </w:tc>
        <w:tc>
          <w:tcPr>
            <w:tcW w:w="4381" w:type="dxa"/>
            <w:gridSpan w:val="5"/>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账面余额</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坏账准备</w:t>
            </w:r>
          </w:p>
        </w:tc>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账面价值</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账面余额</w:t>
            </w:r>
          </w:p>
        </w:tc>
        <w:tc>
          <w:tcPr>
            <w:tcW w:w="175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坏账准备</w:t>
            </w:r>
          </w:p>
        </w:tc>
        <w:tc>
          <w:tcPr>
            <w:tcW w:w="876"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账面价值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比例</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计提比例</w:t>
            </w:r>
          </w:p>
        </w:tc>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比例</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金额</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计提比例</w:t>
            </w:r>
          </w:p>
        </w:tc>
        <w:tc>
          <w:tcPr>
            <w:tcW w:w="876"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其中：</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按组合计提坏账准备的应收账款</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344,047,645.11</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100.00%</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6,427,314.85</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1.87%</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337,620,330.26</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412,528,902.10</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100.00%</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11,440,046.53</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2.77%</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401,088,855.57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180" w:firstLineChars="100"/>
              <w:rPr>
                <w:rFonts w:ascii="Times New Roman" w:hAnsi="Times New Roman" w:eastAsia="宋体" w:cs="Times New Roman"/>
                <w:sz w:val="18"/>
                <w:szCs w:val="18"/>
              </w:rPr>
            </w:pPr>
            <w:r>
              <w:rPr>
                <w:rFonts w:ascii="Times New Roman" w:hAnsi="Times New Roman" w:eastAsia="宋体" w:cs="Times New Roman"/>
                <w:sz w:val="18"/>
                <w:szCs w:val="18"/>
              </w:rPr>
              <w:t>其中：</w:t>
            </w: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合并范</w:t>
            </w:r>
          </w:p>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围内关</w:t>
            </w:r>
          </w:p>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联方款</w:t>
            </w:r>
          </w:p>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项组合</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80,267,633.18</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23.33%</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80,267,633.18</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59,610,123.52</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14.45%</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59,610,123.52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账龄组</w:t>
            </w:r>
          </w:p>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合</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263,780,011.93</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76.67%</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6,427,314.85</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2.44%</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257,352,697.08</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352,918,778.58</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85.55%</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11,440,046.53</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3.24%</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341,478,732.05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7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合计</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344,047,645.11</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100.00%</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6,427,314.85</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1.87%</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337,620,330.26</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412,528,902.10</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100.00%</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11,440,046.53</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2.77%</w:t>
            </w:r>
          </w:p>
        </w:tc>
        <w:tc>
          <w:tcPr>
            <w:tcW w:w="87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401,088,855.57</w:t>
            </w:r>
          </w:p>
        </w:tc>
      </w:tr>
    </w:tbl>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按组合计提坏账准备：1</w:t>
      </w:r>
    </w:p>
    <w:p>
      <w:pPr>
        <w:spacing w:before="120" w:after="12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09"/>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名称</w:t>
            </w:r>
          </w:p>
        </w:tc>
        <w:tc>
          <w:tcPr>
            <w:tcW w:w="7229"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账面余额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坏账准备</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计提比例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1-3 月</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234,188,504.93</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5,208,576.64</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2.25%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4-6 月</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18,203,848.59</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409,586.59</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2.25%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7-9 月</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8,105,762.49</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182,379.66</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2.25%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10- 12 月</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928,628.51</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20,894.14</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2.25%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1-2 年</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2,283,023.56</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570,755.89</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25.00%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2-3 年</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70,243.85</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35,121.93</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合计</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263,780,011.93</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6,427,314.85</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r>
    </w:tbl>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确定该组合依据的说明：</w:t>
      </w:r>
    </w:p>
    <w:p>
      <w:pPr>
        <w:rPr>
          <w:rFonts w:ascii="Times New Roman" w:hAnsi="Times New Roman" w:cs="Times New Roman"/>
        </w:rPr>
      </w:pP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如是按照预期信用损失一般模型计提应收账款坏账准备，请参照其他应收款的披露方式披露坏账准备的相关信息：</w:t>
      </w:r>
    </w:p>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 xml:space="preserve">□适用 </w:t>
      </w: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不适用</w:t>
      </w: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按账龄披露</w:t>
      </w:r>
    </w:p>
    <w:p>
      <w:pPr>
        <w:spacing w:before="120" w:after="12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1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账龄</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1年以内（含1年）</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309,362,771.81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1-3 月</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253,844,367.43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4-6 月</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35,070,683.35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7-9 月</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13,614,780.93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10- 12 月</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6,832,940.10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1至2年</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23,199,981.39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2至3年</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11,484,891.91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合计</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344,047,645.11</w:t>
            </w:r>
          </w:p>
        </w:tc>
      </w:tr>
    </w:tbl>
    <w:p>
      <w:pPr>
        <w:keepNext/>
        <w:keepLines/>
        <w:spacing w:before="300" w:after="300" w:line="280" w:lineRule="exact"/>
        <w:outlineLvl w:val="3"/>
        <w:rPr>
          <w:rFonts w:ascii="Times New Roman" w:hAnsi="Times New Roman" w:eastAsia="宋体" w:cs="Times New Roman"/>
          <w:b/>
          <w:bCs/>
          <w:szCs w:val="21"/>
        </w:rPr>
      </w:pPr>
      <w:bookmarkStart w:id="479" w:name="_Toc989364"/>
      <w:r>
        <w:rPr>
          <w:rFonts w:ascii="Times New Roman" w:hAnsi="Times New Roman" w:eastAsia="宋体" w:cs="Times New Roman"/>
          <w:b/>
          <w:bCs/>
          <w:szCs w:val="21"/>
        </w:rPr>
        <w:t>（2） 本期计提、收回或转回的坏账准备情况</w:t>
      </w:r>
      <w:bookmarkEnd w:id="479"/>
    </w:p>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本期计提坏账准备情况：</w:t>
      </w:r>
    </w:p>
    <w:p>
      <w:pPr>
        <w:spacing w:before="120" w:after="12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类别</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期初余额</w:t>
            </w:r>
          </w:p>
        </w:tc>
        <w:tc>
          <w:tcPr>
            <w:tcW w:w="5508"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本期变动金额</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计提</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收回或转回</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核销</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其他</w:t>
            </w: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应收账款</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11,440,046.53</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-5,012,731.68</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6,427,314.85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合计</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11,440,046.53</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-5,012,731.68</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6,427,314.85</w:t>
            </w:r>
          </w:p>
        </w:tc>
      </w:tr>
    </w:tbl>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其中本期坏账准备收回或转回金额重要的：</w:t>
      </w:r>
    </w:p>
    <w:p>
      <w:pPr>
        <w:spacing w:before="120" w:after="12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单位名称</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收回或转回金额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收回方式</w:t>
            </w:r>
          </w:p>
        </w:tc>
      </w:tr>
    </w:tbl>
    <w:p>
      <w:pPr>
        <w:spacing w:before="100" w:after="100" w:line="0" w:lineRule="atLeast"/>
        <w:rPr>
          <w:rFonts w:ascii="Times New Roman" w:hAnsi="Times New Roman" w:cs="Times New Roman"/>
        </w:rPr>
      </w:pPr>
    </w:p>
    <w:p>
      <w:pPr>
        <w:rPr>
          <w:rFonts w:ascii="Times New Roman" w:hAnsi="Times New Roman" w:cs="Times New Roman"/>
        </w:rPr>
      </w:pPr>
    </w:p>
    <w:p>
      <w:pPr>
        <w:keepNext/>
        <w:keepLines/>
        <w:spacing w:before="300" w:after="300" w:line="280" w:lineRule="exact"/>
        <w:outlineLvl w:val="3"/>
        <w:rPr>
          <w:rFonts w:ascii="Times New Roman" w:hAnsi="Times New Roman" w:eastAsia="宋体" w:cs="Times New Roman"/>
          <w:b/>
          <w:bCs/>
          <w:szCs w:val="21"/>
        </w:rPr>
      </w:pPr>
      <w:bookmarkStart w:id="480" w:name="_Toc989365"/>
      <w:r>
        <w:rPr>
          <w:rFonts w:ascii="Times New Roman" w:hAnsi="Times New Roman" w:eastAsia="宋体" w:cs="Times New Roman"/>
          <w:b/>
          <w:bCs/>
          <w:szCs w:val="21"/>
        </w:rPr>
        <w:t>（3） 本期实际核销的应收账款情况</w:t>
      </w:r>
      <w:bookmarkEnd w:id="480"/>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1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核销金额</w:t>
            </w:r>
          </w:p>
        </w:tc>
      </w:tr>
    </w:tbl>
    <w:p>
      <w:pPr>
        <w:spacing w:before="10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其中重要的应收账款核销情况：</w:t>
      </w:r>
    </w:p>
    <w:p>
      <w:pPr>
        <w:spacing w:before="120" w:after="12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7"/>
        <w:gridCol w:w="1607"/>
        <w:gridCol w:w="160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单位名称</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应收账款性质</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核销金额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核销原因</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履行的核销程序</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款项是否由关联交易产生</w:t>
            </w:r>
          </w:p>
        </w:tc>
      </w:tr>
    </w:tbl>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应收账款核销说明：</w:t>
      </w:r>
    </w:p>
    <w:p>
      <w:pPr>
        <w:rPr>
          <w:rFonts w:ascii="Times New Roman" w:hAnsi="Times New Roman" w:cs="Times New Roman"/>
        </w:rPr>
      </w:pPr>
    </w:p>
    <w:p>
      <w:pPr>
        <w:keepNext/>
        <w:keepLines/>
        <w:spacing w:before="300" w:after="300" w:line="280" w:lineRule="exact"/>
        <w:outlineLvl w:val="3"/>
        <w:rPr>
          <w:rFonts w:ascii="Times New Roman" w:hAnsi="Times New Roman" w:eastAsia="宋体" w:cs="Times New Roman"/>
          <w:b/>
          <w:bCs/>
          <w:szCs w:val="21"/>
        </w:rPr>
      </w:pPr>
      <w:bookmarkStart w:id="481" w:name="_Toc989366"/>
      <w:r>
        <w:rPr>
          <w:rFonts w:ascii="Times New Roman" w:hAnsi="Times New Roman" w:eastAsia="宋体" w:cs="Times New Roman"/>
          <w:b/>
          <w:bCs/>
          <w:szCs w:val="21"/>
        </w:rPr>
        <w:t>（4） 按欠款方归集的期末余额前五名的应收账款情况</w:t>
      </w:r>
      <w:bookmarkEnd w:id="481"/>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09"/>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单位名称</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应收账款期末余额</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占应收账款期末余额合计数的比例</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坏账准备期末余额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客户A</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29,230,036.41</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8.50%</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657,675.82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客户 B</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26,997,931.67</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7.85%</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客户 C</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24,148,171.47</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7.02%</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客户 D</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22,812,018.01</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6.63%</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513,270.41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客户 E</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16,621,973.73</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4.83%</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373,994.41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合计</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119,810,131.29</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34.83%</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r>
    </w:tbl>
    <w:p>
      <w:pPr>
        <w:keepNext/>
        <w:keepLines/>
        <w:spacing w:before="300" w:after="300" w:line="280" w:lineRule="exact"/>
        <w:outlineLvl w:val="3"/>
        <w:rPr>
          <w:rFonts w:ascii="Times New Roman" w:hAnsi="Times New Roman" w:eastAsia="宋体" w:cs="Times New Roman"/>
          <w:b/>
          <w:bCs/>
          <w:szCs w:val="21"/>
        </w:rPr>
      </w:pPr>
      <w:bookmarkStart w:id="482" w:name="_Toc989367"/>
      <w:r>
        <w:rPr>
          <w:rFonts w:ascii="Times New Roman" w:hAnsi="Times New Roman" w:eastAsia="宋体" w:cs="Times New Roman"/>
          <w:b/>
          <w:bCs/>
          <w:szCs w:val="21"/>
        </w:rPr>
        <w:t>（5） 因金融资产转移而终止确认的应收账款</w:t>
      </w:r>
      <w:bookmarkEnd w:id="482"/>
    </w:p>
    <w:p>
      <w:pPr>
        <w:pStyle w:val="8"/>
        <w:rPr>
          <w:rFonts w:ascii="Times New Roman" w:hAnsi="Times New Roman" w:cs="Times New Roman"/>
          <w:sz w:val="18"/>
          <w:szCs w:val="18"/>
        </w:rPr>
      </w:pPr>
      <w:r>
        <w:rPr>
          <w:rFonts w:ascii="Times New Roman" w:hAnsi="Times New Roman" w:cs="Times New Roman"/>
          <w:sz w:val="18"/>
          <w:szCs w:val="18"/>
        </w:rPr>
        <w:t>无</w:t>
      </w:r>
    </w:p>
    <w:p>
      <w:pPr>
        <w:keepNext/>
        <w:keepLines/>
        <w:spacing w:before="300" w:after="300" w:line="280" w:lineRule="exact"/>
        <w:outlineLvl w:val="3"/>
        <w:rPr>
          <w:rFonts w:ascii="Times New Roman" w:hAnsi="Times New Roman" w:eastAsia="宋体" w:cs="Times New Roman"/>
          <w:b/>
          <w:bCs/>
          <w:szCs w:val="21"/>
        </w:rPr>
      </w:pPr>
      <w:bookmarkStart w:id="483" w:name="_Toc989368"/>
      <w:r>
        <w:rPr>
          <w:rFonts w:ascii="Times New Roman" w:hAnsi="Times New Roman" w:eastAsia="宋体" w:cs="Times New Roman"/>
          <w:b/>
          <w:bCs/>
          <w:szCs w:val="21"/>
        </w:rPr>
        <w:t>（6） 转移应收账款且继续涉入形成的资产、负债金额</w:t>
      </w:r>
      <w:bookmarkEnd w:id="483"/>
    </w:p>
    <w:p>
      <w:pPr>
        <w:pStyle w:val="8"/>
        <w:rPr>
          <w:rFonts w:ascii="Times New Roman" w:hAnsi="Times New Roman" w:cs="Times New Roman"/>
          <w:sz w:val="18"/>
          <w:szCs w:val="18"/>
        </w:rPr>
      </w:pPr>
      <w:r>
        <w:rPr>
          <w:rFonts w:ascii="Times New Roman" w:hAnsi="Times New Roman" w:cs="Times New Roman"/>
          <w:sz w:val="18"/>
          <w:szCs w:val="18"/>
        </w:rPr>
        <w:t>无</w:t>
      </w: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其他说明：</w:t>
      </w:r>
    </w:p>
    <w:p>
      <w:pPr>
        <w:rPr>
          <w:rFonts w:ascii="Times New Roman" w:hAnsi="Times New Roman" w:cs="Times New Roman"/>
        </w:rPr>
      </w:pPr>
    </w:p>
    <w:p>
      <w:pPr>
        <w:pStyle w:val="3"/>
        <w:spacing w:line="280" w:lineRule="exact"/>
        <w:jc w:val="left"/>
        <w:rPr>
          <w:rFonts w:ascii="Times New Roman" w:hAnsi="Times New Roman" w:cs="Times New Roman"/>
          <w:b/>
          <w:bCs/>
        </w:rPr>
      </w:pPr>
      <w:bookmarkStart w:id="484" w:name="_Toc989369"/>
      <w:r>
        <w:rPr>
          <w:rFonts w:ascii="Times New Roman" w:hAnsi="Times New Roman" w:cs="Times New Roman"/>
          <w:b/>
          <w:bCs/>
        </w:rPr>
        <w:t>2、其他应收款</w:t>
      </w:r>
      <w:bookmarkEnd w:id="484"/>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其他应收款</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1,317,701,164.66</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1,275,606,011.35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1,317,701,164.66</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1,275,606,011.35</w:t>
            </w:r>
          </w:p>
        </w:tc>
      </w:tr>
    </w:tbl>
    <w:p>
      <w:pPr>
        <w:keepNext/>
        <w:keepLines/>
        <w:spacing w:before="300" w:after="300" w:line="280" w:lineRule="exact"/>
        <w:outlineLvl w:val="3"/>
        <w:rPr>
          <w:rFonts w:ascii="Times New Roman" w:hAnsi="Times New Roman" w:eastAsia="宋体" w:cs="Times New Roman"/>
          <w:b/>
          <w:bCs/>
          <w:sz w:val="18"/>
          <w:szCs w:val="18"/>
        </w:rPr>
      </w:pPr>
      <w:bookmarkStart w:id="485" w:name="_Toc989370"/>
      <w:r>
        <w:rPr>
          <w:rFonts w:ascii="Times New Roman" w:hAnsi="Times New Roman" w:eastAsia="宋体" w:cs="Times New Roman"/>
          <w:b/>
          <w:bCs/>
          <w:sz w:val="18"/>
          <w:szCs w:val="18"/>
        </w:rPr>
        <w:t>（1） 应收利息</w:t>
      </w:r>
      <w:bookmarkEnd w:id="485"/>
    </w:p>
    <w:p>
      <w:pPr>
        <w:keepNext/>
        <w:keepLines/>
        <w:spacing w:before="300" w:after="300" w:line="280" w:lineRule="exact"/>
        <w:outlineLvl w:val="4"/>
        <w:rPr>
          <w:rFonts w:ascii="Times New Roman" w:hAnsi="Times New Roman" w:eastAsia="宋体" w:cs="Times New Roman"/>
          <w:b/>
          <w:bCs/>
          <w:sz w:val="18"/>
          <w:szCs w:val="18"/>
        </w:rPr>
      </w:pPr>
      <w:bookmarkStart w:id="486" w:name="_Toc989371"/>
      <w:r>
        <w:rPr>
          <w:rFonts w:ascii="Times New Roman" w:hAnsi="Times New Roman" w:eastAsia="宋体" w:cs="Times New Roman"/>
          <w:b/>
          <w:bCs/>
          <w:sz w:val="18"/>
          <w:szCs w:val="18"/>
        </w:rPr>
        <w:t>1） 应收利息分类</w:t>
      </w:r>
      <w:bookmarkEnd w:id="486"/>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期初余额</w:t>
            </w:r>
          </w:p>
        </w:tc>
      </w:tr>
    </w:tbl>
    <w:p>
      <w:pPr>
        <w:keepNext/>
        <w:keepLines/>
        <w:spacing w:before="300" w:after="300" w:line="280" w:lineRule="exact"/>
        <w:outlineLvl w:val="4"/>
        <w:rPr>
          <w:rFonts w:ascii="Times New Roman" w:hAnsi="Times New Roman" w:eastAsia="宋体" w:cs="Times New Roman"/>
          <w:b/>
          <w:bCs/>
          <w:sz w:val="18"/>
          <w:szCs w:val="18"/>
        </w:rPr>
      </w:pPr>
      <w:bookmarkStart w:id="487" w:name="_Toc989372"/>
      <w:r>
        <w:rPr>
          <w:rFonts w:ascii="Times New Roman" w:hAnsi="Times New Roman" w:eastAsia="宋体" w:cs="Times New Roman"/>
          <w:b/>
          <w:bCs/>
          <w:sz w:val="18"/>
          <w:szCs w:val="18"/>
        </w:rPr>
        <w:t>2） 重要逾期利息</w:t>
      </w:r>
      <w:bookmarkEnd w:id="487"/>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7"/>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借款单位</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期末余额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逾期时间</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逾期原因</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是否发生减值及其判断依据</w:t>
            </w:r>
          </w:p>
        </w:tc>
      </w:tr>
    </w:tbl>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其他说明：</w:t>
      </w:r>
    </w:p>
    <w:p>
      <w:pPr>
        <w:rPr>
          <w:rFonts w:ascii="Times New Roman" w:hAnsi="Times New Roman" w:cs="Times New Roman"/>
        </w:rPr>
      </w:pPr>
    </w:p>
    <w:p>
      <w:pPr>
        <w:keepNext/>
        <w:keepLines/>
        <w:spacing w:before="300" w:after="300" w:line="280" w:lineRule="exact"/>
        <w:outlineLvl w:val="4"/>
        <w:rPr>
          <w:rFonts w:ascii="Times New Roman" w:hAnsi="Times New Roman" w:eastAsia="宋体" w:cs="Times New Roman"/>
          <w:b/>
          <w:bCs/>
          <w:sz w:val="18"/>
          <w:szCs w:val="18"/>
        </w:rPr>
      </w:pPr>
      <w:bookmarkStart w:id="488" w:name="_Toc989373"/>
      <w:r>
        <w:rPr>
          <w:rFonts w:ascii="Times New Roman" w:hAnsi="Times New Roman" w:eastAsia="宋体" w:cs="Times New Roman"/>
          <w:b/>
          <w:bCs/>
          <w:sz w:val="18"/>
          <w:szCs w:val="18"/>
        </w:rPr>
        <w:t>3） 坏账准备计提情况</w:t>
      </w:r>
      <w:bookmarkEnd w:id="488"/>
    </w:p>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 xml:space="preserve">□适用 </w:t>
      </w: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不适用</w:t>
      </w:r>
    </w:p>
    <w:p>
      <w:pPr>
        <w:keepNext/>
        <w:keepLines/>
        <w:spacing w:before="300" w:after="300" w:line="280" w:lineRule="exact"/>
        <w:outlineLvl w:val="3"/>
        <w:rPr>
          <w:rFonts w:ascii="Times New Roman" w:hAnsi="Times New Roman" w:eastAsia="宋体" w:cs="Times New Roman"/>
          <w:b/>
          <w:bCs/>
          <w:sz w:val="18"/>
          <w:szCs w:val="18"/>
        </w:rPr>
      </w:pPr>
      <w:bookmarkStart w:id="489" w:name="_Toc989374"/>
      <w:r>
        <w:rPr>
          <w:rFonts w:ascii="Times New Roman" w:hAnsi="Times New Roman" w:eastAsia="宋体" w:cs="Times New Roman"/>
          <w:b/>
          <w:bCs/>
          <w:sz w:val="18"/>
          <w:szCs w:val="18"/>
        </w:rPr>
        <w:t>（2） 应收股利</w:t>
      </w:r>
      <w:bookmarkEnd w:id="489"/>
    </w:p>
    <w:p>
      <w:pPr>
        <w:keepNext/>
        <w:keepLines/>
        <w:spacing w:before="300" w:after="300" w:line="280" w:lineRule="exact"/>
        <w:outlineLvl w:val="4"/>
        <w:rPr>
          <w:rFonts w:ascii="Times New Roman" w:hAnsi="Times New Roman" w:eastAsia="宋体" w:cs="Times New Roman"/>
          <w:b/>
          <w:bCs/>
          <w:sz w:val="18"/>
          <w:szCs w:val="18"/>
        </w:rPr>
      </w:pPr>
      <w:bookmarkStart w:id="490" w:name="_Toc989375"/>
      <w:r>
        <w:rPr>
          <w:rFonts w:ascii="Times New Roman" w:hAnsi="Times New Roman" w:eastAsia="宋体" w:cs="Times New Roman"/>
          <w:b/>
          <w:bCs/>
          <w:sz w:val="18"/>
          <w:szCs w:val="18"/>
        </w:rPr>
        <w:t>1） 应收股利分类</w:t>
      </w:r>
      <w:bookmarkEnd w:id="490"/>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项目(或被投资单位)</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期末余额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期初余额</w:t>
            </w:r>
          </w:p>
        </w:tc>
      </w:tr>
    </w:tbl>
    <w:p>
      <w:pPr>
        <w:keepNext/>
        <w:keepLines/>
        <w:spacing w:before="300" w:after="300" w:line="280" w:lineRule="exact"/>
        <w:outlineLvl w:val="4"/>
        <w:rPr>
          <w:rFonts w:ascii="Times New Roman" w:hAnsi="Times New Roman" w:eastAsia="宋体" w:cs="Times New Roman"/>
          <w:b/>
          <w:bCs/>
          <w:sz w:val="18"/>
          <w:szCs w:val="18"/>
        </w:rPr>
      </w:pPr>
      <w:bookmarkStart w:id="491" w:name="_Toc989376"/>
      <w:r>
        <w:rPr>
          <w:rFonts w:ascii="Times New Roman" w:hAnsi="Times New Roman" w:eastAsia="宋体" w:cs="Times New Roman"/>
          <w:b/>
          <w:bCs/>
          <w:sz w:val="18"/>
          <w:szCs w:val="18"/>
        </w:rPr>
        <w:t>2） 重要的账龄超过1年的应收股利</w:t>
      </w:r>
      <w:bookmarkEnd w:id="491"/>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7"/>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项目(或被投资单位)</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期末余额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账龄</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未收回的原因</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是否发生减值及其判断依据</w:t>
            </w:r>
          </w:p>
        </w:tc>
      </w:tr>
    </w:tbl>
    <w:p>
      <w:pPr>
        <w:keepNext/>
        <w:keepLines/>
        <w:spacing w:before="300" w:after="300" w:line="280" w:lineRule="exact"/>
        <w:outlineLvl w:val="4"/>
        <w:rPr>
          <w:rFonts w:ascii="Times New Roman" w:hAnsi="Times New Roman" w:eastAsia="宋体" w:cs="Times New Roman"/>
          <w:b/>
          <w:bCs/>
          <w:sz w:val="18"/>
          <w:szCs w:val="18"/>
        </w:rPr>
      </w:pPr>
      <w:bookmarkStart w:id="492" w:name="_Toc989377"/>
      <w:r>
        <w:rPr>
          <w:rFonts w:ascii="Times New Roman" w:hAnsi="Times New Roman" w:eastAsia="宋体" w:cs="Times New Roman"/>
          <w:b/>
          <w:bCs/>
          <w:sz w:val="18"/>
          <w:szCs w:val="18"/>
        </w:rPr>
        <w:t>3） 坏账准备计提情况</w:t>
      </w:r>
      <w:bookmarkEnd w:id="492"/>
    </w:p>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 xml:space="preserve">□适用 </w:t>
      </w: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不适用</w:t>
      </w: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其他说明：</w:t>
      </w:r>
    </w:p>
    <w:p>
      <w:pPr>
        <w:rPr>
          <w:rFonts w:ascii="Times New Roman" w:hAnsi="Times New Roman" w:cs="Times New Roman"/>
        </w:rPr>
      </w:pPr>
    </w:p>
    <w:p>
      <w:pPr>
        <w:keepNext/>
        <w:keepLines/>
        <w:spacing w:before="300" w:after="300" w:line="280" w:lineRule="exact"/>
        <w:outlineLvl w:val="3"/>
        <w:rPr>
          <w:rFonts w:ascii="Times New Roman" w:hAnsi="Times New Roman" w:eastAsia="宋体" w:cs="Times New Roman"/>
          <w:b/>
          <w:bCs/>
          <w:sz w:val="18"/>
          <w:szCs w:val="18"/>
        </w:rPr>
      </w:pPr>
      <w:bookmarkStart w:id="493" w:name="_Toc989378"/>
      <w:r>
        <w:rPr>
          <w:rFonts w:ascii="Times New Roman" w:hAnsi="Times New Roman" w:eastAsia="宋体" w:cs="Times New Roman"/>
          <w:b/>
          <w:bCs/>
          <w:sz w:val="18"/>
          <w:szCs w:val="18"/>
        </w:rPr>
        <w:t>（3） 其他应收款</w:t>
      </w:r>
      <w:bookmarkEnd w:id="493"/>
    </w:p>
    <w:p>
      <w:pPr>
        <w:keepNext/>
        <w:keepLines/>
        <w:spacing w:before="300" w:after="300" w:line="280" w:lineRule="exact"/>
        <w:outlineLvl w:val="4"/>
        <w:rPr>
          <w:rFonts w:ascii="Times New Roman" w:hAnsi="Times New Roman" w:eastAsia="宋体" w:cs="Times New Roman"/>
          <w:b/>
          <w:bCs/>
          <w:sz w:val="18"/>
          <w:szCs w:val="18"/>
        </w:rPr>
      </w:pPr>
      <w:bookmarkStart w:id="494" w:name="_Toc989379"/>
      <w:r>
        <w:rPr>
          <w:rFonts w:ascii="Times New Roman" w:hAnsi="Times New Roman" w:eastAsia="宋体" w:cs="Times New Roman"/>
          <w:b/>
          <w:bCs/>
          <w:sz w:val="18"/>
          <w:szCs w:val="18"/>
        </w:rPr>
        <w:t>1） 其他应收款按款项性质分类情况</w:t>
      </w:r>
      <w:bookmarkEnd w:id="494"/>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款项性质</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期末账面余额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期初账面余额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备用金借支</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3,623,135.61</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2,324,293.58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保证金、押金</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29,728,632.38</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28,771,527.19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对关联公司的应收款项</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1,399,384,311.18</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1,357,222,843.18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其他</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3,532,572.59</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4,807,730.35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减： 坏账准备</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-118,567,487.10</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-117,520,382.95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1,317,701,164.66</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1,275,606,011.35</w:t>
            </w:r>
          </w:p>
        </w:tc>
      </w:tr>
    </w:tbl>
    <w:p>
      <w:pPr>
        <w:keepNext/>
        <w:keepLines/>
        <w:spacing w:before="300" w:after="300" w:line="280" w:lineRule="exact"/>
        <w:outlineLvl w:val="4"/>
        <w:rPr>
          <w:rFonts w:ascii="Times New Roman" w:hAnsi="Times New Roman" w:eastAsia="宋体" w:cs="Times New Roman"/>
          <w:b/>
          <w:bCs/>
          <w:sz w:val="18"/>
          <w:szCs w:val="18"/>
        </w:rPr>
      </w:pPr>
      <w:bookmarkStart w:id="495" w:name="_Toc989380"/>
      <w:r>
        <w:rPr>
          <w:rFonts w:ascii="Times New Roman" w:hAnsi="Times New Roman" w:eastAsia="宋体" w:cs="Times New Roman"/>
          <w:b/>
          <w:bCs/>
          <w:sz w:val="18"/>
          <w:szCs w:val="18"/>
        </w:rPr>
        <w:t>2） 坏账准备计提情况</w:t>
      </w:r>
      <w:bookmarkEnd w:id="495"/>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7"/>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坏账准备</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第一阶段</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第二阶段</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第三阶段</w:t>
            </w:r>
          </w:p>
        </w:tc>
        <w:tc>
          <w:tcPr>
            <w:tcW w:w="19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未来12个月预期信用损失</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整个存续期预期信用损失(未发生信用减值)</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整个存续期预期信用损失(已发生信用减值)</w:t>
            </w:r>
          </w:p>
        </w:tc>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2023年1月1日余额</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117,520,382.95</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117,520,382.95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2023年1月1日余额在本期</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本期计提</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1,047,104.15</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1,047,104.15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2023年6月30日余额</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118,567,487.10</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118,567,487.10</w:t>
            </w:r>
          </w:p>
        </w:tc>
      </w:tr>
    </w:tbl>
    <w:p>
      <w:pPr>
        <w:spacing w:before="10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损失准备本期变动金额重大的账面余额变动情况</w:t>
      </w:r>
    </w:p>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 xml:space="preserve">□适用 </w:t>
      </w: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不适用</w:t>
      </w:r>
    </w:p>
    <w:p>
      <w:pPr>
        <w:spacing w:before="10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按账龄披露</w:t>
      </w:r>
    </w:p>
    <w:p>
      <w:pPr>
        <w:spacing w:before="120" w:after="12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1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账龄</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1年以内（含1年）</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799,400,660.83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1-3月</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109,406,814.59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4-6月</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167,105,085.99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7-9月</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129,100,413.18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10-12月</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393,788,347.07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1至2年</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220,459,944.51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2至3年</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414,858,647.90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3年以上</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1,549,398.52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rPr>
                <w:rFonts w:ascii="Times New Roman" w:hAnsi="Times New Roman" w:eastAsia="宋体" w:cs="Times New Roman"/>
                <w:sz w:val="18"/>
                <w:szCs w:val="18"/>
              </w:rPr>
            </w:pPr>
            <w:r>
              <w:rPr>
                <w:rFonts w:ascii="Times New Roman" w:hAnsi="Times New Roman" w:eastAsia="宋体" w:cs="Times New Roman"/>
                <w:sz w:val="18"/>
                <w:szCs w:val="18"/>
              </w:rPr>
              <w:t>3至4年</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138,912.50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rPr>
                <w:rFonts w:ascii="Times New Roman" w:hAnsi="Times New Roman" w:eastAsia="宋体" w:cs="Times New Roman"/>
                <w:sz w:val="18"/>
                <w:szCs w:val="18"/>
              </w:rPr>
            </w:pPr>
            <w:r>
              <w:rPr>
                <w:rFonts w:ascii="Times New Roman" w:hAnsi="Times New Roman" w:eastAsia="宋体" w:cs="Times New Roman"/>
                <w:sz w:val="18"/>
                <w:szCs w:val="18"/>
              </w:rPr>
              <w:t>4至5年</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341,726.02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rPr>
                <w:rFonts w:ascii="Times New Roman" w:hAnsi="Times New Roman" w:eastAsia="宋体" w:cs="Times New Roman"/>
                <w:sz w:val="18"/>
                <w:szCs w:val="18"/>
              </w:rPr>
            </w:pPr>
            <w:r>
              <w:rPr>
                <w:rFonts w:ascii="Times New Roman" w:hAnsi="Times New Roman" w:eastAsia="宋体" w:cs="Times New Roman"/>
                <w:sz w:val="18"/>
                <w:szCs w:val="18"/>
              </w:rPr>
              <w:t>5年以上</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1,068,760.00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合计</w:t>
            </w:r>
          </w:p>
        </w:tc>
        <w:tc>
          <w:tcPr>
            <w:tcW w:w="482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1,436,268,651.76</w:t>
            </w:r>
          </w:p>
        </w:tc>
      </w:tr>
    </w:tbl>
    <w:p>
      <w:pPr>
        <w:keepNext/>
        <w:keepLines/>
        <w:spacing w:before="300" w:after="300" w:line="280" w:lineRule="exact"/>
        <w:outlineLvl w:val="4"/>
        <w:rPr>
          <w:rFonts w:ascii="Times New Roman" w:hAnsi="Times New Roman" w:eastAsia="宋体" w:cs="Times New Roman"/>
          <w:b/>
          <w:bCs/>
          <w:sz w:val="18"/>
          <w:szCs w:val="18"/>
        </w:rPr>
      </w:pPr>
      <w:bookmarkStart w:id="496" w:name="_Toc989381"/>
      <w:r>
        <w:rPr>
          <w:rFonts w:ascii="Times New Roman" w:hAnsi="Times New Roman" w:eastAsia="宋体" w:cs="Times New Roman"/>
          <w:b/>
          <w:bCs/>
          <w:sz w:val="18"/>
          <w:szCs w:val="18"/>
        </w:rPr>
        <w:t>3） 本期计提、收回或转回的坏账准备情况</w:t>
      </w:r>
      <w:bookmarkEnd w:id="496"/>
    </w:p>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本期计提坏账准备情况：</w:t>
      </w:r>
    </w:p>
    <w:p>
      <w:pPr>
        <w:spacing w:before="120" w:after="12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类别</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期初余额</w:t>
            </w:r>
          </w:p>
        </w:tc>
        <w:tc>
          <w:tcPr>
            <w:tcW w:w="5508"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本期变动金额</w:t>
            </w:r>
          </w:p>
        </w:tc>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计提</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收回或转回</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核销</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其他</w:t>
            </w:r>
          </w:p>
        </w:tc>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其他应收款</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117,520,382.95</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1,047,104.15</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118,567,487.10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合计</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117,520,382.95</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1,047,104.15</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118,567,487.10</w:t>
            </w:r>
          </w:p>
        </w:tc>
      </w:tr>
    </w:tbl>
    <w:p>
      <w:pPr>
        <w:rPr>
          <w:rFonts w:ascii="Times New Roman" w:hAnsi="Times New Roman" w:cs="Times New Roman"/>
        </w:rPr>
      </w:pPr>
    </w:p>
    <w:p>
      <w:pPr>
        <w:spacing w:before="10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其中本期坏账准备转回或收回金额重要的：</w:t>
      </w:r>
    </w:p>
    <w:p>
      <w:pPr>
        <w:spacing w:before="120" w:after="12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单位名称</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转回或收回金额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收回方式</w:t>
            </w:r>
          </w:p>
        </w:tc>
      </w:tr>
    </w:tbl>
    <w:p>
      <w:pPr>
        <w:rPr>
          <w:rFonts w:ascii="Times New Roman" w:hAnsi="Times New Roman" w:cs="Times New Roman"/>
        </w:rPr>
      </w:pPr>
    </w:p>
    <w:p>
      <w:pPr>
        <w:keepNext/>
        <w:keepLines/>
        <w:spacing w:before="300" w:after="300" w:line="280" w:lineRule="exact"/>
        <w:outlineLvl w:val="4"/>
        <w:rPr>
          <w:rFonts w:ascii="Times New Roman" w:hAnsi="Times New Roman" w:eastAsia="宋体" w:cs="Times New Roman"/>
          <w:b/>
          <w:bCs/>
          <w:sz w:val="18"/>
          <w:szCs w:val="18"/>
        </w:rPr>
      </w:pPr>
      <w:bookmarkStart w:id="497" w:name="_Toc989382"/>
      <w:r>
        <w:rPr>
          <w:rFonts w:ascii="Times New Roman" w:hAnsi="Times New Roman" w:eastAsia="宋体" w:cs="Times New Roman"/>
          <w:b/>
          <w:bCs/>
          <w:sz w:val="18"/>
          <w:szCs w:val="18"/>
        </w:rPr>
        <w:t>4） 本期实际核销的其他应收款情况</w:t>
      </w:r>
      <w:bookmarkEnd w:id="497"/>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820"/>
        <w:gridCol w:w="481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w:t>
            </w:r>
          </w:p>
        </w:tc>
        <w:tc>
          <w:tcPr>
            <w:tcW w:w="482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核销金额</w:t>
            </w:r>
          </w:p>
        </w:tc>
      </w:tr>
    </w:tbl>
    <w:p>
      <w:pPr>
        <w:spacing w:before="10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其中重要的其他应收款核销情况：</w:t>
      </w:r>
    </w:p>
    <w:p>
      <w:pPr>
        <w:spacing w:before="120" w:after="12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7"/>
        <w:gridCol w:w="1607"/>
        <w:gridCol w:w="160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单位名称</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其他应收款性质</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核销金额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核销原因</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履行的核销程序</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款项是否由关联交易产生</w:t>
            </w:r>
          </w:p>
        </w:tc>
      </w:tr>
    </w:tbl>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其他应收款核销说明：</w:t>
      </w:r>
    </w:p>
    <w:p>
      <w:pPr>
        <w:rPr>
          <w:rFonts w:ascii="Times New Roman" w:hAnsi="Times New Roman" w:cs="Times New Roman"/>
        </w:rPr>
      </w:pPr>
    </w:p>
    <w:p>
      <w:pPr>
        <w:keepNext/>
        <w:keepLines/>
        <w:spacing w:before="300" w:after="300" w:line="280" w:lineRule="exact"/>
        <w:outlineLvl w:val="4"/>
        <w:rPr>
          <w:rFonts w:ascii="Times New Roman" w:hAnsi="Times New Roman" w:eastAsia="宋体" w:cs="Times New Roman"/>
          <w:b/>
          <w:bCs/>
          <w:sz w:val="18"/>
          <w:szCs w:val="18"/>
        </w:rPr>
      </w:pPr>
      <w:bookmarkStart w:id="498" w:name="_Toc989383"/>
      <w:r>
        <w:rPr>
          <w:rFonts w:ascii="Times New Roman" w:hAnsi="Times New Roman" w:eastAsia="宋体" w:cs="Times New Roman"/>
          <w:b/>
          <w:bCs/>
          <w:sz w:val="18"/>
          <w:szCs w:val="18"/>
        </w:rPr>
        <w:t>5） 按欠款方归集的期末余额前五名的其他应收款情况</w:t>
      </w:r>
      <w:bookmarkEnd w:id="498"/>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06"/>
        <w:gridCol w:w="1606"/>
        <w:gridCol w:w="1606"/>
        <w:gridCol w:w="1607"/>
        <w:gridCol w:w="1607"/>
        <w:gridCol w:w="160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单位名称</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款项的性质</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期末余额</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账龄</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占其他应收款期末余额合计数的比例</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坏账准备期末余额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青岛中和盛杰食品有限公司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应收关联方款项</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338,000,000.00</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4-6月，7-9月，10-12月，2-3年</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23.53%</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91,740,494.86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安丘龙大养殖有限公司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应收关联方款项</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310,000,000.00</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7-9月，10-12月</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21.58%</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潍坊振祥食品有限公司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应收关联方款项</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130,370,000.00</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1-3月，10-12月，1-2年，2-3年，</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9.08%</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黑龙江龙大养殖有限公司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应收关联方款项</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125,160,000.00</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1-2年，2-3年</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8.71%</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云南福照食品有限公司</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应收关联方款项</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107,200,000.00</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1-2年，2-3年</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7.46%</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合计</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1,010,730,000.00</w:t>
            </w:r>
          </w:p>
        </w:tc>
        <w:tc>
          <w:tcPr>
            <w:tcW w:w="1606"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70.36%</w:t>
            </w:r>
          </w:p>
        </w:tc>
        <w:tc>
          <w:tcPr>
            <w:tcW w:w="1606"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91,740,494.86</w:t>
            </w:r>
          </w:p>
        </w:tc>
      </w:tr>
    </w:tbl>
    <w:p>
      <w:pPr>
        <w:keepNext/>
        <w:keepLines/>
        <w:spacing w:before="300" w:after="300" w:line="280" w:lineRule="exact"/>
        <w:outlineLvl w:val="4"/>
        <w:rPr>
          <w:rFonts w:ascii="Times New Roman" w:hAnsi="Times New Roman" w:eastAsia="宋体" w:cs="Times New Roman"/>
          <w:b/>
          <w:bCs/>
          <w:sz w:val="18"/>
          <w:szCs w:val="18"/>
        </w:rPr>
      </w:pPr>
      <w:bookmarkStart w:id="499" w:name="_Toc989384"/>
      <w:r>
        <w:rPr>
          <w:rFonts w:ascii="Times New Roman" w:hAnsi="Times New Roman" w:eastAsia="宋体" w:cs="Times New Roman"/>
          <w:b/>
          <w:bCs/>
          <w:sz w:val="18"/>
          <w:szCs w:val="18"/>
        </w:rPr>
        <w:t>6） 涉及政府补助的应收款项</w:t>
      </w:r>
      <w:bookmarkEnd w:id="499"/>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7"/>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单位名称</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政府补助项目名称</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期末余额</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期末账龄</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预计收取的时间、金额及依据</w:t>
            </w:r>
          </w:p>
        </w:tc>
      </w:tr>
    </w:tbl>
    <w:p>
      <w:pPr>
        <w:rPr>
          <w:rFonts w:ascii="Times New Roman" w:hAnsi="Times New Roman" w:cs="Times New Roman"/>
        </w:rPr>
      </w:pPr>
    </w:p>
    <w:p>
      <w:pPr>
        <w:keepNext/>
        <w:keepLines/>
        <w:spacing w:before="300" w:after="300" w:line="280" w:lineRule="exact"/>
        <w:outlineLvl w:val="4"/>
        <w:rPr>
          <w:rFonts w:ascii="Times New Roman" w:hAnsi="Times New Roman" w:eastAsia="宋体" w:cs="Times New Roman"/>
          <w:b/>
          <w:bCs/>
          <w:sz w:val="18"/>
          <w:szCs w:val="18"/>
        </w:rPr>
      </w:pPr>
      <w:bookmarkStart w:id="500" w:name="_Toc989385"/>
      <w:r>
        <w:rPr>
          <w:rFonts w:ascii="Times New Roman" w:hAnsi="Times New Roman" w:eastAsia="宋体" w:cs="Times New Roman"/>
          <w:b/>
          <w:bCs/>
          <w:sz w:val="18"/>
          <w:szCs w:val="18"/>
        </w:rPr>
        <w:t>7） 因金融资产转移而终止确认的其他应收款</w:t>
      </w:r>
      <w:bookmarkEnd w:id="500"/>
    </w:p>
    <w:p>
      <w:pPr>
        <w:rPr>
          <w:rFonts w:ascii="Times New Roman" w:hAnsi="Times New Roman" w:cs="Times New Roman"/>
        </w:rPr>
      </w:pPr>
    </w:p>
    <w:p>
      <w:pPr>
        <w:keepNext/>
        <w:keepLines/>
        <w:spacing w:before="300" w:after="300" w:line="280" w:lineRule="exact"/>
        <w:outlineLvl w:val="4"/>
        <w:rPr>
          <w:rFonts w:ascii="Times New Roman" w:hAnsi="Times New Roman" w:eastAsia="宋体" w:cs="Times New Roman"/>
          <w:b/>
          <w:bCs/>
          <w:sz w:val="18"/>
          <w:szCs w:val="18"/>
        </w:rPr>
      </w:pPr>
      <w:bookmarkStart w:id="501" w:name="_Toc989386"/>
      <w:r>
        <w:rPr>
          <w:rFonts w:ascii="Times New Roman" w:hAnsi="Times New Roman" w:eastAsia="宋体" w:cs="Times New Roman"/>
          <w:b/>
          <w:bCs/>
          <w:sz w:val="18"/>
          <w:szCs w:val="18"/>
        </w:rPr>
        <w:t>8） 转移其他应收款且继续涉入形成的资产、负债金额</w:t>
      </w:r>
      <w:bookmarkEnd w:id="501"/>
    </w:p>
    <w:p>
      <w:pPr>
        <w:rPr>
          <w:rFonts w:ascii="Times New Roman" w:hAnsi="Times New Roman" w:cs="Times New Roman"/>
        </w:rPr>
      </w:pP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其他说明：</w:t>
      </w:r>
    </w:p>
    <w:p>
      <w:pPr>
        <w:rPr>
          <w:rFonts w:ascii="Times New Roman" w:hAnsi="Times New Roman" w:cs="Times New Roman"/>
        </w:rPr>
      </w:pPr>
    </w:p>
    <w:p>
      <w:pPr>
        <w:pStyle w:val="3"/>
        <w:spacing w:line="280" w:lineRule="exact"/>
        <w:jc w:val="left"/>
        <w:rPr>
          <w:rFonts w:ascii="Times New Roman" w:hAnsi="Times New Roman" w:cs="Times New Roman"/>
          <w:b/>
          <w:bCs/>
        </w:rPr>
      </w:pPr>
      <w:bookmarkStart w:id="502" w:name="_Toc989387"/>
      <w:r>
        <w:rPr>
          <w:rFonts w:ascii="Times New Roman" w:hAnsi="Times New Roman" w:cs="Times New Roman"/>
          <w:b/>
          <w:bCs/>
        </w:rPr>
        <w:t>3、长期股权投资</w:t>
      </w:r>
      <w:bookmarkEnd w:id="502"/>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77"/>
        <w:gridCol w:w="1377"/>
        <w:gridCol w:w="1377"/>
        <w:gridCol w:w="1377"/>
        <w:gridCol w:w="1377"/>
        <w:gridCol w:w="1377"/>
        <w:gridCol w:w="137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期末余额</w:t>
            </w:r>
          </w:p>
        </w:tc>
        <w:tc>
          <w:tcPr>
            <w:tcW w:w="4131" w:type="dxa"/>
            <w:gridSpan w:val="3"/>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期初余额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减值准备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账面价值</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账面余额</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减值准备</w:t>
            </w:r>
          </w:p>
        </w:tc>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账面价值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对子公司投资</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2,537,899,735.97</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103,200,046.82</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2,434,699,689.15</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2,537,899,735.97</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103,200,046.82</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2,434,699,689.15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377"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合计</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2,537,899,735.97</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103,200,046.82</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2,434,699,689.15</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2,537,899,735.97</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103,200,046.82</w:t>
            </w:r>
          </w:p>
        </w:tc>
        <w:tc>
          <w:tcPr>
            <w:tcW w:w="1377"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2,434,699,689.15</w:t>
            </w:r>
          </w:p>
        </w:tc>
      </w:tr>
    </w:tbl>
    <w:p>
      <w:pPr>
        <w:keepNext/>
        <w:keepLines/>
        <w:spacing w:before="300" w:after="300" w:line="280" w:lineRule="exact"/>
        <w:outlineLvl w:val="3"/>
        <w:rPr>
          <w:rFonts w:ascii="Times New Roman" w:hAnsi="Times New Roman" w:eastAsia="宋体" w:cs="Times New Roman"/>
          <w:b/>
          <w:bCs/>
          <w:szCs w:val="21"/>
        </w:rPr>
      </w:pPr>
      <w:bookmarkStart w:id="503" w:name="_Toc989388"/>
      <w:r>
        <w:rPr>
          <w:rFonts w:ascii="Times New Roman" w:hAnsi="Times New Roman" w:eastAsia="宋体" w:cs="Times New Roman"/>
          <w:b/>
          <w:bCs/>
          <w:szCs w:val="21"/>
        </w:rPr>
        <w:t>（1） 对子公司投资</w:t>
      </w:r>
      <w:bookmarkEnd w:id="503"/>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204"/>
        <w:gridCol w:w="1205"/>
        <w:gridCol w:w="1205"/>
        <w:gridCol w:w="1205"/>
        <w:gridCol w:w="1205"/>
        <w:gridCol w:w="1205"/>
        <w:gridCol w:w="1205"/>
        <w:gridCol w:w="120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被投资单位</w:t>
            </w:r>
          </w:p>
        </w:tc>
        <w:tc>
          <w:tcPr>
            <w:tcW w:w="120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期初余额（账面价值）</w:t>
            </w:r>
          </w:p>
        </w:tc>
        <w:tc>
          <w:tcPr>
            <w:tcW w:w="4820" w:type="dxa"/>
            <w:gridSpan w:val="4"/>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本期增减变动</w:t>
            </w:r>
          </w:p>
        </w:tc>
        <w:tc>
          <w:tcPr>
            <w:tcW w:w="120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期末余额（账面价值）</w:t>
            </w:r>
          </w:p>
        </w:tc>
        <w:tc>
          <w:tcPr>
            <w:tcW w:w="1205"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减值准备期末余额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1205"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追加投资</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减少投资</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计提减值准备</w:t>
            </w:r>
          </w:p>
        </w:tc>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其他</w:t>
            </w:r>
          </w:p>
        </w:tc>
        <w:tc>
          <w:tcPr>
            <w:tcW w:w="1205"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1205"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河南龙大牧原肉食品有限公司</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90,000,000.00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90,000,000.00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聊城龙大肉食品有限公司</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50,344,000.00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50,344,000.00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莒南龙大肉食品有限公司</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20,000,000.00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烟台龙大养殖有限公司</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487,592,475.50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487,592,475.50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蓬莱富龙肉食品有限公司</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8,000,000.00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8,000,000.00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潍坊振祥食品有限公司</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121,690,300.00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121,690,300.00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莱阳龙瑞食品有限公司</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20,000,000.00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20,000,000.00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青岛中和盛杰食品有限公司</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10,200,000.00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烟台杰科检测服务有限公司</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6,263,038.91</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6,263,038.91</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山东龙大生猪产品工程技术研究有限公司</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15,000,000.00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15,000,000.00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北京快厨帮科技有限公司</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5,203,992.12</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5,203,992.12</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7,796,007.88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云南福照食品有限公司</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6,971,071.16</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6,971,071.16</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3,228,928.84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烟台龙大饲料有限公司</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6,000,000.00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6,000,000.00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通辽金泉食品有限责任公司</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1,710,813.96</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1,710,813.96</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33,289,886.04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黑龙江龙大养殖有限公司</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1,074,609,221.56</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1,074,609,221.56</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江苏龙大沁侬食品有限公司</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102,000,000.00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102,000,000.00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山东龙大美食贸易有限公司</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11,314,775.94</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11,314,775.94</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8,685,224.06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青岛龙大管理咨询服务有限公司</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10,000,000.00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10,000,000.00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湖北龙大肉食品有限公司</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20,000,000.00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成都龙大肉食品有限公司</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8,000,000.00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8,000,000.00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黑龙江龙大肉食品有限公司</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100,000,000.00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100,000,000.00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巴中龙大肉食品有限公司</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100,000,000.00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100,000,000.00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海南龙大美食有限责任公司</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100,000,000.00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100,000,000.00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山东龙鲜生供应链管理有限公司</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10,000,000.00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10,000,000.00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成都逸享潮代供应链管理有限公司</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100,000,000.00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100,000,000.00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205"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合计</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2,434,699,689.15</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0.00</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2,434,699,689.15</w:t>
            </w:r>
          </w:p>
        </w:tc>
        <w:tc>
          <w:tcPr>
            <w:tcW w:w="1205"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103,200,046.82</w:t>
            </w:r>
          </w:p>
        </w:tc>
      </w:tr>
    </w:tbl>
    <w:p>
      <w:pPr>
        <w:keepNext/>
        <w:keepLines/>
        <w:spacing w:before="300" w:after="300" w:line="280" w:lineRule="exact"/>
        <w:outlineLvl w:val="3"/>
        <w:rPr>
          <w:rFonts w:ascii="Times New Roman" w:hAnsi="Times New Roman" w:eastAsia="宋体" w:cs="Times New Roman"/>
          <w:b/>
          <w:bCs/>
          <w:szCs w:val="21"/>
        </w:rPr>
      </w:pPr>
      <w:bookmarkStart w:id="504" w:name="_Toc989389"/>
      <w:r>
        <w:rPr>
          <w:rFonts w:ascii="Times New Roman" w:hAnsi="Times New Roman" w:eastAsia="宋体" w:cs="Times New Roman"/>
          <w:b/>
          <w:bCs/>
          <w:szCs w:val="21"/>
        </w:rPr>
        <w:t>（2） 对联营、合营企业投资</w:t>
      </w:r>
      <w:bookmarkEnd w:id="504"/>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03"/>
        <w:gridCol w:w="803"/>
        <w:gridCol w:w="803"/>
        <w:gridCol w:w="803"/>
        <w:gridCol w:w="803"/>
        <w:gridCol w:w="803"/>
        <w:gridCol w:w="803"/>
        <w:gridCol w:w="803"/>
        <w:gridCol w:w="803"/>
        <w:gridCol w:w="805"/>
        <w:gridCol w:w="803"/>
        <w:gridCol w:w="80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投资单位</w:t>
            </w:r>
          </w:p>
        </w:tc>
        <w:tc>
          <w:tcPr>
            <w:tcW w:w="8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期初余额（账面价值）</w:t>
            </w:r>
          </w:p>
        </w:tc>
        <w:tc>
          <w:tcPr>
            <w:tcW w:w="6426" w:type="dxa"/>
            <w:gridSpan w:val="8"/>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本期增减变动</w:t>
            </w:r>
          </w:p>
        </w:tc>
        <w:tc>
          <w:tcPr>
            <w:tcW w:w="8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期末余额（账面价值）</w:t>
            </w:r>
          </w:p>
        </w:tc>
        <w:tc>
          <w:tcPr>
            <w:tcW w:w="803"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减值准备期末余额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80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80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追加投资</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减少投资</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权益法下确认的投资损益</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其他综合收益调整</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其他权益变动</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宣告发放现金股利或利润</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计提减值准备</w:t>
            </w:r>
          </w:p>
        </w:tc>
        <w:tc>
          <w:tcPr>
            <w:tcW w:w="80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其他</w:t>
            </w:r>
          </w:p>
        </w:tc>
        <w:tc>
          <w:tcPr>
            <w:tcW w:w="80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803"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9639" w:type="dxa"/>
            <w:gridSpan w:val="1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一、合营企业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9639" w:type="dxa"/>
            <w:gridSpan w:val="1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二、联营企业</w:t>
            </w:r>
          </w:p>
        </w:tc>
      </w:tr>
    </w:tbl>
    <w:p>
      <w:pPr>
        <w:keepNext/>
        <w:keepLines/>
        <w:spacing w:before="300" w:after="300" w:line="280" w:lineRule="exact"/>
        <w:outlineLvl w:val="3"/>
        <w:rPr>
          <w:rFonts w:ascii="Times New Roman" w:hAnsi="Times New Roman" w:eastAsia="宋体" w:cs="Times New Roman"/>
          <w:b/>
          <w:bCs/>
          <w:szCs w:val="21"/>
        </w:rPr>
      </w:pPr>
      <w:bookmarkStart w:id="505" w:name="_Toc989390"/>
      <w:r>
        <w:rPr>
          <w:rFonts w:ascii="Times New Roman" w:hAnsi="Times New Roman" w:eastAsia="宋体" w:cs="Times New Roman"/>
          <w:b/>
          <w:bCs/>
          <w:szCs w:val="21"/>
        </w:rPr>
        <w:t>（3） 其他说明</w:t>
      </w:r>
      <w:bookmarkEnd w:id="505"/>
    </w:p>
    <w:p>
      <w:pPr>
        <w:rPr>
          <w:rFonts w:ascii="Times New Roman" w:hAnsi="Times New Roman" w:cs="Times New Roman"/>
        </w:rPr>
      </w:pPr>
    </w:p>
    <w:p>
      <w:pPr>
        <w:pStyle w:val="3"/>
        <w:spacing w:line="280" w:lineRule="exact"/>
        <w:jc w:val="left"/>
        <w:rPr>
          <w:rFonts w:ascii="Times New Roman" w:hAnsi="Times New Roman" w:cs="Times New Roman"/>
          <w:b/>
          <w:bCs/>
        </w:rPr>
      </w:pPr>
      <w:bookmarkStart w:id="506" w:name="_Toc989391"/>
      <w:r>
        <w:rPr>
          <w:rFonts w:ascii="Times New Roman" w:hAnsi="Times New Roman" w:cs="Times New Roman"/>
          <w:b/>
          <w:bCs/>
        </w:rPr>
        <w:t>4、营业收入和营业成本</w:t>
      </w:r>
      <w:bookmarkEnd w:id="506"/>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7"/>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w:t>
            </w:r>
          </w:p>
        </w:tc>
        <w:tc>
          <w:tcPr>
            <w:tcW w:w="385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本期发生额</w:t>
            </w:r>
          </w:p>
        </w:tc>
        <w:tc>
          <w:tcPr>
            <w:tcW w:w="3856"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收入</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成本</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收入</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成本</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主营业务</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2,227,191,124.22</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2,102,911,914.47</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2,332,802,028.94</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2,199,883,767.65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其他业务</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23,796,425.63</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2,176,536.19</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24,514,684.97</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3,891,269.29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合计</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2,250,987,549.85</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2,105,088,450.66</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2,357,316,713.91</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2,203,775,036.94</w:t>
            </w:r>
          </w:p>
        </w:tc>
      </w:tr>
    </w:tbl>
    <w:p>
      <w:pPr>
        <w:spacing w:before="10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收入相关信息：</w:t>
      </w:r>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7"/>
        <w:gridCol w:w="1928"/>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合同分类</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分部1</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分部2</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center"/>
              <w:rPr>
                <w:rFonts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合计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商品类型</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其中：</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按经营地区分类</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　其中：</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市场或客户类型</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　其中：</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合同类型</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　其中：</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按商品转让的时间分类</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　其中：</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按合同期限分类</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　其中：</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按销售渠道分类</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　其中：</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合计</w:t>
            </w: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1928"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r>
    </w:tbl>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与履约义务相关的信息：</w:t>
      </w:r>
    </w:p>
    <w:p>
      <w:pPr>
        <w:pStyle w:val="8"/>
        <w:rPr>
          <w:rFonts w:ascii="Times New Roman" w:hAnsi="Times New Roman" w:cs="Times New Roman"/>
          <w:sz w:val="18"/>
          <w:szCs w:val="18"/>
        </w:rPr>
      </w:pPr>
      <w:r>
        <w:rPr>
          <w:rFonts w:ascii="Times New Roman" w:hAnsi="Times New Roman" w:cs="Times New Roman"/>
          <w:sz w:val="18"/>
          <w:szCs w:val="18"/>
        </w:rPr>
        <w:t>无</w:t>
      </w: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与分摊至剩余履约义务的交易价格相关的信息：</w:t>
      </w:r>
    </w:p>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本报告期末已签订合同、但尚未履行或尚未履行完毕的履约义务所对应的收入金额为0.00元，其中，0.00元预计将于0年度确认收入，0.00元预计将于0年度确认收入，0.00元预计将于0年度确认收入。</w:t>
      </w: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其他说明：</w:t>
      </w:r>
    </w:p>
    <w:p>
      <w:pPr>
        <w:pStyle w:val="8"/>
        <w:rPr>
          <w:rFonts w:ascii="Times New Roman" w:hAnsi="Times New Roman" w:cs="Times New Roman"/>
          <w:sz w:val="18"/>
          <w:szCs w:val="18"/>
        </w:rPr>
      </w:pPr>
      <w:r>
        <w:rPr>
          <w:rFonts w:ascii="Times New Roman" w:hAnsi="Times New Roman" w:cs="Times New Roman"/>
          <w:sz w:val="18"/>
          <w:szCs w:val="18"/>
        </w:rPr>
        <w:t>无</w:t>
      </w:r>
    </w:p>
    <w:p>
      <w:pPr>
        <w:pStyle w:val="3"/>
        <w:spacing w:line="280" w:lineRule="exact"/>
        <w:jc w:val="left"/>
        <w:rPr>
          <w:rFonts w:ascii="Times New Roman" w:hAnsi="Times New Roman" w:cs="Times New Roman"/>
          <w:b/>
          <w:bCs/>
        </w:rPr>
      </w:pPr>
      <w:bookmarkStart w:id="507" w:name="_Toc989392"/>
      <w:r>
        <w:rPr>
          <w:rFonts w:ascii="Times New Roman" w:hAnsi="Times New Roman" w:cs="Times New Roman"/>
          <w:b/>
          <w:bCs/>
        </w:rPr>
        <w:t>5、投资收益</w:t>
      </w:r>
      <w:bookmarkEnd w:id="507"/>
    </w:p>
    <w:p>
      <w:pPr>
        <w:spacing w:before="40" w:after="4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本期发生额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上期发生额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子公司利润分配</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560,000.00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560,000.00</w:t>
            </w:r>
          </w:p>
        </w:tc>
      </w:tr>
    </w:tbl>
    <w:p>
      <w:pPr>
        <w:pStyle w:val="3"/>
        <w:spacing w:line="280" w:lineRule="exact"/>
        <w:jc w:val="left"/>
        <w:rPr>
          <w:rFonts w:ascii="Times New Roman" w:hAnsi="Times New Roman" w:cs="Times New Roman"/>
          <w:b/>
          <w:bCs/>
        </w:rPr>
      </w:pPr>
      <w:bookmarkStart w:id="508" w:name="_Toc989393"/>
      <w:r>
        <w:rPr>
          <w:rFonts w:ascii="Times New Roman" w:hAnsi="Times New Roman" w:cs="Times New Roman"/>
          <w:b/>
          <w:bCs/>
        </w:rPr>
        <w:t>6、其他</w:t>
      </w:r>
      <w:bookmarkEnd w:id="508"/>
    </w:p>
    <w:p>
      <w:pPr>
        <w:rPr>
          <w:rFonts w:ascii="Times New Roman" w:hAnsi="Times New Roman" w:cs="Times New Roman"/>
        </w:rPr>
      </w:pPr>
    </w:p>
    <w:p>
      <w:pPr>
        <w:pStyle w:val="2"/>
        <w:spacing w:before="300" w:after="300" w:line="320" w:lineRule="exact"/>
        <w:rPr>
          <w:rFonts w:ascii="Times New Roman" w:hAnsi="Times New Roman" w:eastAsia="宋体" w:cs="Times New Roman"/>
          <w:b/>
          <w:bCs/>
          <w:sz w:val="24"/>
          <w:szCs w:val="24"/>
        </w:rPr>
      </w:pPr>
      <w:bookmarkStart w:id="509" w:name="_Toc989394"/>
      <w:r>
        <w:rPr>
          <w:rFonts w:ascii="Times New Roman" w:hAnsi="Times New Roman" w:eastAsia="宋体" w:cs="Times New Roman"/>
          <w:b/>
          <w:bCs/>
          <w:sz w:val="24"/>
          <w:szCs w:val="24"/>
        </w:rPr>
        <w:t>十八、补充资料</w:t>
      </w:r>
      <w:bookmarkEnd w:id="509"/>
    </w:p>
    <w:p>
      <w:pPr>
        <w:pStyle w:val="3"/>
        <w:spacing w:line="280" w:lineRule="exact"/>
        <w:jc w:val="left"/>
        <w:rPr>
          <w:rFonts w:ascii="Times New Roman" w:hAnsi="Times New Roman" w:cs="Times New Roman"/>
          <w:b/>
          <w:bCs/>
        </w:rPr>
      </w:pPr>
      <w:bookmarkStart w:id="510" w:name="_Toc989395"/>
      <w:r>
        <w:rPr>
          <w:rFonts w:ascii="Times New Roman" w:hAnsi="Times New Roman" w:cs="Times New Roman"/>
          <w:b/>
          <w:bCs/>
        </w:rPr>
        <w:t>1、当期非经常性损益明细表</w:t>
      </w:r>
      <w:bookmarkEnd w:id="510"/>
    </w:p>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适用 □不适用</w:t>
      </w:r>
    </w:p>
    <w:p>
      <w:pPr>
        <w:spacing w:before="120" w:after="120"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单位：元</w:t>
      </w:r>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3213"/>
        <w:gridCol w:w="3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项目</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金额</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非流动资产处置损益（包括已计提资产减值准备的冲销部分）</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-169,167,507.67</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本期处置生产性生物资产所致。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计入当期损益的政府补助（与公司正常经营业务密切相关，符合国家政策规定、按照一定标准定额或定量持续享受的政府补助除外）</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6,210,255.05</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除上述各项之外的其他营业外收入和支出</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3,028,748.28</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减：所得税影响额</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44,316.54</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ind w:firstLine="360" w:firstLineChars="200"/>
              <w:rPr>
                <w:rFonts w:ascii="Times New Roman" w:hAnsi="Times New Roman" w:eastAsia="宋体" w:cs="Times New Roman"/>
                <w:sz w:val="18"/>
                <w:szCs w:val="18"/>
              </w:rPr>
            </w:pPr>
            <w:r>
              <w:rPr>
                <w:rFonts w:ascii="Times New Roman" w:hAnsi="Times New Roman" w:eastAsia="宋体" w:cs="Times New Roman"/>
                <w:sz w:val="18"/>
                <w:szCs w:val="18"/>
              </w:rPr>
              <w:t>少数股东权益影响额</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276,935.54</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rPr>
                <w:rFonts w:ascii="Times New Roman" w:hAnsi="Times New Roman" w:eastAsia="宋体" w:cs="Times New Roman"/>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合计</w:t>
            </w:r>
          </w:p>
        </w:tc>
        <w:tc>
          <w:tcPr>
            <w:tcW w:w="3213"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-160,249,756.42</w:t>
            </w:r>
          </w:p>
        </w:tc>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w:t>
            </w:r>
          </w:p>
        </w:tc>
      </w:tr>
    </w:tbl>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其他符合非经常性损益定义的损益项目的具体情况：</w:t>
      </w:r>
    </w:p>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 xml:space="preserve">□适用 </w:t>
      </w: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不适用</w:t>
      </w:r>
    </w:p>
    <w:p>
      <w:pPr>
        <w:spacing w:before="100" w:after="100" w:line="240" w:lineRule="exact"/>
        <w:rPr>
          <w:rFonts w:ascii="Times New Roman" w:hAnsi="Times New Roman" w:eastAsia="宋体" w:cs="Times New Roman"/>
          <w:sz w:val="18"/>
          <w:szCs w:val="18"/>
        </w:rPr>
      </w:pPr>
      <w:r>
        <w:rPr>
          <w:rFonts w:ascii="Times New Roman" w:hAnsi="Times New Roman" w:eastAsia="宋体" w:cs="Times New Roman"/>
          <w:sz w:val="18"/>
          <w:szCs w:val="18"/>
        </w:rPr>
        <w:t>公司不存在其他符合非经常性损益定义的损益项目的具体情况。</w:t>
      </w:r>
    </w:p>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将《公开发行证券的公司信息披露解释性公告第1号——非经常性损益》中列举的非经常性损益项目界定为经常性损益项目的情况说明</w:t>
      </w:r>
    </w:p>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 xml:space="preserve">□适用 </w:t>
      </w: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不适用</w:t>
      </w:r>
    </w:p>
    <w:p>
      <w:pPr>
        <w:pStyle w:val="3"/>
        <w:spacing w:line="280" w:lineRule="exact"/>
        <w:jc w:val="left"/>
        <w:rPr>
          <w:rFonts w:ascii="Times New Roman" w:hAnsi="Times New Roman" w:cs="Times New Roman"/>
          <w:b/>
          <w:bCs/>
        </w:rPr>
      </w:pPr>
      <w:bookmarkStart w:id="511" w:name="_Toc989396"/>
      <w:r>
        <w:rPr>
          <w:rFonts w:ascii="Times New Roman" w:hAnsi="Times New Roman" w:cs="Times New Roman"/>
          <w:b/>
          <w:bCs/>
        </w:rPr>
        <w:t>2、净资产收益率及每股收益</w:t>
      </w:r>
      <w:bookmarkEnd w:id="511"/>
    </w:p>
    <w:tbl>
      <w:tblPr>
        <w:tblStyle w:val="9"/>
        <w:tblW w:w="9639" w:type="dxa"/>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409"/>
        <w:gridCol w:w="2410"/>
        <w:gridCol w:w="2410"/>
        <w:gridCol w:w="24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报告期利润</w:t>
            </w:r>
          </w:p>
        </w:tc>
        <w:tc>
          <w:tcPr>
            <w:tcW w:w="2410"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加权平均净资产收益率</w:t>
            </w:r>
          </w:p>
        </w:tc>
        <w:tc>
          <w:tcPr>
            <w:tcW w:w="4820"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每股收益</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2410"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pPr>
              <w:rPr>
                <w:rFonts w:ascii="Times New Roman" w:hAnsi="Times New Roman" w:cs="Times New Roman"/>
              </w:rPr>
            </w:pP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基本每股收益（元/股）</w:t>
            </w:r>
          </w:p>
        </w:tc>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稀释每股收益（元/股）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归属于公司普通股股东的净利润</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-22.26%</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-0.58</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-0.53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410"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rPr>
                <w:rFonts w:ascii="Times New Roman" w:hAnsi="Times New Roman" w:eastAsia="宋体" w:cs="Times New Roman"/>
                <w:sz w:val="18"/>
                <w:szCs w:val="18"/>
              </w:rPr>
            </w:pPr>
            <w:r>
              <w:rPr>
                <w:rFonts w:ascii="Times New Roman" w:hAnsi="Times New Roman" w:eastAsia="宋体" w:cs="Times New Roman"/>
                <w:sz w:val="18"/>
                <w:szCs w:val="18"/>
              </w:rPr>
              <w:t>扣除非经常性损益后归属于公司普通股股东的净利润</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-16.55%</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-0.43</w:t>
            </w:r>
          </w:p>
        </w:tc>
        <w:tc>
          <w:tcPr>
            <w:tcW w:w="2410" w:type="dxa"/>
            <w:tcBorders>
              <w:top w:val="single" w:color="auto" w:sz="2" w:space="0"/>
              <w:left w:val="single" w:color="auto" w:sz="2" w:space="0"/>
              <w:bottom w:val="single" w:color="auto" w:sz="2" w:space="0"/>
              <w:right w:val="single" w:color="auto" w:sz="2" w:space="0"/>
            </w:tcBorders>
            <w:vAlign w:val="center"/>
          </w:tcPr>
          <w:p>
            <w:pPr>
              <w:spacing w:line="240" w:lineRule="exact"/>
              <w:jc w:val="right"/>
              <w:rPr>
                <w:rFonts w:ascii="Times New Roman" w:hAnsi="Times New Roman" w:eastAsia="宋体" w:cs="Times New Roman"/>
                <w:sz w:val="18"/>
                <w:szCs w:val="18"/>
              </w:rPr>
            </w:pPr>
            <w:r>
              <w:rPr>
                <w:rFonts w:ascii="Times New Roman" w:hAnsi="Times New Roman" w:eastAsia="宋体" w:cs="Times New Roman"/>
                <w:sz w:val="18"/>
                <w:szCs w:val="18"/>
              </w:rPr>
              <w:t>-0.39</w:t>
            </w:r>
          </w:p>
        </w:tc>
      </w:tr>
    </w:tbl>
    <w:p>
      <w:pPr>
        <w:pStyle w:val="3"/>
        <w:spacing w:line="280" w:lineRule="exact"/>
        <w:jc w:val="left"/>
        <w:rPr>
          <w:rFonts w:ascii="Times New Roman" w:hAnsi="Times New Roman" w:cs="Times New Roman"/>
          <w:b/>
          <w:bCs/>
        </w:rPr>
      </w:pPr>
      <w:bookmarkStart w:id="512" w:name="_Toc989397"/>
      <w:r>
        <w:rPr>
          <w:rFonts w:ascii="Times New Roman" w:hAnsi="Times New Roman" w:cs="Times New Roman"/>
          <w:b/>
          <w:bCs/>
        </w:rPr>
        <w:t>3、境内外会计准则下会计数据差异</w:t>
      </w:r>
      <w:bookmarkEnd w:id="512"/>
    </w:p>
    <w:p>
      <w:pPr>
        <w:keepNext/>
        <w:keepLines/>
        <w:spacing w:before="300" w:after="300" w:line="280" w:lineRule="exact"/>
        <w:outlineLvl w:val="3"/>
        <w:rPr>
          <w:rFonts w:ascii="Times New Roman" w:hAnsi="Times New Roman" w:eastAsia="宋体" w:cs="Times New Roman"/>
          <w:b/>
          <w:bCs/>
          <w:szCs w:val="21"/>
        </w:rPr>
      </w:pPr>
      <w:bookmarkStart w:id="513" w:name="_Toc989398"/>
      <w:r>
        <w:rPr>
          <w:rFonts w:ascii="Times New Roman" w:hAnsi="Times New Roman" w:eastAsia="宋体" w:cs="Times New Roman"/>
          <w:b/>
          <w:bCs/>
          <w:szCs w:val="21"/>
        </w:rPr>
        <w:t>（1） 同时按照国际会计准则与按中国会计准则披露的财务报告中净利润和净资产差异情况</w:t>
      </w:r>
      <w:bookmarkEnd w:id="513"/>
    </w:p>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 xml:space="preserve">□适用 </w:t>
      </w: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不适用</w:t>
      </w:r>
    </w:p>
    <w:p>
      <w:pPr>
        <w:keepNext/>
        <w:keepLines/>
        <w:spacing w:before="300" w:after="300" w:line="280" w:lineRule="exact"/>
        <w:outlineLvl w:val="3"/>
        <w:rPr>
          <w:rFonts w:ascii="Times New Roman" w:hAnsi="Times New Roman" w:eastAsia="宋体" w:cs="Times New Roman"/>
          <w:b/>
          <w:bCs/>
          <w:szCs w:val="21"/>
        </w:rPr>
      </w:pPr>
      <w:bookmarkStart w:id="514" w:name="_Toc989399"/>
      <w:r>
        <w:rPr>
          <w:rFonts w:ascii="Times New Roman" w:hAnsi="Times New Roman" w:eastAsia="宋体" w:cs="Times New Roman"/>
          <w:b/>
          <w:bCs/>
          <w:szCs w:val="21"/>
        </w:rPr>
        <w:t>（2） 同时按照境外会计准则与按中国会计准则披露的财务报告中净利润和净资产差异情况</w:t>
      </w:r>
      <w:bookmarkEnd w:id="514"/>
    </w:p>
    <w:p>
      <w:pPr>
        <w:spacing w:line="240" w:lineRule="exact"/>
        <w:rPr>
          <w:rFonts w:ascii="Times New Roman" w:hAnsi="Times New Roman" w:eastAsia="宋体" w:cs="Times New Roman"/>
          <w:sz w:val="18"/>
          <w:szCs w:val="18"/>
        </w:rPr>
      </w:pPr>
      <w:r>
        <w:rPr>
          <w:rFonts w:ascii="Times New Roman" w:hAnsi="Times New Roman" w:eastAsia="宋体" w:cs="Times New Roman"/>
          <w:sz w:val="18"/>
          <w:szCs w:val="18"/>
        </w:rPr>
        <w:t xml:space="preserve">□适用 </w:t>
      </w:r>
      <w:r>
        <w:rPr>
          <w:rFonts w:ascii="Times New Roman" w:hAnsi="Times New Roman" w:eastAsia="宋体" w:cs="Times New Roman"/>
          <w:sz w:val="18"/>
          <w:szCs w:val="18"/>
        </w:rPr>
        <w:sym w:font="Wingdings 2" w:char="F052"/>
      </w:r>
      <w:r>
        <w:rPr>
          <w:rFonts w:ascii="Times New Roman" w:hAnsi="Times New Roman" w:eastAsia="宋体" w:cs="Times New Roman"/>
          <w:sz w:val="18"/>
          <w:szCs w:val="18"/>
        </w:rPr>
        <w:t>不适用</w:t>
      </w:r>
    </w:p>
    <w:p>
      <w:pPr>
        <w:keepNext/>
        <w:keepLines/>
        <w:spacing w:before="300" w:after="300" w:line="280" w:lineRule="exact"/>
        <w:outlineLvl w:val="3"/>
        <w:rPr>
          <w:rFonts w:ascii="Times New Roman" w:hAnsi="Times New Roman" w:eastAsia="宋体" w:cs="Times New Roman"/>
          <w:b/>
          <w:bCs/>
          <w:szCs w:val="21"/>
        </w:rPr>
      </w:pPr>
      <w:bookmarkStart w:id="515" w:name="_Toc989400"/>
      <w:r>
        <w:rPr>
          <w:rFonts w:ascii="Times New Roman" w:hAnsi="Times New Roman" w:eastAsia="宋体" w:cs="Times New Roman"/>
          <w:b/>
          <w:bCs/>
          <w:szCs w:val="21"/>
        </w:rPr>
        <w:t>（3） 境内外会计准则下会计数据差异原因说明，对已经境外审计机构审计的数据进行差异调节的，应注明该境外机构的名称</w:t>
      </w:r>
      <w:bookmarkEnd w:id="515"/>
    </w:p>
    <w:p>
      <w:pPr>
        <w:pStyle w:val="8"/>
        <w:rPr>
          <w:rFonts w:ascii="Times New Roman" w:hAnsi="Times New Roman" w:cs="Times New Roman"/>
          <w:sz w:val="18"/>
          <w:szCs w:val="18"/>
        </w:rPr>
      </w:pPr>
      <w:r>
        <w:rPr>
          <w:rFonts w:ascii="Times New Roman" w:hAnsi="Times New Roman" w:cs="Times New Roman"/>
          <w:sz w:val="18"/>
          <w:szCs w:val="18"/>
        </w:rPr>
        <w:t>无</w:t>
      </w:r>
    </w:p>
    <w:p>
      <w:pPr>
        <w:pStyle w:val="3"/>
        <w:spacing w:line="280" w:lineRule="exact"/>
        <w:jc w:val="left"/>
        <w:rPr>
          <w:rFonts w:ascii="Times New Roman" w:hAnsi="Times New Roman" w:cs="Times New Roman"/>
          <w:b/>
          <w:bCs/>
        </w:rPr>
      </w:pPr>
      <w:bookmarkStart w:id="516" w:name="_Toc989401"/>
      <w:r>
        <w:rPr>
          <w:rFonts w:ascii="Times New Roman" w:hAnsi="Times New Roman" w:cs="Times New Roman"/>
          <w:b/>
          <w:bCs/>
        </w:rPr>
        <w:t>4、其他</w:t>
      </w:r>
      <w:bookmarkEnd w:id="516"/>
    </w:p>
    <w:p>
      <w:pPr>
        <w:pStyle w:val="8"/>
        <w:rPr>
          <w:rFonts w:ascii="Times New Roman" w:hAnsi="Times New Roman" w:cs="Times New Roman"/>
          <w:sz w:val="18"/>
          <w:szCs w:val="18"/>
        </w:rPr>
      </w:pPr>
      <w:r>
        <w:rPr>
          <w:rFonts w:ascii="Times New Roman" w:hAnsi="Times New Roman" w:cs="Times New Roman"/>
          <w:sz w:val="18"/>
          <w:szCs w:val="18"/>
        </w:rPr>
        <w:t>无</w:t>
      </w:r>
    </w:p>
    <w:sectPr>
      <w:headerReference r:id="rId3" w:type="default"/>
      <w:footerReference r:id="rId4" w:type="default"/>
      <w:pgSz w:w="11905" w:h="16840"/>
      <w:pgMar w:top="1440" w:right="1134" w:bottom="1440" w:left="1134" w:header="850"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fldChar w:fldCharType="begin"/>
    </w:r>
    <w:r>
      <w:instrText xml:space="preserve">PAGE   \* MERGEFORMAT</w:instrText>
    </w:r>
    <w:r>
      <w:fldChar w:fldCharType="separate"/>
    </w:r>
    <w: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single" w:color="auto" w:sz="6" w:space="1"/>
      </w:pBdr>
    </w:pPr>
    <w:r>
      <w:t>山东龙大美食股份有限公司</w:t>
    </w:r>
    <w:r>
      <w:rPr>
        <w:rFonts w:ascii="Times New Roman" w:hAnsi="Times New Roman" w:cs="Times New Roman"/>
      </w:rPr>
      <w:t>2023</w:t>
    </w:r>
    <w:r>
      <w:t>年半年度报告全文</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C01840"/>
    <w:multiLevelType w:val="multilevel"/>
    <w:tmpl w:val="41C0184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characterSpacingControl w:val="doNotCompress"/>
  <w:compat>
    <w:useFELayout/>
    <w:compatSetting w:name="compatibilityMode" w:uri="http://schemas.microsoft.com/office/word" w:val="14"/>
  </w:compat>
  <w:docVars>
    <w:docVar w:name="commondata" w:val="eyJoZGlkIjoiMTEzMGJiNWY0NWQ4MmVkOWYyNzM0OGEwZDE4ZjY5MWQifQ=="/>
  </w:docVars>
  <w:rsids>
    <w:rsidRoot w:val="006C7510"/>
    <w:rsid w:val="0002704B"/>
    <w:rsid w:val="0005715E"/>
    <w:rsid w:val="00083D8D"/>
    <w:rsid w:val="000B6CD4"/>
    <w:rsid w:val="0013506B"/>
    <w:rsid w:val="00147F86"/>
    <w:rsid w:val="00195B0C"/>
    <w:rsid w:val="001E3F67"/>
    <w:rsid w:val="001E42DC"/>
    <w:rsid w:val="00254CE9"/>
    <w:rsid w:val="002B35B0"/>
    <w:rsid w:val="002B3A6B"/>
    <w:rsid w:val="002C03D2"/>
    <w:rsid w:val="002C089D"/>
    <w:rsid w:val="00304502"/>
    <w:rsid w:val="00310DEB"/>
    <w:rsid w:val="00334AB0"/>
    <w:rsid w:val="00382D5C"/>
    <w:rsid w:val="003B6000"/>
    <w:rsid w:val="003E1E0C"/>
    <w:rsid w:val="003E7B60"/>
    <w:rsid w:val="00495DB1"/>
    <w:rsid w:val="004B085C"/>
    <w:rsid w:val="004C28A9"/>
    <w:rsid w:val="004C30DE"/>
    <w:rsid w:val="005557A7"/>
    <w:rsid w:val="005743EF"/>
    <w:rsid w:val="005B4B6B"/>
    <w:rsid w:val="0065175E"/>
    <w:rsid w:val="006520A5"/>
    <w:rsid w:val="006657E6"/>
    <w:rsid w:val="006B7B23"/>
    <w:rsid w:val="006C7510"/>
    <w:rsid w:val="007028B5"/>
    <w:rsid w:val="007509E2"/>
    <w:rsid w:val="007725A9"/>
    <w:rsid w:val="00780911"/>
    <w:rsid w:val="00782950"/>
    <w:rsid w:val="007E7DCE"/>
    <w:rsid w:val="00802F84"/>
    <w:rsid w:val="00863174"/>
    <w:rsid w:val="00865E4C"/>
    <w:rsid w:val="008664F9"/>
    <w:rsid w:val="008749F4"/>
    <w:rsid w:val="008A63C0"/>
    <w:rsid w:val="008B6B90"/>
    <w:rsid w:val="008E1EE3"/>
    <w:rsid w:val="00904908"/>
    <w:rsid w:val="00941A70"/>
    <w:rsid w:val="00974089"/>
    <w:rsid w:val="009C6387"/>
    <w:rsid w:val="009D4CC5"/>
    <w:rsid w:val="00A0154B"/>
    <w:rsid w:val="00A15CEA"/>
    <w:rsid w:val="00A507A0"/>
    <w:rsid w:val="00AB1E0E"/>
    <w:rsid w:val="00AD6638"/>
    <w:rsid w:val="00B00CD3"/>
    <w:rsid w:val="00B66031"/>
    <w:rsid w:val="00B854B5"/>
    <w:rsid w:val="00BE2924"/>
    <w:rsid w:val="00C41FF8"/>
    <w:rsid w:val="00C874A8"/>
    <w:rsid w:val="00CA4D86"/>
    <w:rsid w:val="00CB0227"/>
    <w:rsid w:val="00D0134F"/>
    <w:rsid w:val="00D03AF5"/>
    <w:rsid w:val="00D25A6D"/>
    <w:rsid w:val="00D274E6"/>
    <w:rsid w:val="00D34E65"/>
    <w:rsid w:val="00D52D7C"/>
    <w:rsid w:val="00D760C4"/>
    <w:rsid w:val="00DC4F66"/>
    <w:rsid w:val="00DD4329"/>
    <w:rsid w:val="00DD51F8"/>
    <w:rsid w:val="00E06882"/>
    <w:rsid w:val="00E575A0"/>
    <w:rsid w:val="00EC55F2"/>
    <w:rsid w:val="00F17DA3"/>
    <w:rsid w:val="00F9627E"/>
    <w:rsid w:val="00FA35C9"/>
    <w:rsid w:val="219E4F9F"/>
    <w:rsid w:val="3FB0140F"/>
    <w:rsid w:val="49B40EE0"/>
    <w:rsid w:val="4BBC0C25"/>
    <w:rsid w:val="6AD02EFF"/>
    <w:rsid w:val="6E010D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2"/>
    <w:basedOn w:val="1"/>
    <w:next w:val="1"/>
    <w:unhideWhenUsed/>
    <w:qFormat/>
    <w:uiPriority w:val="9"/>
    <w:pPr>
      <w:keepNext/>
      <w:keepLines/>
      <w:spacing w:before="156" w:after="156"/>
      <w:outlineLvl w:val="1"/>
    </w:pPr>
    <w:rPr>
      <w:szCs w:val="21"/>
    </w:rPr>
  </w:style>
  <w:style w:type="paragraph" w:styleId="3">
    <w:name w:val="heading 3"/>
    <w:basedOn w:val="1"/>
    <w:next w:val="1"/>
    <w:unhideWhenUsed/>
    <w:qFormat/>
    <w:uiPriority w:val="9"/>
    <w:pPr>
      <w:keepNext/>
      <w:keepLines/>
      <w:spacing w:before="300" w:after="300" w:line="241" w:lineRule="auto"/>
      <w:jc w:val="both"/>
      <w:outlineLvl w:val="2"/>
    </w:pPr>
    <w:rPr>
      <w:rFonts w:eastAsia="宋体"/>
      <w:szCs w:val="21"/>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6"/>
    <w:unhideWhenUsed/>
    <w:qFormat/>
    <w:uiPriority w:val="99"/>
    <w:pPr>
      <w:tabs>
        <w:tab w:val="center" w:pos="4153"/>
        <w:tab w:val="right" w:pos="8306"/>
      </w:tabs>
      <w:snapToGrid w:val="0"/>
    </w:pPr>
    <w:rPr>
      <w:sz w:val="18"/>
      <w:szCs w:val="18"/>
    </w:rPr>
  </w:style>
  <w:style w:type="paragraph" w:styleId="5">
    <w:name w:val="header"/>
    <w:basedOn w:val="1"/>
    <w:link w:val="15"/>
    <w:unhideWhenUsed/>
    <w:qFormat/>
    <w:uiPriority w:val="99"/>
    <w:pPr>
      <w:tabs>
        <w:tab w:val="center" w:pos="4153"/>
        <w:tab w:val="right" w:pos="8306"/>
      </w:tabs>
      <w:snapToGrid w:val="0"/>
      <w:jc w:val="center"/>
    </w:pPr>
    <w:rPr>
      <w:sz w:val="18"/>
      <w:szCs w:val="18"/>
    </w:rPr>
  </w:style>
  <w:style w:type="paragraph" w:styleId="6">
    <w:name w:val="toc 1"/>
    <w:basedOn w:val="1"/>
    <w:next w:val="1"/>
    <w:qFormat/>
    <w:uiPriority w:val="39"/>
  </w:style>
  <w:style w:type="paragraph" w:styleId="7">
    <w:name w:val="toc 2"/>
    <w:basedOn w:val="1"/>
    <w:next w:val="1"/>
    <w:unhideWhenUsed/>
    <w:qFormat/>
    <w:uiPriority w:val="39"/>
    <w:pPr>
      <w:ind w:left="420" w:leftChars="200"/>
    </w:pPr>
  </w:style>
  <w:style w:type="paragraph" w:styleId="8">
    <w:name w:val="Normal (Web)"/>
    <w:basedOn w:val="1"/>
    <w:unhideWhenUsed/>
    <w:qFormat/>
    <w:uiPriority w:val="99"/>
    <w:pPr>
      <w:widowControl/>
      <w:spacing w:before="100" w:beforeAutospacing="1" w:after="100" w:afterAutospacing="1"/>
    </w:pPr>
    <w:rPr>
      <w:rFonts w:ascii="宋体" w:hAnsi="宋体" w:eastAsia="宋体" w:cs="宋体"/>
      <w:kern w:val="0"/>
      <w:sz w:val="24"/>
      <w:szCs w:val="24"/>
      <w14:ligatures w14:val="none"/>
    </w:rPr>
  </w:style>
  <w:style w:type="character" w:styleId="11">
    <w:name w:val="Strong"/>
    <w:basedOn w:val="10"/>
    <w:qFormat/>
    <w:uiPriority w:val="22"/>
    <w:rPr>
      <w:b/>
      <w:bCs/>
    </w:rPr>
  </w:style>
  <w:style w:type="paragraph" w:customStyle="1" w:styleId="12">
    <w:name w:val="Header 1"/>
    <w:qFormat/>
    <w:uiPriority w:val="0"/>
    <w:pPr>
      <w:jc w:val="right"/>
    </w:pPr>
    <w:rPr>
      <w:rFonts w:ascii="宋体" w:eastAsia="宋体" w:hAnsiTheme="minorHAnsi" w:cstheme="minorBidi"/>
      <w:kern w:val="2"/>
      <w:sz w:val="18"/>
      <w:szCs w:val="18"/>
      <w:lang w:val="en-US" w:eastAsia="zh-CN" w:bidi="ar-SA"/>
      <w14:ligatures w14:val="standardContextual"/>
    </w:rPr>
  </w:style>
  <w:style w:type="paragraph" w:customStyle="1" w:styleId="13">
    <w:name w:val="heading h1"/>
    <w:basedOn w:val="1"/>
    <w:next w:val="1"/>
    <w:qFormat/>
    <w:uiPriority w:val="9"/>
    <w:pPr>
      <w:keepNext/>
      <w:keepLines/>
      <w:spacing w:before="240" w:after="240" w:line="578" w:lineRule="auto"/>
      <w:outlineLvl w:val="0"/>
    </w:pPr>
    <w:rPr>
      <w:kern w:val="44"/>
      <w:sz w:val="44"/>
      <w:szCs w:val="44"/>
    </w:rPr>
  </w:style>
  <w:style w:type="paragraph" w:customStyle="1" w:styleId="14">
    <w:name w:val="fotter 1"/>
    <w:qFormat/>
    <w:uiPriority w:val="0"/>
    <w:pPr>
      <w:jc w:val="right"/>
    </w:pPr>
    <w:rPr>
      <w:rFonts w:ascii="宋体" w:eastAsia="宋体" w:hAnsiTheme="minorHAnsi" w:cstheme="minorBidi"/>
      <w:kern w:val="2"/>
      <w:sz w:val="18"/>
      <w:szCs w:val="18"/>
      <w:lang w:val="en-US" w:eastAsia="zh-CN" w:bidi="ar-SA"/>
      <w14:ligatures w14:val="standardContextual"/>
    </w:rPr>
  </w:style>
  <w:style w:type="character" w:customStyle="1" w:styleId="15">
    <w:name w:val="页眉 字符"/>
    <w:basedOn w:val="10"/>
    <w:link w:val="5"/>
    <w:qFormat/>
    <w:uiPriority w:val="99"/>
    <w:rPr>
      <w:sz w:val="18"/>
      <w:szCs w:val="18"/>
    </w:rPr>
  </w:style>
  <w:style w:type="character" w:customStyle="1" w:styleId="16">
    <w:name w:val="页脚 字符"/>
    <w:basedOn w:val="10"/>
    <w:link w:val="4"/>
    <w:qFormat/>
    <w:uiPriority w:val="99"/>
    <w:rPr>
      <w:sz w:val="18"/>
      <w:szCs w:val="18"/>
    </w:rPr>
  </w:style>
  <w:style w:type="paragraph" w:customStyle="1" w:styleId="17">
    <w:name w:val="Revision"/>
    <w:hidden/>
    <w:semiHidden/>
    <w:qFormat/>
    <w:uiPriority w:val="99"/>
    <w:rPr>
      <w:rFonts w:asciiTheme="minorHAnsi" w:hAnsiTheme="minorHAnsi" w:eastAsiaTheme="minorEastAsia" w:cstheme="minorBidi"/>
      <w:kern w:val="2"/>
      <w:sz w:val="21"/>
      <w:szCs w:val="22"/>
      <w:lang w:val="en-US" w:eastAsia="zh-CN" w:bidi="ar-SA"/>
      <w14:ligatures w14:val="standardContextual"/>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183</Pages>
  <Words>114142</Words>
  <Characters>155049</Characters>
  <Lines>1230</Lines>
  <Paragraphs>346</Paragraphs>
  <TotalTime>196</TotalTime>
  <ScaleCrop>false</ScaleCrop>
  <LinksUpToDate>false</LinksUpToDate>
  <CharactersWithSpaces>155923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2023-08-25T03:16:00Z</dcterms:created>
  <dc:creator>aixiaozhu</dc:creator>
  <cp:lastModifiedBy>jingtian Zhou</cp:lastModifiedBy>
  <dcterms:modified xsi:type="dcterms:W3CDTF">2023-08-30T02:23:57Z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57715CD818BD4E39A8215ABD060FD3F4_12</vt:lpwstr>
  </property>
</Properties>
</file>